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pPr>
    </w:p>
    <w:p>
      <w:pPr>
        <w:ind w:firstLine="480"/>
      </w:pPr>
    </w:p>
    <w:p>
      <w:pPr>
        <w:ind w:firstLine="480"/>
      </w:pPr>
    </w:p>
    <w:p>
      <w:pPr>
        <w:ind w:firstLine="0" w:firstLineChars="0"/>
        <w:rPr>
          <w:sz w:val="72"/>
          <w:szCs w:val="72"/>
        </w:rPr>
      </w:pPr>
      <w:bookmarkStart w:id="0" w:name="_Toc26884"/>
    </w:p>
    <w:p>
      <w:pPr>
        <w:ind w:firstLine="0" w:firstLineChars="0"/>
        <w:rPr>
          <w:b/>
          <w:bCs/>
          <w:sz w:val="72"/>
          <w:szCs w:val="72"/>
        </w:rPr>
      </w:pPr>
      <w:r>
        <w:rPr>
          <w:rFonts w:hint="eastAsia"/>
          <w:sz w:val="72"/>
          <w:szCs w:val="72"/>
        </w:rPr>
        <w:t>建设项目环境影响报告表</w:t>
      </w:r>
      <w:bookmarkEnd w:id="0"/>
    </w:p>
    <w:p>
      <w:pPr>
        <w:ind w:firstLine="0" w:firstLineChars="0"/>
        <w:jc w:val="center"/>
        <w:rPr>
          <w:sz w:val="36"/>
          <w:szCs w:val="36"/>
        </w:rPr>
      </w:pPr>
      <w:r>
        <w:rPr>
          <w:rFonts w:hint="eastAsia"/>
          <w:sz w:val="36"/>
          <w:szCs w:val="36"/>
        </w:rPr>
        <w:t>（污染影响类）</w:t>
      </w:r>
    </w:p>
    <w:p>
      <w:pPr>
        <w:ind w:firstLine="480"/>
      </w:pPr>
    </w:p>
    <w:p>
      <w:pPr>
        <w:ind w:firstLine="480"/>
      </w:pPr>
    </w:p>
    <w:p>
      <w:pPr>
        <w:ind w:firstLine="480"/>
      </w:pPr>
    </w:p>
    <w:p>
      <w:pPr>
        <w:ind w:firstLine="480"/>
      </w:pPr>
    </w:p>
    <w:p>
      <w:pPr>
        <w:ind w:firstLine="480"/>
      </w:pPr>
    </w:p>
    <w:p>
      <w:pPr>
        <w:ind w:firstLine="480"/>
      </w:pPr>
    </w:p>
    <w:p>
      <w:pPr>
        <w:pStyle w:val="2"/>
        <w:ind w:firstLine="360"/>
      </w:pPr>
    </w:p>
    <w:p>
      <w:pPr>
        <w:tabs>
          <w:tab w:val="left" w:pos="5587"/>
        </w:tabs>
        <w:autoSpaceDE w:val="0"/>
        <w:autoSpaceDN w:val="0"/>
        <w:spacing w:line="240" w:lineRule="auto"/>
        <w:ind w:left="2527" w:leftChars="300" w:hanging="1807" w:hangingChars="500"/>
        <w:rPr>
          <w:rFonts w:ascii="宋体" w:hAnsi="宋体"/>
          <w:b/>
          <w:bCs/>
          <w:kern w:val="0"/>
          <w:sz w:val="36"/>
          <w:szCs w:val="36"/>
          <w:lang w:val="zh-CN" w:bidi="zh-CN"/>
        </w:rPr>
      </w:pPr>
    </w:p>
    <w:p>
      <w:pPr>
        <w:tabs>
          <w:tab w:val="left" w:pos="5587"/>
        </w:tabs>
        <w:autoSpaceDE w:val="0"/>
        <w:autoSpaceDN w:val="0"/>
        <w:spacing w:line="240" w:lineRule="auto"/>
        <w:ind w:left="2527" w:leftChars="300" w:hanging="1807" w:hangingChars="500"/>
        <w:rPr>
          <w:rFonts w:ascii="宋体" w:hAnsi="宋体"/>
          <w:b/>
          <w:bCs/>
          <w:kern w:val="0"/>
          <w:sz w:val="36"/>
          <w:szCs w:val="36"/>
          <w:lang w:val="zh-CN" w:bidi="zh-CN"/>
        </w:rPr>
      </w:pPr>
    </w:p>
    <w:p>
      <w:pPr>
        <w:tabs>
          <w:tab w:val="left" w:pos="5587"/>
        </w:tabs>
        <w:autoSpaceDE w:val="0"/>
        <w:autoSpaceDN w:val="0"/>
        <w:spacing w:line="240" w:lineRule="auto"/>
        <w:ind w:left="2527" w:leftChars="300" w:hanging="1807" w:hangingChars="500"/>
        <w:rPr>
          <w:rFonts w:ascii="宋体" w:hAnsi="宋体"/>
          <w:b/>
          <w:bCs/>
          <w:kern w:val="0"/>
          <w:sz w:val="36"/>
          <w:szCs w:val="36"/>
          <w:lang w:val="zh-CN" w:bidi="zh-CN"/>
        </w:rPr>
      </w:pPr>
    </w:p>
    <w:p>
      <w:pPr>
        <w:pStyle w:val="2"/>
        <w:ind w:firstLine="360"/>
        <w:rPr>
          <w:lang w:val="zh-CN"/>
        </w:rPr>
      </w:pPr>
    </w:p>
    <w:p>
      <w:pPr>
        <w:ind w:firstLine="480"/>
        <w:rPr>
          <w:lang w:val="zh-CN"/>
        </w:rPr>
      </w:pPr>
    </w:p>
    <w:p>
      <w:pPr>
        <w:ind w:firstLine="643"/>
        <w:jc w:val="left"/>
        <w:rPr>
          <w:b/>
          <w:bCs/>
          <w:sz w:val="28"/>
          <w:szCs w:val="28"/>
        </w:rPr>
      </w:pPr>
      <w:bookmarkStart w:id="1" w:name="_Toc23497"/>
      <w:r>
        <w:rPr>
          <w:rFonts w:hint="eastAsia"/>
          <w:b/>
          <w:bCs/>
          <w:sz w:val="32"/>
          <w:szCs w:val="32"/>
          <w:lang w:val="zh-CN"/>
        </w:rPr>
        <w:t>项目名称：</w:t>
      </w:r>
      <w:bookmarkEnd w:id="1"/>
      <w:r>
        <w:rPr>
          <w:rFonts w:hint="eastAsia"/>
          <w:sz w:val="28"/>
          <w:szCs w:val="28"/>
          <w:lang w:val="zh-CN"/>
        </w:rPr>
        <w:t>湘阴县食用菌产业融合示范区建设项目</w:t>
      </w:r>
    </w:p>
    <w:p>
      <w:pPr>
        <w:ind w:left="1923" w:leftChars="266" w:hanging="1285" w:hangingChars="400"/>
        <w:jc w:val="left"/>
        <w:rPr>
          <w:sz w:val="32"/>
          <w:szCs w:val="32"/>
        </w:rPr>
      </w:pPr>
      <w:r>
        <w:rPr>
          <w:rFonts w:hint="eastAsia"/>
          <w:b/>
          <w:bCs/>
          <w:sz w:val="32"/>
          <w:szCs w:val="32"/>
          <w:lang w:val="zh-CN"/>
        </w:rPr>
        <w:t>建设单位（盖章）：</w:t>
      </w:r>
      <w:r>
        <w:rPr>
          <w:rFonts w:hint="eastAsia"/>
          <w:sz w:val="28"/>
          <w:szCs w:val="28"/>
          <w:lang w:val="zh-CN"/>
        </w:rPr>
        <w:t>湘阴县惠丰农业投资开发有限公司</w:t>
      </w:r>
    </w:p>
    <w:p>
      <w:pPr>
        <w:ind w:firstLine="643"/>
        <w:rPr>
          <w:b/>
          <w:bCs/>
          <w:sz w:val="32"/>
          <w:szCs w:val="32"/>
        </w:rPr>
      </w:pPr>
      <w:r>
        <w:rPr>
          <w:rFonts w:hint="eastAsia"/>
          <w:b/>
          <w:bCs/>
          <w:sz w:val="32"/>
          <w:szCs w:val="32"/>
        </w:rPr>
        <w:t>编制日期：</w:t>
      </w:r>
      <w:r>
        <w:rPr>
          <w:sz w:val="28"/>
          <w:szCs w:val="28"/>
        </w:rPr>
        <w:t>202</w:t>
      </w:r>
      <w:r>
        <w:rPr>
          <w:rFonts w:hint="eastAsia"/>
          <w:sz w:val="28"/>
          <w:szCs w:val="28"/>
          <w:lang w:val="en-US" w:eastAsia="zh-CN"/>
        </w:rPr>
        <w:t>5</w:t>
      </w:r>
      <w:r>
        <w:rPr>
          <w:rFonts w:hint="eastAsia"/>
          <w:sz w:val="28"/>
          <w:szCs w:val="28"/>
        </w:rPr>
        <w:t>年</w:t>
      </w:r>
      <w:r>
        <w:rPr>
          <w:rFonts w:hint="eastAsia"/>
          <w:sz w:val="28"/>
          <w:szCs w:val="28"/>
          <w:lang w:val="en-US" w:eastAsia="zh-CN"/>
        </w:rPr>
        <w:t>5</w:t>
      </w:r>
      <w:r>
        <w:rPr>
          <w:rFonts w:hint="eastAsia"/>
          <w:sz w:val="28"/>
          <w:szCs w:val="28"/>
        </w:rPr>
        <w:t>月</w:t>
      </w:r>
    </w:p>
    <w:p>
      <w:pPr>
        <w:ind w:firstLine="480"/>
      </w:pPr>
    </w:p>
    <w:p>
      <w:pPr>
        <w:ind w:firstLine="0" w:firstLineChars="0"/>
        <w:jc w:val="center"/>
        <w:rPr>
          <w:rFonts w:hint="default" w:eastAsia="宋体"/>
          <w:b/>
          <w:bCs/>
          <w:sz w:val="30"/>
          <w:szCs w:val="30"/>
          <w:lang w:val="en-US"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2" w:name="_Toc32605"/>
      <w:r>
        <w:rPr>
          <w:rFonts w:hint="eastAsia"/>
          <w:b/>
          <w:bCs/>
          <w:sz w:val="30"/>
          <w:szCs w:val="30"/>
        </w:rPr>
        <w:t>中华人民共和国生态环</w:t>
      </w:r>
      <w:bookmarkEnd w:id="2"/>
      <w:r>
        <w:rPr>
          <w:rFonts w:hint="eastAsia"/>
          <w:b/>
          <w:bCs/>
          <w:sz w:val="30"/>
          <w:szCs w:val="30"/>
          <w:lang w:val="en-US" w:eastAsia="zh-CN"/>
        </w:rPr>
        <w:t>境部</w:t>
      </w:r>
    </w:p>
    <w:p>
      <w:pPr>
        <w:pStyle w:val="2"/>
        <w:ind w:left="0" w:leftChars="0" w:firstLine="0" w:firstLineChars="0"/>
      </w:pPr>
    </w:p>
    <w:sdt>
      <w:sdtPr>
        <w:rPr>
          <w:rFonts w:ascii="宋体" w:hAnsi="宋体" w:eastAsia="宋体" w:cs="Times New Roman"/>
          <w:kern w:val="2"/>
          <w:sz w:val="21"/>
          <w:szCs w:val="24"/>
          <w:lang w:val="en-US" w:eastAsia="zh-CN" w:bidi="ar-SA"/>
        </w:rPr>
        <w:id w:val="147481694"/>
        <w15:color w:val="DBDBDB"/>
        <w:docPartObj>
          <w:docPartGallery w:val="Table of Contents"/>
          <w:docPartUnique/>
        </w:docPartObj>
      </w:sdtPr>
      <w:sdtEndPr>
        <w:rPr>
          <w:rFonts w:ascii="仿宋_GB2312" w:hAnsi="Times New Roman" w:eastAsia="仿宋_GB2312" w:cs="Times New Roman"/>
          <w:bCs/>
          <w:kern w:val="2"/>
          <w:sz w:val="24"/>
          <w:szCs w:val="36"/>
          <w:lang w:val="en-US" w:eastAsia="zh-CN" w:bidi="ar-SA"/>
        </w:rPr>
      </w:sdtEndPr>
      <w:sdtContent>
        <w:p>
          <w:pPr>
            <w:spacing w:before="0" w:beforeLines="0" w:after="0" w:afterLines="0" w:line="240" w:lineRule="auto"/>
            <w:ind w:left="0" w:leftChars="0" w:right="0" w:rightChars="0" w:firstLine="0" w:firstLineChars="0"/>
            <w:jc w:val="center"/>
            <w:rPr>
              <w:b/>
              <w:bCs/>
              <w:sz w:val="30"/>
              <w:szCs w:val="30"/>
            </w:rPr>
          </w:pPr>
          <w:r>
            <w:rPr>
              <w:rFonts w:ascii="宋体" w:hAnsi="宋体" w:eastAsia="宋体"/>
              <w:b/>
              <w:bCs/>
              <w:sz w:val="30"/>
              <w:szCs w:val="30"/>
            </w:rPr>
            <w:t>目录</w:t>
          </w:r>
        </w:p>
        <w:p>
          <w:pPr>
            <w:pStyle w:val="16"/>
            <w:tabs>
              <w:tab w:val="right" w:leader="dot" w:pos="8844"/>
            </w:tabs>
            <w:ind w:left="0" w:leftChars="0" w:firstLine="361" w:firstLineChars="100"/>
          </w:pPr>
          <w:r>
            <w:rPr>
              <w:rFonts w:ascii="仿宋_GB2312" w:eastAsia="仿宋_GB2312"/>
              <w:b/>
              <w:bCs/>
              <w:sz w:val="36"/>
              <w:szCs w:val="36"/>
            </w:rPr>
            <w:fldChar w:fldCharType="begin"/>
          </w:r>
          <w:r>
            <w:rPr>
              <w:rFonts w:ascii="仿宋_GB2312" w:eastAsia="仿宋_GB2312"/>
              <w:b/>
              <w:bCs/>
              <w:sz w:val="36"/>
              <w:szCs w:val="36"/>
            </w:rPr>
            <w:instrText xml:space="preserve">TOC \o "1-2" \h \u </w:instrText>
          </w:r>
          <w:r>
            <w:rPr>
              <w:rFonts w:ascii="仿宋_GB2312" w:eastAsia="仿宋_GB2312"/>
              <w:b/>
              <w:bCs/>
              <w:sz w:val="36"/>
              <w:szCs w:val="36"/>
            </w:rPr>
            <w:fldChar w:fldCharType="separate"/>
          </w:r>
          <w:r>
            <w:rPr>
              <w:rFonts w:ascii="仿宋_GB2312" w:eastAsia="仿宋_GB2312"/>
              <w:bCs/>
              <w:szCs w:val="36"/>
            </w:rPr>
            <w:fldChar w:fldCharType="begin"/>
          </w:r>
          <w:r>
            <w:rPr>
              <w:rFonts w:ascii="仿宋_GB2312" w:eastAsia="仿宋_GB2312"/>
              <w:bCs/>
              <w:szCs w:val="36"/>
            </w:rPr>
            <w:instrText xml:space="preserve"> HYPERLINK \l _Toc8627 </w:instrText>
          </w:r>
          <w:r>
            <w:rPr>
              <w:rFonts w:ascii="仿宋_GB2312" w:eastAsia="仿宋_GB2312"/>
              <w:bCs/>
              <w:szCs w:val="36"/>
            </w:rPr>
            <w:fldChar w:fldCharType="separate"/>
          </w:r>
          <w:r>
            <w:rPr>
              <w:rFonts w:hint="eastAsia" w:ascii="黑体" w:hAnsi="黑体" w:eastAsia="黑体"/>
              <w:snapToGrid w:val="0"/>
              <w:szCs w:val="30"/>
            </w:rPr>
            <w:t>一、建设项目基本情况</w:t>
          </w:r>
          <w:r>
            <w:tab/>
          </w:r>
          <w:r>
            <w:fldChar w:fldCharType="begin"/>
          </w:r>
          <w:r>
            <w:instrText xml:space="preserve"> PAGEREF _Toc8627 \h </w:instrText>
          </w:r>
          <w:r>
            <w:fldChar w:fldCharType="separate"/>
          </w:r>
          <w:r>
            <w:t>1</w:t>
          </w:r>
          <w:r>
            <w:fldChar w:fldCharType="end"/>
          </w:r>
          <w:r>
            <w:rPr>
              <w:rFonts w:ascii="仿宋_GB2312" w:eastAsia="仿宋_GB2312"/>
              <w:bCs/>
              <w:szCs w:val="36"/>
            </w:rPr>
            <w:fldChar w:fldCharType="end"/>
          </w:r>
        </w:p>
        <w:p>
          <w:pPr>
            <w:pStyle w:val="16"/>
            <w:tabs>
              <w:tab w:val="right" w:leader="dot" w:pos="8844"/>
            </w:tabs>
          </w:pPr>
          <w:r>
            <w:rPr>
              <w:rFonts w:ascii="仿宋_GB2312" w:eastAsia="仿宋_GB2312"/>
              <w:bCs/>
              <w:szCs w:val="36"/>
            </w:rPr>
            <w:fldChar w:fldCharType="begin"/>
          </w:r>
          <w:r>
            <w:rPr>
              <w:rFonts w:ascii="仿宋_GB2312" w:eastAsia="仿宋_GB2312"/>
              <w:bCs/>
              <w:szCs w:val="36"/>
            </w:rPr>
            <w:instrText xml:space="preserve"> HYPERLINK \l _Toc17549 </w:instrText>
          </w:r>
          <w:r>
            <w:rPr>
              <w:rFonts w:ascii="仿宋_GB2312" w:eastAsia="仿宋_GB2312"/>
              <w:bCs/>
              <w:szCs w:val="36"/>
            </w:rPr>
            <w:fldChar w:fldCharType="separate"/>
          </w:r>
          <w:r>
            <w:rPr>
              <w:rFonts w:hint="eastAsia" w:ascii="黑体" w:hAnsi="黑体" w:eastAsia="黑体"/>
              <w:snapToGrid w:val="0"/>
              <w:szCs w:val="30"/>
            </w:rPr>
            <w:t>二、建设项目工程分析</w:t>
          </w:r>
          <w:r>
            <w:tab/>
          </w:r>
          <w:r>
            <w:fldChar w:fldCharType="begin"/>
          </w:r>
          <w:r>
            <w:instrText xml:space="preserve"> PAGEREF _Toc17549 \h </w:instrText>
          </w:r>
          <w:r>
            <w:fldChar w:fldCharType="separate"/>
          </w:r>
          <w:r>
            <w:t>14</w:t>
          </w:r>
          <w:r>
            <w:fldChar w:fldCharType="end"/>
          </w:r>
          <w:r>
            <w:rPr>
              <w:rFonts w:ascii="仿宋_GB2312" w:eastAsia="仿宋_GB2312"/>
              <w:bCs/>
              <w:szCs w:val="36"/>
            </w:rPr>
            <w:fldChar w:fldCharType="end"/>
          </w:r>
        </w:p>
        <w:p>
          <w:pPr>
            <w:pStyle w:val="16"/>
            <w:tabs>
              <w:tab w:val="right" w:leader="dot" w:pos="8844"/>
            </w:tabs>
          </w:pPr>
          <w:r>
            <w:rPr>
              <w:rFonts w:ascii="仿宋_GB2312" w:eastAsia="仿宋_GB2312"/>
              <w:bCs/>
              <w:szCs w:val="36"/>
            </w:rPr>
            <w:fldChar w:fldCharType="begin"/>
          </w:r>
          <w:r>
            <w:rPr>
              <w:rFonts w:ascii="仿宋_GB2312" w:eastAsia="仿宋_GB2312"/>
              <w:bCs/>
              <w:szCs w:val="36"/>
            </w:rPr>
            <w:instrText xml:space="preserve"> HYPERLINK \l _Toc9613 </w:instrText>
          </w:r>
          <w:r>
            <w:rPr>
              <w:rFonts w:ascii="仿宋_GB2312" w:eastAsia="仿宋_GB2312"/>
              <w:bCs/>
              <w:szCs w:val="36"/>
            </w:rPr>
            <w:fldChar w:fldCharType="separate"/>
          </w:r>
          <w:r>
            <w:rPr>
              <w:rFonts w:hint="eastAsia" w:ascii="黑体" w:hAnsi="黑体" w:eastAsia="黑体"/>
              <w:snapToGrid w:val="0"/>
              <w:szCs w:val="30"/>
            </w:rPr>
            <w:t>三、区域环境质量现状、环境保护目标及评价标准</w:t>
          </w:r>
          <w:r>
            <w:tab/>
          </w:r>
          <w:r>
            <w:fldChar w:fldCharType="begin"/>
          </w:r>
          <w:r>
            <w:instrText xml:space="preserve"> PAGEREF _Toc9613 \h </w:instrText>
          </w:r>
          <w:r>
            <w:fldChar w:fldCharType="separate"/>
          </w:r>
          <w:r>
            <w:t>26</w:t>
          </w:r>
          <w:r>
            <w:fldChar w:fldCharType="end"/>
          </w:r>
          <w:r>
            <w:rPr>
              <w:rFonts w:ascii="仿宋_GB2312" w:eastAsia="仿宋_GB2312"/>
              <w:bCs/>
              <w:szCs w:val="36"/>
            </w:rPr>
            <w:fldChar w:fldCharType="end"/>
          </w:r>
        </w:p>
        <w:p>
          <w:pPr>
            <w:pStyle w:val="16"/>
            <w:tabs>
              <w:tab w:val="right" w:leader="dot" w:pos="8844"/>
            </w:tabs>
          </w:pPr>
          <w:r>
            <w:rPr>
              <w:rFonts w:ascii="仿宋_GB2312" w:eastAsia="仿宋_GB2312"/>
              <w:bCs/>
              <w:szCs w:val="36"/>
            </w:rPr>
            <w:fldChar w:fldCharType="begin"/>
          </w:r>
          <w:r>
            <w:rPr>
              <w:rFonts w:ascii="仿宋_GB2312" w:eastAsia="仿宋_GB2312"/>
              <w:bCs/>
              <w:szCs w:val="36"/>
            </w:rPr>
            <w:instrText xml:space="preserve"> HYPERLINK \l _Toc19347 </w:instrText>
          </w:r>
          <w:r>
            <w:rPr>
              <w:rFonts w:ascii="仿宋_GB2312" w:eastAsia="仿宋_GB2312"/>
              <w:bCs/>
              <w:szCs w:val="36"/>
            </w:rPr>
            <w:fldChar w:fldCharType="separate"/>
          </w:r>
          <w:r>
            <w:rPr>
              <w:rFonts w:hint="eastAsia" w:ascii="黑体" w:hAnsi="黑体" w:eastAsia="黑体"/>
              <w:snapToGrid w:val="0"/>
              <w:szCs w:val="30"/>
            </w:rPr>
            <w:t>四、主要环境影响和保护措施</w:t>
          </w:r>
          <w:r>
            <w:tab/>
          </w:r>
          <w:r>
            <w:fldChar w:fldCharType="begin"/>
          </w:r>
          <w:r>
            <w:instrText xml:space="preserve"> PAGEREF _Toc19347 \h </w:instrText>
          </w:r>
          <w:r>
            <w:fldChar w:fldCharType="separate"/>
          </w:r>
          <w:r>
            <w:t>34</w:t>
          </w:r>
          <w:r>
            <w:fldChar w:fldCharType="end"/>
          </w:r>
          <w:r>
            <w:rPr>
              <w:rFonts w:ascii="仿宋_GB2312" w:eastAsia="仿宋_GB2312"/>
              <w:bCs/>
              <w:szCs w:val="36"/>
            </w:rPr>
            <w:fldChar w:fldCharType="end"/>
          </w:r>
        </w:p>
        <w:p>
          <w:pPr>
            <w:pStyle w:val="16"/>
            <w:tabs>
              <w:tab w:val="right" w:leader="dot" w:pos="8844"/>
            </w:tabs>
          </w:pPr>
          <w:r>
            <w:rPr>
              <w:rFonts w:ascii="仿宋_GB2312" w:eastAsia="仿宋_GB2312"/>
              <w:bCs/>
              <w:szCs w:val="36"/>
            </w:rPr>
            <w:fldChar w:fldCharType="begin"/>
          </w:r>
          <w:r>
            <w:rPr>
              <w:rFonts w:ascii="仿宋_GB2312" w:eastAsia="仿宋_GB2312"/>
              <w:bCs/>
              <w:szCs w:val="36"/>
            </w:rPr>
            <w:instrText xml:space="preserve"> HYPERLINK \l _Toc19804 </w:instrText>
          </w:r>
          <w:r>
            <w:rPr>
              <w:rFonts w:ascii="仿宋_GB2312" w:eastAsia="仿宋_GB2312"/>
              <w:bCs/>
              <w:szCs w:val="36"/>
            </w:rPr>
            <w:fldChar w:fldCharType="separate"/>
          </w:r>
          <w:r>
            <w:rPr>
              <w:rFonts w:hint="eastAsia" w:ascii="黑体" w:hAnsi="黑体" w:eastAsia="黑体"/>
              <w:snapToGrid w:val="0"/>
              <w:szCs w:val="30"/>
            </w:rPr>
            <w:t>五、环境保护措施监督检查清单</w:t>
          </w:r>
          <w:r>
            <w:tab/>
          </w:r>
          <w:r>
            <w:fldChar w:fldCharType="begin"/>
          </w:r>
          <w:r>
            <w:instrText xml:space="preserve"> PAGEREF _Toc19804 \h </w:instrText>
          </w:r>
          <w:r>
            <w:fldChar w:fldCharType="separate"/>
          </w:r>
          <w:r>
            <w:t>68</w:t>
          </w:r>
          <w:r>
            <w:fldChar w:fldCharType="end"/>
          </w:r>
          <w:r>
            <w:rPr>
              <w:rFonts w:ascii="仿宋_GB2312" w:eastAsia="仿宋_GB2312"/>
              <w:bCs/>
              <w:szCs w:val="36"/>
            </w:rPr>
            <w:fldChar w:fldCharType="end"/>
          </w:r>
        </w:p>
        <w:p>
          <w:pPr>
            <w:pStyle w:val="16"/>
            <w:tabs>
              <w:tab w:val="right" w:leader="dot" w:pos="8844"/>
            </w:tabs>
          </w:pPr>
          <w:r>
            <w:rPr>
              <w:rFonts w:ascii="仿宋_GB2312" w:eastAsia="仿宋_GB2312"/>
              <w:bCs/>
              <w:szCs w:val="36"/>
            </w:rPr>
            <w:fldChar w:fldCharType="begin"/>
          </w:r>
          <w:r>
            <w:rPr>
              <w:rFonts w:ascii="仿宋_GB2312" w:eastAsia="仿宋_GB2312"/>
              <w:bCs/>
              <w:szCs w:val="36"/>
            </w:rPr>
            <w:instrText xml:space="preserve"> HYPERLINK \l _Toc16290 </w:instrText>
          </w:r>
          <w:r>
            <w:rPr>
              <w:rFonts w:ascii="仿宋_GB2312" w:eastAsia="仿宋_GB2312"/>
              <w:bCs/>
              <w:szCs w:val="36"/>
            </w:rPr>
            <w:fldChar w:fldCharType="separate"/>
          </w:r>
          <w:r>
            <w:rPr>
              <w:rFonts w:hint="eastAsia" w:ascii="黑体" w:hAnsi="黑体" w:eastAsia="黑体"/>
              <w:snapToGrid w:val="0"/>
              <w:szCs w:val="30"/>
            </w:rPr>
            <w:t>六、结论</w:t>
          </w:r>
          <w:r>
            <w:tab/>
          </w:r>
          <w:r>
            <w:fldChar w:fldCharType="begin"/>
          </w:r>
          <w:r>
            <w:instrText xml:space="preserve"> PAGEREF _Toc16290 \h </w:instrText>
          </w:r>
          <w:r>
            <w:fldChar w:fldCharType="separate"/>
          </w:r>
          <w:r>
            <w:t>70</w:t>
          </w:r>
          <w:r>
            <w:fldChar w:fldCharType="end"/>
          </w:r>
          <w:r>
            <w:rPr>
              <w:rFonts w:ascii="仿宋_GB2312" w:eastAsia="仿宋_GB2312"/>
              <w:bCs/>
              <w:szCs w:val="36"/>
            </w:rPr>
            <w:fldChar w:fldCharType="end"/>
          </w:r>
        </w:p>
        <w:p>
          <w:pPr>
            <w:pStyle w:val="17"/>
            <w:tabs>
              <w:tab w:val="right" w:leader="dot" w:pos="8844"/>
            </w:tabs>
          </w:pPr>
          <w:r>
            <w:rPr>
              <w:rFonts w:ascii="仿宋_GB2312" w:eastAsia="仿宋_GB2312"/>
              <w:bCs/>
              <w:szCs w:val="36"/>
            </w:rPr>
            <w:fldChar w:fldCharType="begin"/>
          </w:r>
          <w:r>
            <w:rPr>
              <w:rFonts w:ascii="仿宋_GB2312" w:eastAsia="仿宋_GB2312"/>
              <w:bCs/>
              <w:szCs w:val="36"/>
            </w:rPr>
            <w:instrText xml:space="preserve"> HYPERLINK \l _Toc18531 </w:instrText>
          </w:r>
          <w:r>
            <w:rPr>
              <w:rFonts w:ascii="仿宋_GB2312" w:eastAsia="仿宋_GB2312"/>
              <w:bCs/>
              <w:szCs w:val="36"/>
            </w:rPr>
            <w:fldChar w:fldCharType="separate"/>
          </w:r>
          <w:r>
            <w:rPr>
              <w:rFonts w:hint="eastAsia"/>
              <w:bCs/>
            </w:rPr>
            <w:t>附件1：环评委托书</w:t>
          </w:r>
          <w:r>
            <w:tab/>
          </w:r>
          <w:r>
            <w:fldChar w:fldCharType="begin"/>
          </w:r>
          <w:r>
            <w:instrText xml:space="preserve"> PAGEREF _Toc18531 \h </w:instrText>
          </w:r>
          <w:r>
            <w:fldChar w:fldCharType="separate"/>
          </w:r>
          <w:r>
            <w:t>72</w:t>
          </w:r>
          <w:r>
            <w:fldChar w:fldCharType="end"/>
          </w:r>
          <w:r>
            <w:rPr>
              <w:rFonts w:ascii="仿宋_GB2312" w:eastAsia="仿宋_GB2312"/>
              <w:bCs/>
              <w:szCs w:val="36"/>
            </w:rPr>
            <w:fldChar w:fldCharType="end"/>
          </w:r>
        </w:p>
        <w:p>
          <w:pPr>
            <w:pStyle w:val="17"/>
            <w:tabs>
              <w:tab w:val="right" w:leader="dot" w:pos="8844"/>
            </w:tabs>
          </w:pPr>
          <w:r>
            <w:rPr>
              <w:rFonts w:ascii="仿宋_GB2312" w:eastAsia="仿宋_GB2312"/>
              <w:bCs/>
              <w:szCs w:val="36"/>
            </w:rPr>
            <w:fldChar w:fldCharType="begin"/>
          </w:r>
          <w:r>
            <w:rPr>
              <w:rFonts w:ascii="仿宋_GB2312" w:eastAsia="仿宋_GB2312"/>
              <w:bCs/>
              <w:szCs w:val="36"/>
            </w:rPr>
            <w:instrText xml:space="preserve"> HYPERLINK \l _Toc31765 </w:instrText>
          </w:r>
          <w:r>
            <w:rPr>
              <w:rFonts w:ascii="仿宋_GB2312" w:eastAsia="仿宋_GB2312"/>
              <w:bCs/>
              <w:szCs w:val="36"/>
            </w:rPr>
            <w:fldChar w:fldCharType="separate"/>
          </w:r>
          <w:r>
            <w:rPr>
              <w:rFonts w:hint="eastAsia"/>
              <w:bCs/>
            </w:rPr>
            <w:t>附件2：</w:t>
          </w:r>
          <w:r>
            <w:rPr>
              <w:rFonts w:hint="eastAsia"/>
              <w:bCs/>
              <w:lang w:val="en-US" w:eastAsia="zh-CN"/>
            </w:rPr>
            <w:t>营业执照</w:t>
          </w:r>
          <w:r>
            <w:tab/>
          </w:r>
          <w:r>
            <w:fldChar w:fldCharType="begin"/>
          </w:r>
          <w:r>
            <w:instrText xml:space="preserve"> PAGEREF _Toc31765 \h </w:instrText>
          </w:r>
          <w:r>
            <w:fldChar w:fldCharType="separate"/>
          </w:r>
          <w:r>
            <w:t>73</w:t>
          </w:r>
          <w:r>
            <w:fldChar w:fldCharType="end"/>
          </w:r>
          <w:r>
            <w:rPr>
              <w:rFonts w:ascii="仿宋_GB2312" w:eastAsia="仿宋_GB2312"/>
              <w:bCs/>
              <w:szCs w:val="36"/>
            </w:rPr>
            <w:fldChar w:fldCharType="end"/>
          </w:r>
        </w:p>
        <w:p>
          <w:pPr>
            <w:pStyle w:val="17"/>
            <w:tabs>
              <w:tab w:val="right" w:leader="dot" w:pos="8844"/>
            </w:tabs>
          </w:pPr>
          <w:r>
            <w:rPr>
              <w:rFonts w:ascii="仿宋_GB2312" w:eastAsia="仿宋_GB2312"/>
              <w:bCs/>
              <w:szCs w:val="36"/>
            </w:rPr>
            <w:fldChar w:fldCharType="begin"/>
          </w:r>
          <w:r>
            <w:rPr>
              <w:rFonts w:ascii="仿宋_GB2312" w:eastAsia="仿宋_GB2312"/>
              <w:bCs/>
              <w:szCs w:val="36"/>
            </w:rPr>
            <w:instrText xml:space="preserve"> HYPERLINK \l _Toc28941 </w:instrText>
          </w:r>
          <w:r>
            <w:rPr>
              <w:rFonts w:ascii="仿宋_GB2312" w:eastAsia="仿宋_GB2312"/>
              <w:bCs/>
              <w:szCs w:val="36"/>
            </w:rPr>
            <w:fldChar w:fldCharType="separate"/>
          </w:r>
          <w:r>
            <w:rPr>
              <w:rFonts w:hint="eastAsia"/>
              <w:bCs/>
            </w:rPr>
            <w:t>附件3：</w:t>
          </w:r>
          <w:r>
            <w:rPr>
              <w:rFonts w:hint="eastAsia"/>
              <w:bCs/>
              <w:lang w:val="en-US" w:eastAsia="zh-CN"/>
            </w:rPr>
            <w:t>立项批复</w:t>
          </w:r>
          <w:r>
            <w:tab/>
          </w:r>
          <w:r>
            <w:fldChar w:fldCharType="begin"/>
          </w:r>
          <w:r>
            <w:instrText xml:space="preserve"> PAGEREF _Toc28941 \h </w:instrText>
          </w:r>
          <w:r>
            <w:fldChar w:fldCharType="separate"/>
          </w:r>
          <w:r>
            <w:t>74</w:t>
          </w:r>
          <w:r>
            <w:fldChar w:fldCharType="end"/>
          </w:r>
          <w:r>
            <w:rPr>
              <w:rFonts w:ascii="仿宋_GB2312" w:eastAsia="仿宋_GB2312"/>
              <w:bCs/>
              <w:szCs w:val="36"/>
            </w:rPr>
            <w:fldChar w:fldCharType="end"/>
          </w:r>
        </w:p>
        <w:p>
          <w:pPr>
            <w:pStyle w:val="17"/>
            <w:tabs>
              <w:tab w:val="right" w:leader="dot" w:pos="8844"/>
            </w:tabs>
          </w:pPr>
          <w:r>
            <w:rPr>
              <w:rFonts w:ascii="仿宋_GB2312" w:eastAsia="仿宋_GB2312"/>
              <w:bCs/>
              <w:szCs w:val="36"/>
            </w:rPr>
            <w:fldChar w:fldCharType="begin"/>
          </w:r>
          <w:r>
            <w:rPr>
              <w:rFonts w:ascii="仿宋_GB2312" w:eastAsia="仿宋_GB2312"/>
              <w:bCs/>
              <w:szCs w:val="36"/>
            </w:rPr>
            <w:instrText xml:space="preserve"> HYPERLINK \l _Toc13353 </w:instrText>
          </w:r>
          <w:r>
            <w:rPr>
              <w:rFonts w:ascii="仿宋_GB2312" w:eastAsia="仿宋_GB2312"/>
              <w:bCs/>
              <w:szCs w:val="36"/>
            </w:rPr>
            <w:fldChar w:fldCharType="separate"/>
          </w:r>
          <w:r>
            <w:rPr>
              <w:rFonts w:hint="eastAsia"/>
              <w:bCs/>
            </w:rPr>
            <w:t>附件4：</w:t>
          </w:r>
          <w:r>
            <w:rPr>
              <w:rFonts w:hint="eastAsia"/>
              <w:bCs/>
              <w:lang w:val="en-US" w:eastAsia="zh-CN"/>
            </w:rPr>
            <w:t>项目“三区三线”划定成果</w:t>
          </w:r>
          <w:r>
            <w:tab/>
          </w:r>
          <w:r>
            <w:fldChar w:fldCharType="begin"/>
          </w:r>
          <w:r>
            <w:instrText xml:space="preserve"> PAGEREF _Toc13353 \h </w:instrText>
          </w:r>
          <w:r>
            <w:fldChar w:fldCharType="separate"/>
          </w:r>
          <w:r>
            <w:t>78</w:t>
          </w:r>
          <w:r>
            <w:fldChar w:fldCharType="end"/>
          </w:r>
          <w:r>
            <w:rPr>
              <w:rFonts w:ascii="仿宋_GB2312" w:eastAsia="仿宋_GB2312"/>
              <w:bCs/>
              <w:szCs w:val="36"/>
            </w:rPr>
            <w:fldChar w:fldCharType="end"/>
          </w:r>
        </w:p>
        <w:p>
          <w:pPr>
            <w:pStyle w:val="17"/>
            <w:tabs>
              <w:tab w:val="right" w:leader="dot" w:pos="8844"/>
            </w:tabs>
          </w:pPr>
          <w:r>
            <w:rPr>
              <w:rFonts w:ascii="仿宋_GB2312" w:eastAsia="仿宋_GB2312"/>
              <w:bCs/>
              <w:szCs w:val="36"/>
            </w:rPr>
            <w:fldChar w:fldCharType="begin"/>
          </w:r>
          <w:r>
            <w:rPr>
              <w:rFonts w:ascii="仿宋_GB2312" w:eastAsia="仿宋_GB2312"/>
              <w:bCs/>
              <w:szCs w:val="36"/>
            </w:rPr>
            <w:instrText xml:space="preserve"> HYPERLINK \l _Toc20028 </w:instrText>
          </w:r>
          <w:r>
            <w:rPr>
              <w:rFonts w:ascii="仿宋_GB2312" w:eastAsia="仿宋_GB2312"/>
              <w:bCs/>
              <w:szCs w:val="36"/>
            </w:rPr>
            <w:fldChar w:fldCharType="separate"/>
          </w:r>
          <w:r>
            <w:rPr>
              <w:rFonts w:hint="eastAsia"/>
              <w:bCs/>
            </w:rPr>
            <w:t>附件5：</w:t>
          </w:r>
          <w:r>
            <w:rPr>
              <w:rFonts w:hint="eastAsia"/>
              <w:bCs/>
              <w:lang w:val="en-US" w:eastAsia="zh-CN"/>
            </w:rPr>
            <w:t>项目用地预审与选址审查意见</w:t>
          </w:r>
          <w:r>
            <w:tab/>
          </w:r>
          <w:r>
            <w:fldChar w:fldCharType="begin"/>
          </w:r>
          <w:r>
            <w:instrText xml:space="preserve"> PAGEREF _Toc20028 \h </w:instrText>
          </w:r>
          <w:r>
            <w:fldChar w:fldCharType="separate"/>
          </w:r>
          <w:r>
            <w:t>79</w:t>
          </w:r>
          <w:r>
            <w:fldChar w:fldCharType="end"/>
          </w:r>
          <w:r>
            <w:rPr>
              <w:rFonts w:ascii="仿宋_GB2312" w:eastAsia="仿宋_GB2312"/>
              <w:bCs/>
              <w:szCs w:val="36"/>
            </w:rPr>
            <w:fldChar w:fldCharType="end"/>
          </w:r>
        </w:p>
        <w:p>
          <w:pPr>
            <w:pStyle w:val="17"/>
            <w:tabs>
              <w:tab w:val="right" w:leader="dot" w:pos="8844"/>
            </w:tabs>
          </w:pPr>
          <w:r>
            <w:rPr>
              <w:rFonts w:ascii="仿宋_GB2312" w:eastAsia="仿宋_GB2312"/>
              <w:bCs/>
              <w:szCs w:val="36"/>
            </w:rPr>
            <w:fldChar w:fldCharType="begin"/>
          </w:r>
          <w:r>
            <w:rPr>
              <w:rFonts w:ascii="仿宋_GB2312" w:eastAsia="仿宋_GB2312"/>
              <w:bCs/>
              <w:szCs w:val="36"/>
            </w:rPr>
            <w:instrText xml:space="preserve"> HYPERLINK \l _Toc14723 </w:instrText>
          </w:r>
          <w:r>
            <w:rPr>
              <w:rFonts w:ascii="仿宋_GB2312" w:eastAsia="仿宋_GB2312"/>
              <w:bCs/>
              <w:szCs w:val="36"/>
            </w:rPr>
            <w:fldChar w:fldCharType="separate"/>
          </w:r>
          <w:r>
            <w:rPr>
              <w:rFonts w:hint="eastAsia"/>
              <w:bCs/>
            </w:rPr>
            <w:t>附件6：</w:t>
          </w:r>
          <w:r>
            <w:rPr>
              <w:rFonts w:hint="eastAsia"/>
              <w:bCs/>
              <w:lang w:val="en-US" w:eastAsia="zh-CN"/>
            </w:rPr>
            <w:t>项目用地规划条件书</w:t>
          </w:r>
          <w:r>
            <w:tab/>
          </w:r>
          <w:r>
            <w:fldChar w:fldCharType="begin"/>
          </w:r>
          <w:r>
            <w:instrText xml:space="preserve"> PAGEREF _Toc14723 \h </w:instrText>
          </w:r>
          <w:r>
            <w:fldChar w:fldCharType="separate"/>
          </w:r>
          <w:r>
            <w:t>80</w:t>
          </w:r>
          <w:r>
            <w:fldChar w:fldCharType="end"/>
          </w:r>
          <w:r>
            <w:rPr>
              <w:rFonts w:ascii="仿宋_GB2312" w:eastAsia="仿宋_GB2312"/>
              <w:bCs/>
              <w:szCs w:val="36"/>
            </w:rPr>
            <w:fldChar w:fldCharType="end"/>
          </w:r>
        </w:p>
        <w:p>
          <w:pPr>
            <w:pStyle w:val="17"/>
            <w:tabs>
              <w:tab w:val="right" w:leader="dot" w:pos="8844"/>
            </w:tabs>
          </w:pPr>
          <w:r>
            <w:rPr>
              <w:rFonts w:ascii="仿宋_GB2312" w:eastAsia="仿宋_GB2312"/>
              <w:bCs/>
              <w:szCs w:val="36"/>
            </w:rPr>
            <w:fldChar w:fldCharType="begin"/>
          </w:r>
          <w:r>
            <w:rPr>
              <w:rFonts w:ascii="仿宋_GB2312" w:eastAsia="仿宋_GB2312"/>
              <w:bCs/>
              <w:szCs w:val="36"/>
            </w:rPr>
            <w:instrText xml:space="preserve"> HYPERLINK \l _Toc24604 </w:instrText>
          </w:r>
          <w:r>
            <w:rPr>
              <w:rFonts w:ascii="仿宋_GB2312" w:eastAsia="仿宋_GB2312"/>
              <w:bCs/>
              <w:szCs w:val="36"/>
            </w:rPr>
            <w:fldChar w:fldCharType="separate"/>
          </w:r>
          <w:r>
            <w:rPr>
              <w:rFonts w:hint="eastAsia"/>
              <w:bCs/>
              <w:lang w:val="en-US" w:eastAsia="zh-CN"/>
            </w:rPr>
            <w:t>附件7：周边农田租赁协议</w:t>
          </w:r>
          <w:r>
            <w:tab/>
          </w:r>
          <w:r>
            <w:fldChar w:fldCharType="begin"/>
          </w:r>
          <w:r>
            <w:instrText xml:space="preserve"> PAGEREF _Toc24604 \h </w:instrText>
          </w:r>
          <w:r>
            <w:fldChar w:fldCharType="separate"/>
          </w:r>
          <w:r>
            <w:t>81</w:t>
          </w:r>
          <w:r>
            <w:fldChar w:fldCharType="end"/>
          </w:r>
          <w:r>
            <w:rPr>
              <w:rFonts w:ascii="仿宋_GB2312" w:eastAsia="仿宋_GB2312"/>
              <w:bCs/>
              <w:szCs w:val="36"/>
            </w:rPr>
            <w:fldChar w:fldCharType="end"/>
          </w:r>
        </w:p>
        <w:p>
          <w:pPr>
            <w:pStyle w:val="17"/>
            <w:tabs>
              <w:tab w:val="right" w:leader="dot" w:pos="8844"/>
            </w:tabs>
          </w:pPr>
          <w:r>
            <w:rPr>
              <w:rFonts w:ascii="仿宋_GB2312" w:eastAsia="仿宋_GB2312"/>
              <w:bCs/>
              <w:szCs w:val="36"/>
            </w:rPr>
            <w:fldChar w:fldCharType="begin"/>
          </w:r>
          <w:r>
            <w:rPr>
              <w:rFonts w:ascii="仿宋_GB2312" w:eastAsia="仿宋_GB2312"/>
              <w:bCs/>
              <w:szCs w:val="36"/>
            </w:rPr>
            <w:instrText xml:space="preserve"> HYPERLINK \l _Toc13366 </w:instrText>
          </w:r>
          <w:r>
            <w:rPr>
              <w:rFonts w:ascii="仿宋_GB2312" w:eastAsia="仿宋_GB2312"/>
              <w:bCs/>
              <w:szCs w:val="36"/>
            </w:rPr>
            <w:fldChar w:fldCharType="separate"/>
          </w:r>
          <w:r>
            <w:rPr>
              <w:rFonts w:hint="eastAsia"/>
              <w:bCs/>
              <w:lang w:val="en-US" w:eastAsia="zh-CN"/>
            </w:rPr>
            <w:t>附件8：检测报告</w:t>
          </w:r>
          <w:r>
            <w:tab/>
          </w:r>
          <w:r>
            <w:fldChar w:fldCharType="begin"/>
          </w:r>
          <w:r>
            <w:instrText xml:space="preserve"> PAGEREF _Toc13366 \h </w:instrText>
          </w:r>
          <w:r>
            <w:fldChar w:fldCharType="separate"/>
          </w:r>
          <w:r>
            <w:t>84</w:t>
          </w:r>
          <w:r>
            <w:fldChar w:fldCharType="end"/>
          </w:r>
          <w:r>
            <w:rPr>
              <w:rFonts w:ascii="仿宋_GB2312" w:eastAsia="仿宋_GB2312"/>
              <w:bCs/>
              <w:szCs w:val="36"/>
            </w:rPr>
            <w:fldChar w:fldCharType="end"/>
          </w:r>
        </w:p>
        <w:p>
          <w:pPr>
            <w:pStyle w:val="17"/>
            <w:tabs>
              <w:tab w:val="right" w:leader="dot" w:pos="8844"/>
            </w:tabs>
          </w:pPr>
          <w:r>
            <w:rPr>
              <w:rFonts w:ascii="仿宋_GB2312" w:eastAsia="仿宋_GB2312"/>
              <w:bCs/>
              <w:szCs w:val="36"/>
            </w:rPr>
            <w:fldChar w:fldCharType="begin"/>
          </w:r>
          <w:r>
            <w:rPr>
              <w:rFonts w:ascii="仿宋_GB2312" w:eastAsia="仿宋_GB2312"/>
              <w:bCs/>
              <w:szCs w:val="36"/>
            </w:rPr>
            <w:instrText xml:space="preserve"> HYPERLINK \l _Toc7337 </w:instrText>
          </w:r>
          <w:r>
            <w:rPr>
              <w:rFonts w:ascii="仿宋_GB2312" w:eastAsia="仿宋_GB2312"/>
              <w:bCs/>
              <w:szCs w:val="36"/>
            </w:rPr>
            <w:fldChar w:fldCharType="separate"/>
          </w:r>
          <w:r>
            <w:rPr>
              <w:rFonts w:hint="eastAsia"/>
              <w:bCs/>
              <w:lang w:val="en-US" w:eastAsia="zh-CN"/>
            </w:rPr>
            <w:t>附件9：生物质颗粒燃料分析报告</w:t>
          </w:r>
          <w:r>
            <w:tab/>
          </w:r>
          <w:r>
            <w:fldChar w:fldCharType="begin"/>
          </w:r>
          <w:r>
            <w:instrText xml:space="preserve"> PAGEREF _Toc7337 \h </w:instrText>
          </w:r>
          <w:r>
            <w:fldChar w:fldCharType="separate"/>
          </w:r>
          <w:r>
            <w:t>91</w:t>
          </w:r>
          <w:r>
            <w:fldChar w:fldCharType="end"/>
          </w:r>
          <w:r>
            <w:rPr>
              <w:rFonts w:ascii="仿宋_GB2312" w:eastAsia="仿宋_GB2312"/>
              <w:bCs/>
              <w:szCs w:val="36"/>
            </w:rPr>
            <w:fldChar w:fldCharType="end"/>
          </w:r>
        </w:p>
        <w:p>
          <w:pPr>
            <w:pStyle w:val="17"/>
            <w:tabs>
              <w:tab w:val="right" w:leader="dot" w:pos="8844"/>
            </w:tabs>
          </w:pPr>
          <w:r>
            <w:rPr>
              <w:rFonts w:ascii="仿宋_GB2312" w:eastAsia="仿宋_GB2312"/>
              <w:bCs/>
              <w:szCs w:val="36"/>
            </w:rPr>
            <w:fldChar w:fldCharType="begin"/>
          </w:r>
          <w:r>
            <w:rPr>
              <w:rFonts w:ascii="仿宋_GB2312" w:eastAsia="仿宋_GB2312"/>
              <w:bCs/>
              <w:szCs w:val="36"/>
            </w:rPr>
            <w:instrText xml:space="preserve"> HYPERLINK \l _Toc16311 </w:instrText>
          </w:r>
          <w:r>
            <w:rPr>
              <w:rFonts w:ascii="仿宋_GB2312" w:eastAsia="仿宋_GB2312"/>
              <w:bCs/>
              <w:szCs w:val="36"/>
            </w:rPr>
            <w:fldChar w:fldCharType="separate"/>
          </w:r>
          <w:r>
            <w:rPr>
              <w:rFonts w:hint="eastAsia"/>
              <w:bCs/>
              <w:lang w:val="en-US" w:eastAsia="zh-CN"/>
            </w:rPr>
            <w:t>附件10：专家评审会签到表</w:t>
          </w:r>
          <w:r>
            <w:tab/>
          </w:r>
          <w:r>
            <w:fldChar w:fldCharType="begin"/>
          </w:r>
          <w:r>
            <w:instrText xml:space="preserve"> PAGEREF _Toc16311 \h </w:instrText>
          </w:r>
          <w:r>
            <w:fldChar w:fldCharType="separate"/>
          </w:r>
          <w:r>
            <w:t>95</w:t>
          </w:r>
          <w:r>
            <w:fldChar w:fldCharType="end"/>
          </w:r>
          <w:r>
            <w:rPr>
              <w:rFonts w:ascii="仿宋_GB2312" w:eastAsia="仿宋_GB2312"/>
              <w:bCs/>
              <w:szCs w:val="36"/>
            </w:rPr>
            <w:fldChar w:fldCharType="end"/>
          </w:r>
        </w:p>
        <w:p>
          <w:pPr>
            <w:pStyle w:val="17"/>
            <w:tabs>
              <w:tab w:val="right" w:leader="dot" w:pos="8844"/>
            </w:tabs>
          </w:pPr>
          <w:r>
            <w:rPr>
              <w:rFonts w:ascii="仿宋_GB2312" w:eastAsia="仿宋_GB2312"/>
              <w:bCs/>
              <w:szCs w:val="36"/>
            </w:rPr>
            <w:fldChar w:fldCharType="begin"/>
          </w:r>
          <w:r>
            <w:rPr>
              <w:rFonts w:ascii="仿宋_GB2312" w:eastAsia="仿宋_GB2312"/>
              <w:bCs/>
              <w:szCs w:val="36"/>
            </w:rPr>
            <w:instrText xml:space="preserve"> HYPERLINK \l _Toc24904 </w:instrText>
          </w:r>
          <w:r>
            <w:rPr>
              <w:rFonts w:ascii="仿宋_GB2312" w:eastAsia="仿宋_GB2312"/>
              <w:bCs/>
              <w:szCs w:val="36"/>
            </w:rPr>
            <w:fldChar w:fldCharType="separate"/>
          </w:r>
          <w:r>
            <w:rPr>
              <w:rFonts w:hint="eastAsia"/>
              <w:bCs/>
              <w:lang w:val="en-US" w:eastAsia="zh-CN"/>
            </w:rPr>
            <w:t>附件11：专家评审意见</w:t>
          </w:r>
          <w:r>
            <w:tab/>
          </w:r>
          <w:r>
            <w:fldChar w:fldCharType="begin"/>
          </w:r>
          <w:r>
            <w:instrText xml:space="preserve"> PAGEREF _Toc24904 \h </w:instrText>
          </w:r>
          <w:r>
            <w:fldChar w:fldCharType="separate"/>
          </w:r>
          <w:r>
            <w:t>96</w:t>
          </w:r>
          <w:r>
            <w:fldChar w:fldCharType="end"/>
          </w:r>
          <w:r>
            <w:rPr>
              <w:rFonts w:ascii="仿宋_GB2312" w:eastAsia="仿宋_GB2312"/>
              <w:bCs/>
              <w:szCs w:val="36"/>
            </w:rPr>
            <w:fldChar w:fldCharType="end"/>
          </w:r>
        </w:p>
        <w:p>
          <w:pPr>
            <w:pStyle w:val="17"/>
            <w:tabs>
              <w:tab w:val="right" w:leader="dot" w:pos="8844"/>
            </w:tabs>
          </w:pPr>
          <w:r>
            <w:rPr>
              <w:rFonts w:ascii="仿宋_GB2312" w:eastAsia="仿宋_GB2312"/>
              <w:bCs/>
              <w:szCs w:val="36"/>
            </w:rPr>
            <w:fldChar w:fldCharType="begin"/>
          </w:r>
          <w:r>
            <w:rPr>
              <w:rFonts w:ascii="仿宋_GB2312" w:eastAsia="仿宋_GB2312"/>
              <w:bCs/>
              <w:szCs w:val="36"/>
            </w:rPr>
            <w:instrText xml:space="preserve"> HYPERLINK \l _Toc15511 </w:instrText>
          </w:r>
          <w:r>
            <w:rPr>
              <w:rFonts w:ascii="仿宋_GB2312" w:eastAsia="仿宋_GB2312"/>
              <w:bCs/>
              <w:szCs w:val="36"/>
            </w:rPr>
            <w:fldChar w:fldCharType="separate"/>
          </w:r>
          <w:r>
            <w:rPr>
              <w:rFonts w:hint="eastAsia"/>
              <w:bCs/>
              <w:lang w:val="en-US" w:eastAsia="zh-CN"/>
            </w:rPr>
            <w:t>附图1：项目地理位置图</w:t>
          </w:r>
          <w:r>
            <w:tab/>
          </w:r>
          <w:r>
            <w:fldChar w:fldCharType="begin"/>
          </w:r>
          <w:r>
            <w:instrText xml:space="preserve"> PAGEREF _Toc15511 \h </w:instrText>
          </w:r>
          <w:r>
            <w:fldChar w:fldCharType="separate"/>
          </w:r>
          <w:r>
            <w:t>98</w:t>
          </w:r>
          <w:r>
            <w:fldChar w:fldCharType="end"/>
          </w:r>
          <w:r>
            <w:rPr>
              <w:rFonts w:ascii="仿宋_GB2312" w:eastAsia="仿宋_GB2312"/>
              <w:bCs/>
              <w:szCs w:val="36"/>
            </w:rPr>
            <w:fldChar w:fldCharType="end"/>
          </w:r>
        </w:p>
        <w:p>
          <w:pPr>
            <w:pStyle w:val="17"/>
            <w:tabs>
              <w:tab w:val="right" w:leader="dot" w:pos="8844"/>
            </w:tabs>
          </w:pPr>
          <w:r>
            <w:rPr>
              <w:rFonts w:ascii="仿宋_GB2312" w:eastAsia="仿宋_GB2312"/>
              <w:bCs/>
              <w:szCs w:val="36"/>
            </w:rPr>
            <w:fldChar w:fldCharType="begin"/>
          </w:r>
          <w:r>
            <w:rPr>
              <w:rFonts w:ascii="仿宋_GB2312" w:eastAsia="仿宋_GB2312"/>
              <w:bCs/>
              <w:szCs w:val="36"/>
            </w:rPr>
            <w:instrText xml:space="preserve"> HYPERLINK \l _Toc2581 </w:instrText>
          </w:r>
          <w:r>
            <w:rPr>
              <w:rFonts w:ascii="仿宋_GB2312" w:eastAsia="仿宋_GB2312"/>
              <w:bCs/>
              <w:szCs w:val="36"/>
            </w:rPr>
            <w:fldChar w:fldCharType="separate"/>
          </w:r>
          <w:r>
            <w:rPr>
              <w:rFonts w:hint="eastAsia"/>
              <w:bCs/>
              <w:lang w:val="en-US" w:eastAsia="zh-CN"/>
            </w:rPr>
            <w:t>附图2：项目总平面布置图</w:t>
          </w:r>
          <w:r>
            <w:tab/>
          </w:r>
          <w:r>
            <w:fldChar w:fldCharType="begin"/>
          </w:r>
          <w:r>
            <w:instrText xml:space="preserve"> PAGEREF _Toc2581 \h </w:instrText>
          </w:r>
          <w:r>
            <w:fldChar w:fldCharType="separate"/>
          </w:r>
          <w:r>
            <w:t>99</w:t>
          </w:r>
          <w:r>
            <w:fldChar w:fldCharType="end"/>
          </w:r>
          <w:r>
            <w:rPr>
              <w:rFonts w:ascii="仿宋_GB2312" w:eastAsia="仿宋_GB2312"/>
              <w:bCs/>
              <w:szCs w:val="36"/>
            </w:rPr>
            <w:fldChar w:fldCharType="end"/>
          </w:r>
        </w:p>
        <w:p>
          <w:pPr>
            <w:pStyle w:val="17"/>
            <w:tabs>
              <w:tab w:val="right" w:leader="dot" w:pos="8844"/>
            </w:tabs>
          </w:pPr>
          <w:r>
            <w:rPr>
              <w:rFonts w:ascii="仿宋_GB2312" w:eastAsia="仿宋_GB2312"/>
              <w:bCs/>
              <w:szCs w:val="36"/>
            </w:rPr>
            <w:fldChar w:fldCharType="begin"/>
          </w:r>
          <w:r>
            <w:rPr>
              <w:rFonts w:ascii="仿宋_GB2312" w:eastAsia="仿宋_GB2312"/>
              <w:bCs/>
              <w:szCs w:val="36"/>
            </w:rPr>
            <w:instrText xml:space="preserve"> HYPERLINK \l _Toc25862 </w:instrText>
          </w:r>
          <w:r>
            <w:rPr>
              <w:rFonts w:ascii="仿宋_GB2312" w:eastAsia="仿宋_GB2312"/>
              <w:bCs/>
              <w:szCs w:val="36"/>
            </w:rPr>
            <w:fldChar w:fldCharType="separate"/>
          </w:r>
          <w:r>
            <w:rPr>
              <w:rFonts w:hint="eastAsia"/>
              <w:bCs/>
              <w:lang w:val="en-US" w:eastAsia="zh-CN"/>
            </w:rPr>
            <w:t>附图3：主要环保设施位置图</w:t>
          </w:r>
          <w:r>
            <w:tab/>
          </w:r>
          <w:r>
            <w:fldChar w:fldCharType="begin"/>
          </w:r>
          <w:r>
            <w:instrText xml:space="preserve"> PAGEREF _Toc25862 \h </w:instrText>
          </w:r>
          <w:r>
            <w:fldChar w:fldCharType="separate"/>
          </w:r>
          <w:r>
            <w:t>100</w:t>
          </w:r>
          <w:r>
            <w:fldChar w:fldCharType="end"/>
          </w:r>
          <w:r>
            <w:rPr>
              <w:rFonts w:ascii="仿宋_GB2312" w:eastAsia="仿宋_GB2312"/>
              <w:bCs/>
              <w:szCs w:val="36"/>
            </w:rPr>
            <w:fldChar w:fldCharType="end"/>
          </w:r>
        </w:p>
        <w:p>
          <w:pPr>
            <w:pStyle w:val="17"/>
            <w:tabs>
              <w:tab w:val="right" w:leader="dot" w:pos="8844"/>
            </w:tabs>
          </w:pPr>
          <w:r>
            <w:rPr>
              <w:rFonts w:ascii="仿宋_GB2312" w:eastAsia="仿宋_GB2312"/>
              <w:bCs/>
              <w:szCs w:val="36"/>
            </w:rPr>
            <w:fldChar w:fldCharType="begin"/>
          </w:r>
          <w:r>
            <w:rPr>
              <w:rFonts w:ascii="仿宋_GB2312" w:eastAsia="仿宋_GB2312"/>
              <w:bCs/>
              <w:szCs w:val="36"/>
            </w:rPr>
            <w:instrText xml:space="preserve"> HYPERLINK \l _Toc9444 </w:instrText>
          </w:r>
          <w:r>
            <w:rPr>
              <w:rFonts w:ascii="仿宋_GB2312" w:eastAsia="仿宋_GB2312"/>
              <w:bCs/>
              <w:szCs w:val="36"/>
            </w:rPr>
            <w:fldChar w:fldCharType="separate"/>
          </w:r>
          <w:r>
            <w:rPr>
              <w:rFonts w:hint="eastAsia"/>
              <w:bCs/>
              <w:lang w:val="en-US" w:eastAsia="zh-CN"/>
            </w:rPr>
            <w:t>附图4：锅炉及配套设施平面图</w:t>
          </w:r>
          <w:r>
            <w:tab/>
          </w:r>
          <w:r>
            <w:fldChar w:fldCharType="begin"/>
          </w:r>
          <w:r>
            <w:instrText xml:space="preserve"> PAGEREF _Toc9444 \h </w:instrText>
          </w:r>
          <w:r>
            <w:fldChar w:fldCharType="separate"/>
          </w:r>
          <w:r>
            <w:t>101</w:t>
          </w:r>
          <w:r>
            <w:fldChar w:fldCharType="end"/>
          </w:r>
          <w:r>
            <w:rPr>
              <w:rFonts w:ascii="仿宋_GB2312" w:eastAsia="仿宋_GB2312"/>
              <w:bCs/>
              <w:szCs w:val="36"/>
            </w:rPr>
            <w:fldChar w:fldCharType="end"/>
          </w:r>
        </w:p>
        <w:p>
          <w:pPr>
            <w:pStyle w:val="17"/>
            <w:tabs>
              <w:tab w:val="right" w:leader="dot" w:pos="8844"/>
            </w:tabs>
          </w:pPr>
          <w:r>
            <w:rPr>
              <w:rFonts w:ascii="仿宋_GB2312" w:eastAsia="仿宋_GB2312"/>
              <w:bCs/>
              <w:szCs w:val="36"/>
            </w:rPr>
            <w:fldChar w:fldCharType="begin"/>
          </w:r>
          <w:r>
            <w:rPr>
              <w:rFonts w:ascii="仿宋_GB2312" w:eastAsia="仿宋_GB2312"/>
              <w:bCs/>
              <w:szCs w:val="36"/>
            </w:rPr>
            <w:instrText xml:space="preserve"> HYPERLINK \l _Toc25190 </w:instrText>
          </w:r>
          <w:r>
            <w:rPr>
              <w:rFonts w:ascii="仿宋_GB2312" w:eastAsia="仿宋_GB2312"/>
              <w:bCs/>
              <w:szCs w:val="36"/>
            </w:rPr>
            <w:fldChar w:fldCharType="separate"/>
          </w:r>
          <w:r>
            <w:rPr>
              <w:rFonts w:hint="eastAsia"/>
              <w:bCs/>
              <w:lang w:val="en-US" w:eastAsia="zh-CN"/>
            </w:rPr>
            <w:t>附图5：区域水系图</w:t>
          </w:r>
          <w:r>
            <w:tab/>
          </w:r>
          <w:r>
            <w:fldChar w:fldCharType="begin"/>
          </w:r>
          <w:r>
            <w:instrText xml:space="preserve"> PAGEREF _Toc25190 \h </w:instrText>
          </w:r>
          <w:r>
            <w:fldChar w:fldCharType="separate"/>
          </w:r>
          <w:r>
            <w:t>102</w:t>
          </w:r>
          <w:r>
            <w:fldChar w:fldCharType="end"/>
          </w:r>
          <w:r>
            <w:rPr>
              <w:rFonts w:ascii="仿宋_GB2312" w:eastAsia="仿宋_GB2312"/>
              <w:bCs/>
              <w:szCs w:val="36"/>
            </w:rPr>
            <w:fldChar w:fldCharType="end"/>
          </w:r>
        </w:p>
        <w:p>
          <w:pPr>
            <w:pStyle w:val="17"/>
            <w:tabs>
              <w:tab w:val="right" w:leader="dot" w:pos="8844"/>
            </w:tabs>
          </w:pPr>
          <w:r>
            <w:rPr>
              <w:rFonts w:ascii="仿宋_GB2312" w:eastAsia="仿宋_GB2312"/>
              <w:bCs/>
              <w:szCs w:val="36"/>
            </w:rPr>
            <w:fldChar w:fldCharType="begin"/>
          </w:r>
          <w:r>
            <w:rPr>
              <w:rFonts w:ascii="仿宋_GB2312" w:eastAsia="仿宋_GB2312"/>
              <w:bCs/>
              <w:szCs w:val="36"/>
            </w:rPr>
            <w:instrText xml:space="preserve"> HYPERLINK \l _Toc9475 </w:instrText>
          </w:r>
          <w:r>
            <w:rPr>
              <w:rFonts w:ascii="仿宋_GB2312" w:eastAsia="仿宋_GB2312"/>
              <w:bCs/>
              <w:szCs w:val="36"/>
            </w:rPr>
            <w:fldChar w:fldCharType="separate"/>
          </w:r>
          <w:r>
            <w:rPr>
              <w:rFonts w:hint="eastAsia"/>
              <w:bCs/>
              <w:lang w:val="en-US" w:eastAsia="zh-CN"/>
            </w:rPr>
            <w:t>附图6：项目大气环境保护目标分布图</w:t>
          </w:r>
          <w:r>
            <w:tab/>
          </w:r>
          <w:r>
            <w:fldChar w:fldCharType="begin"/>
          </w:r>
          <w:r>
            <w:instrText xml:space="preserve"> PAGEREF _Toc9475 \h </w:instrText>
          </w:r>
          <w:r>
            <w:fldChar w:fldCharType="separate"/>
          </w:r>
          <w:r>
            <w:t>103</w:t>
          </w:r>
          <w:r>
            <w:fldChar w:fldCharType="end"/>
          </w:r>
          <w:r>
            <w:rPr>
              <w:rFonts w:ascii="仿宋_GB2312" w:eastAsia="仿宋_GB2312"/>
              <w:bCs/>
              <w:szCs w:val="36"/>
            </w:rPr>
            <w:fldChar w:fldCharType="end"/>
          </w:r>
        </w:p>
        <w:p>
          <w:pPr>
            <w:pStyle w:val="17"/>
            <w:tabs>
              <w:tab w:val="right" w:leader="dot" w:pos="8844"/>
            </w:tabs>
          </w:pPr>
          <w:r>
            <w:rPr>
              <w:rFonts w:ascii="仿宋_GB2312" w:eastAsia="仿宋_GB2312"/>
              <w:bCs/>
              <w:szCs w:val="36"/>
            </w:rPr>
            <w:fldChar w:fldCharType="begin"/>
          </w:r>
          <w:r>
            <w:rPr>
              <w:rFonts w:ascii="仿宋_GB2312" w:eastAsia="仿宋_GB2312"/>
              <w:bCs/>
              <w:szCs w:val="36"/>
            </w:rPr>
            <w:instrText xml:space="preserve"> HYPERLINK \l _Toc21620 </w:instrText>
          </w:r>
          <w:r>
            <w:rPr>
              <w:rFonts w:ascii="仿宋_GB2312" w:eastAsia="仿宋_GB2312"/>
              <w:bCs/>
              <w:szCs w:val="36"/>
            </w:rPr>
            <w:fldChar w:fldCharType="separate"/>
          </w:r>
          <w:r>
            <w:rPr>
              <w:rFonts w:hint="eastAsia"/>
              <w:bCs/>
              <w:lang w:val="en-US" w:eastAsia="zh-CN"/>
            </w:rPr>
            <w:t>附图7：50m包络线内敏感目标分布图</w:t>
          </w:r>
          <w:r>
            <w:tab/>
          </w:r>
          <w:r>
            <w:fldChar w:fldCharType="begin"/>
          </w:r>
          <w:r>
            <w:instrText xml:space="preserve"> PAGEREF _Toc21620 \h </w:instrText>
          </w:r>
          <w:r>
            <w:fldChar w:fldCharType="separate"/>
          </w:r>
          <w:r>
            <w:t>104</w:t>
          </w:r>
          <w:r>
            <w:fldChar w:fldCharType="end"/>
          </w:r>
          <w:r>
            <w:rPr>
              <w:rFonts w:ascii="仿宋_GB2312" w:eastAsia="仿宋_GB2312"/>
              <w:bCs/>
              <w:szCs w:val="36"/>
            </w:rPr>
            <w:fldChar w:fldCharType="end"/>
          </w:r>
        </w:p>
        <w:p>
          <w:pPr>
            <w:pStyle w:val="17"/>
            <w:tabs>
              <w:tab w:val="right" w:leader="dot" w:pos="8844"/>
            </w:tabs>
          </w:pPr>
          <w:r>
            <w:rPr>
              <w:rFonts w:ascii="仿宋_GB2312" w:eastAsia="仿宋_GB2312"/>
              <w:bCs/>
              <w:szCs w:val="36"/>
            </w:rPr>
            <w:fldChar w:fldCharType="begin"/>
          </w:r>
          <w:r>
            <w:rPr>
              <w:rFonts w:ascii="仿宋_GB2312" w:eastAsia="仿宋_GB2312"/>
              <w:bCs/>
              <w:szCs w:val="36"/>
            </w:rPr>
            <w:instrText xml:space="preserve"> HYPERLINK \l _Toc26168 </w:instrText>
          </w:r>
          <w:r>
            <w:rPr>
              <w:rFonts w:ascii="仿宋_GB2312" w:eastAsia="仿宋_GB2312"/>
              <w:bCs/>
              <w:szCs w:val="36"/>
            </w:rPr>
            <w:fldChar w:fldCharType="separate"/>
          </w:r>
          <w:r>
            <w:rPr>
              <w:rFonts w:hint="eastAsia"/>
              <w:bCs/>
              <w:lang w:val="en-US" w:eastAsia="zh-CN"/>
            </w:rPr>
            <w:t>附图8：500m包络线内敏感目标分布图</w:t>
          </w:r>
          <w:r>
            <w:tab/>
          </w:r>
          <w:r>
            <w:fldChar w:fldCharType="begin"/>
          </w:r>
          <w:r>
            <w:instrText xml:space="preserve"> PAGEREF _Toc26168 \h </w:instrText>
          </w:r>
          <w:r>
            <w:fldChar w:fldCharType="separate"/>
          </w:r>
          <w:r>
            <w:t>105</w:t>
          </w:r>
          <w:r>
            <w:fldChar w:fldCharType="end"/>
          </w:r>
          <w:r>
            <w:rPr>
              <w:rFonts w:ascii="仿宋_GB2312" w:eastAsia="仿宋_GB2312"/>
              <w:bCs/>
              <w:szCs w:val="36"/>
            </w:rPr>
            <w:fldChar w:fldCharType="end"/>
          </w:r>
        </w:p>
        <w:p>
          <w:pPr>
            <w:pStyle w:val="17"/>
            <w:tabs>
              <w:tab w:val="right" w:leader="dot" w:pos="8844"/>
            </w:tabs>
          </w:pPr>
          <w:r>
            <w:rPr>
              <w:rFonts w:ascii="仿宋_GB2312" w:eastAsia="仿宋_GB2312"/>
              <w:bCs/>
              <w:szCs w:val="36"/>
            </w:rPr>
            <w:fldChar w:fldCharType="begin"/>
          </w:r>
          <w:r>
            <w:rPr>
              <w:rFonts w:ascii="仿宋_GB2312" w:eastAsia="仿宋_GB2312"/>
              <w:bCs/>
              <w:szCs w:val="36"/>
            </w:rPr>
            <w:instrText xml:space="preserve"> HYPERLINK \l _Toc32474 </w:instrText>
          </w:r>
          <w:r>
            <w:rPr>
              <w:rFonts w:ascii="仿宋_GB2312" w:eastAsia="仿宋_GB2312"/>
              <w:bCs/>
              <w:szCs w:val="36"/>
            </w:rPr>
            <w:fldChar w:fldCharType="separate"/>
          </w:r>
          <w:r>
            <w:rPr>
              <w:rFonts w:hint="eastAsia"/>
              <w:bCs/>
              <w:lang w:val="en-US" w:eastAsia="zh-CN"/>
            </w:rPr>
            <w:t>附图9：项目环境监测布点图</w:t>
          </w:r>
          <w:r>
            <w:tab/>
          </w:r>
          <w:r>
            <w:fldChar w:fldCharType="begin"/>
          </w:r>
          <w:r>
            <w:instrText xml:space="preserve"> PAGEREF _Toc32474 \h </w:instrText>
          </w:r>
          <w:r>
            <w:fldChar w:fldCharType="separate"/>
          </w:r>
          <w:r>
            <w:t>106</w:t>
          </w:r>
          <w:r>
            <w:fldChar w:fldCharType="end"/>
          </w:r>
          <w:r>
            <w:rPr>
              <w:rFonts w:ascii="仿宋_GB2312" w:eastAsia="仿宋_GB2312"/>
              <w:bCs/>
              <w:szCs w:val="36"/>
            </w:rPr>
            <w:fldChar w:fldCharType="end"/>
          </w:r>
        </w:p>
        <w:p>
          <w:pPr>
            <w:pStyle w:val="17"/>
            <w:tabs>
              <w:tab w:val="right" w:leader="dot" w:pos="8844"/>
            </w:tabs>
            <w:rPr>
              <w:rFonts w:ascii="仿宋_GB2312" w:hAnsi="Times New Roman" w:eastAsia="仿宋_GB2312" w:cs="Times New Roman"/>
              <w:bCs/>
              <w:kern w:val="2"/>
              <w:sz w:val="24"/>
              <w:szCs w:val="36"/>
              <w:lang w:val="en-US" w:eastAsia="zh-CN" w:bidi="ar-SA"/>
            </w:rPr>
          </w:pPr>
          <w:r>
            <w:rPr>
              <w:rFonts w:ascii="仿宋_GB2312" w:eastAsia="仿宋_GB2312"/>
              <w:bCs/>
              <w:szCs w:val="36"/>
            </w:rPr>
            <w:fldChar w:fldCharType="begin"/>
          </w:r>
          <w:r>
            <w:rPr>
              <w:rFonts w:ascii="仿宋_GB2312" w:eastAsia="仿宋_GB2312"/>
              <w:bCs/>
              <w:szCs w:val="36"/>
            </w:rPr>
            <w:instrText xml:space="preserve"> HYPERLINK \l _Toc151 </w:instrText>
          </w:r>
          <w:r>
            <w:rPr>
              <w:rFonts w:ascii="仿宋_GB2312" w:eastAsia="仿宋_GB2312"/>
              <w:bCs/>
              <w:szCs w:val="36"/>
            </w:rPr>
            <w:fldChar w:fldCharType="separate"/>
          </w:r>
          <w:r>
            <w:rPr>
              <w:rFonts w:hint="eastAsia"/>
              <w:bCs/>
              <w:lang w:val="en-US" w:eastAsia="zh-CN"/>
            </w:rPr>
            <w:t>附图10：厂区现状图</w:t>
          </w:r>
          <w:r>
            <w:tab/>
          </w:r>
          <w:r>
            <w:fldChar w:fldCharType="begin"/>
          </w:r>
          <w:r>
            <w:instrText xml:space="preserve"> PAGEREF _Toc151 \h </w:instrText>
          </w:r>
          <w:r>
            <w:fldChar w:fldCharType="separate"/>
          </w:r>
          <w:r>
            <w:t>107</w:t>
          </w:r>
          <w:r>
            <w:fldChar w:fldCharType="end"/>
          </w:r>
          <w:r>
            <w:rPr>
              <w:rFonts w:ascii="仿宋_GB2312" w:eastAsia="仿宋_GB2312"/>
              <w:bCs/>
              <w:szCs w:val="36"/>
            </w:rPr>
            <w:fldChar w:fldCharType="end"/>
          </w:r>
          <w:r>
            <w:rPr>
              <w:rFonts w:ascii="仿宋_GB2312" w:eastAsia="仿宋_GB2312"/>
              <w:bCs/>
              <w:szCs w:val="36"/>
            </w:rPr>
            <w:fldChar w:fldCharType="end"/>
          </w:r>
        </w:p>
      </w:sdtContent>
    </w:sdt>
    <w:p>
      <w:pPr>
        <w:pStyle w:val="19"/>
        <w:spacing w:line="240" w:lineRule="auto"/>
        <w:ind w:firstLine="0" w:firstLineChars="0"/>
        <w:jc w:val="center"/>
        <w:outlineLvl w:val="0"/>
        <w:rPr>
          <w:rFonts w:ascii="黑体" w:hAnsi="黑体" w:eastAsia="黑体"/>
          <w:snapToGrid w:val="0"/>
          <w:sz w:val="30"/>
          <w:szCs w:val="30"/>
        </w:rPr>
      </w:pPr>
      <w:bookmarkStart w:id="3" w:name="_Toc28013"/>
      <w:bookmarkStart w:id="4" w:name="_Toc8627"/>
      <w:bookmarkStart w:id="5" w:name="_Toc29719"/>
      <w:r>
        <w:rPr>
          <w:rFonts w:hint="eastAsia" w:ascii="黑体" w:hAnsi="黑体" w:eastAsia="黑体"/>
          <w:snapToGrid w:val="0"/>
          <w:sz w:val="30"/>
          <w:szCs w:val="30"/>
        </w:rPr>
        <w:t>一、建设项目基本情况</w:t>
      </w:r>
      <w:bookmarkEnd w:id="3"/>
      <w:bookmarkEnd w:id="4"/>
      <w:bookmarkEnd w:id="5"/>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9"/>
        <w:gridCol w:w="1555"/>
        <w:gridCol w:w="56"/>
        <w:gridCol w:w="1497"/>
        <w:gridCol w:w="2388"/>
        <w:gridCol w:w="3194"/>
        <w:gridCol w:w="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90" w:hRule="atLeast"/>
          <w:jc w:val="center"/>
        </w:trPr>
        <w:tc>
          <w:tcPr>
            <w:tcW w:w="1573" w:type="dxa"/>
            <w:tcMar>
              <w:top w:w="16" w:type="dxa"/>
              <w:left w:w="16" w:type="dxa"/>
              <w:right w:w="16" w:type="dxa"/>
            </w:tcMar>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建设项目名称</w:t>
            </w:r>
          </w:p>
        </w:tc>
        <w:tc>
          <w:tcPr>
            <w:tcW w:w="7297" w:type="dxa"/>
            <w:gridSpan w:val="5"/>
            <w:vAlign w:val="center"/>
          </w:tcPr>
          <w:p>
            <w:pPr>
              <w:adjustRightInd w:val="0"/>
              <w:snapToGrid w:val="0"/>
              <w:spacing w:line="240" w:lineRule="auto"/>
              <w:ind w:firstLine="0" w:firstLineChars="0"/>
              <w:jc w:val="center"/>
              <w:rPr>
                <w:rFonts w:hint="eastAsia" w:ascii="宋体" w:hAnsi="宋体" w:eastAsia="宋体" w:cs="宋体"/>
                <w:szCs w:val="21"/>
                <w:lang w:eastAsia="zh-CN"/>
              </w:rPr>
            </w:pPr>
            <w:r>
              <w:rPr>
                <w:rFonts w:hint="eastAsia"/>
                <w:lang w:eastAsia="zh-CN"/>
              </w:rPr>
              <w:t>湘阴县食用菌产业融合示范区建设项目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20" w:hRule="atLeast"/>
          <w:jc w:val="center"/>
        </w:trPr>
        <w:tc>
          <w:tcPr>
            <w:tcW w:w="1573" w:type="dxa"/>
            <w:tcMar>
              <w:top w:w="16" w:type="dxa"/>
              <w:left w:w="16" w:type="dxa"/>
              <w:right w:w="16" w:type="dxa"/>
            </w:tcMar>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项目代码</w:t>
            </w:r>
          </w:p>
        </w:tc>
        <w:tc>
          <w:tcPr>
            <w:tcW w:w="7297" w:type="dxa"/>
            <w:gridSpan w:val="5"/>
            <w:vAlign w:val="center"/>
          </w:tcPr>
          <w:p>
            <w:pPr>
              <w:adjustRightInd w:val="0"/>
              <w:snapToGrid w:val="0"/>
              <w:spacing w:line="240" w:lineRule="auto"/>
              <w:ind w:firstLine="0" w:firstLineChars="0"/>
              <w:jc w:val="center"/>
              <w:rPr>
                <w:rFonts w:ascii="宋体" w:hAnsi="宋体" w:cs="宋体"/>
                <w:szCs w:val="21"/>
              </w:rPr>
            </w:pPr>
            <w:r>
              <w:rPr>
                <w:rFonts w:hint="eastAsia"/>
              </w:rPr>
              <w:t>2405-430624-04-05-602852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20" w:hRule="atLeast"/>
          <w:jc w:val="center"/>
        </w:trPr>
        <w:tc>
          <w:tcPr>
            <w:tcW w:w="1573" w:type="dxa"/>
            <w:tcMar>
              <w:top w:w="16" w:type="dxa"/>
              <w:left w:w="16" w:type="dxa"/>
              <w:right w:w="16" w:type="dxa"/>
            </w:tcMar>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建设单位联系人</w:t>
            </w:r>
          </w:p>
        </w:tc>
        <w:tc>
          <w:tcPr>
            <w:tcW w:w="1567" w:type="dxa"/>
            <w:gridSpan w:val="2"/>
            <w:vAlign w:val="center"/>
          </w:tcPr>
          <w:p>
            <w:pPr>
              <w:adjustRightInd w:val="0"/>
              <w:snapToGrid w:val="0"/>
              <w:spacing w:line="240" w:lineRule="auto"/>
              <w:ind w:firstLine="0" w:firstLineChars="0"/>
              <w:jc w:val="center"/>
              <w:rPr>
                <w:rFonts w:hint="eastAsia" w:ascii="宋体" w:hAnsi="宋体" w:eastAsia="宋体" w:cs="宋体"/>
                <w:szCs w:val="21"/>
                <w:lang w:val="en-US" w:eastAsia="zh-CN"/>
              </w:rPr>
            </w:pPr>
            <w:r>
              <w:rPr>
                <w:rFonts w:hint="eastAsia" w:ascii="宋体" w:hAnsi="宋体" w:cs="宋体"/>
                <w:szCs w:val="21"/>
                <w:lang w:val="en-US" w:eastAsia="zh-CN"/>
              </w:rPr>
              <w:t>刘*亮</w:t>
            </w:r>
          </w:p>
        </w:tc>
        <w:tc>
          <w:tcPr>
            <w:tcW w:w="2405" w:type="dxa"/>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联系方式</w:t>
            </w:r>
          </w:p>
        </w:tc>
        <w:tc>
          <w:tcPr>
            <w:tcW w:w="3325" w:type="dxa"/>
            <w:gridSpan w:val="2"/>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153</w:t>
            </w:r>
            <w:r>
              <w:rPr>
                <w:rFonts w:hint="eastAsia" w:ascii="宋体" w:hAnsi="宋体" w:cs="宋体"/>
                <w:szCs w:val="21"/>
                <w:lang w:val="en-US" w:eastAsia="zh-CN"/>
              </w:rPr>
              <w:t>****</w:t>
            </w:r>
            <w:bookmarkStart w:id="34" w:name="_GoBack"/>
            <w:bookmarkEnd w:id="34"/>
            <w:r>
              <w:rPr>
                <w:rFonts w:hint="eastAsia" w:ascii="宋体" w:hAnsi="宋体" w:cs="宋体"/>
                <w:szCs w:val="21"/>
              </w:rPr>
              <w:t>9870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20" w:hRule="atLeast"/>
          <w:jc w:val="center"/>
        </w:trPr>
        <w:tc>
          <w:tcPr>
            <w:tcW w:w="1573" w:type="dxa"/>
            <w:tcMar>
              <w:top w:w="16" w:type="dxa"/>
              <w:left w:w="16" w:type="dxa"/>
              <w:right w:w="16" w:type="dxa"/>
            </w:tcMar>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建设地点</w:t>
            </w:r>
          </w:p>
        </w:tc>
        <w:tc>
          <w:tcPr>
            <w:tcW w:w="7297" w:type="dxa"/>
            <w:gridSpan w:val="5"/>
            <w:vAlign w:val="center"/>
          </w:tcPr>
          <w:p>
            <w:pPr>
              <w:adjustRightInd w:val="0"/>
              <w:snapToGrid w:val="0"/>
              <w:spacing w:line="240" w:lineRule="auto"/>
              <w:ind w:firstLine="0" w:firstLineChars="0"/>
              <w:jc w:val="center"/>
              <w:rPr>
                <w:rFonts w:hint="eastAsia" w:ascii="宋体" w:hAnsi="宋体" w:eastAsia="宋体" w:cs="宋体"/>
                <w:szCs w:val="21"/>
                <w:lang w:eastAsia="zh-CN"/>
              </w:rPr>
            </w:pPr>
            <w:r>
              <w:rPr>
                <w:rFonts w:hint="eastAsia" w:ascii="宋体" w:hAnsi="宋体" w:cs="宋体"/>
                <w:szCs w:val="21"/>
                <w:lang w:eastAsia="zh-CN"/>
              </w:rPr>
              <w:t>湘阴县杨林寨乡太和围村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20" w:hRule="atLeast"/>
          <w:jc w:val="center"/>
        </w:trPr>
        <w:tc>
          <w:tcPr>
            <w:tcW w:w="1573" w:type="dxa"/>
            <w:tcMar>
              <w:top w:w="16" w:type="dxa"/>
              <w:left w:w="16" w:type="dxa"/>
              <w:right w:w="16" w:type="dxa"/>
            </w:tcMar>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地理坐标</w:t>
            </w:r>
          </w:p>
        </w:tc>
        <w:tc>
          <w:tcPr>
            <w:tcW w:w="7297" w:type="dxa"/>
            <w:gridSpan w:val="5"/>
            <w:vAlign w:val="center"/>
          </w:tcPr>
          <w:p>
            <w:pPr>
              <w:spacing w:line="240" w:lineRule="auto"/>
              <w:ind w:firstLine="0" w:firstLineChars="0"/>
              <w:jc w:val="center"/>
              <w:rPr>
                <w:rFonts w:ascii="宋体" w:hAnsi="宋体" w:cs="宋体"/>
                <w:szCs w:val="21"/>
              </w:rPr>
            </w:pPr>
            <w:r>
              <w:rPr>
                <w:rFonts w:hint="eastAsia" w:cs="宋体"/>
                <w:szCs w:val="21"/>
                <w:lang w:eastAsia="zh-CN"/>
              </w:rPr>
              <w:t>(</w:t>
            </w:r>
            <w:r>
              <w:rPr>
                <w:rFonts w:hint="eastAsia" w:cs="宋体"/>
                <w:szCs w:val="21"/>
              </w:rPr>
              <w:t>E112.765538254</w:t>
            </w:r>
            <w:r>
              <w:rPr>
                <w:rFonts w:hint="default" w:ascii="Times New Roman" w:hAnsi="Times New Roman" w:cs="Times New Roman"/>
                <w:szCs w:val="21"/>
              </w:rPr>
              <w:t>̊</w:t>
            </w:r>
            <w:r>
              <w:rPr>
                <w:rFonts w:hint="eastAsia" w:cs="Times New Roman"/>
                <w:szCs w:val="21"/>
                <w:lang w:eastAsia="zh-CN"/>
              </w:rPr>
              <w:t>,</w:t>
            </w:r>
            <w:r>
              <w:rPr>
                <w:rFonts w:hint="eastAsia" w:cs="宋体"/>
                <w:szCs w:val="21"/>
              </w:rPr>
              <w:t>N28.725126928</w:t>
            </w:r>
            <w:r>
              <w:rPr>
                <w:rFonts w:hint="default" w:ascii="Times New Roman" w:hAnsi="Times New Roman" w:cs="Times New Roman"/>
                <w:szCs w:val="21"/>
              </w:rPr>
              <w:t>̊</w:t>
            </w:r>
            <w:r>
              <w:rPr>
                <w:rFonts w:hint="eastAsia" w:cs="Times New Roman"/>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20" w:hRule="atLeast"/>
          <w:jc w:val="center"/>
        </w:trPr>
        <w:tc>
          <w:tcPr>
            <w:tcW w:w="1573" w:type="dxa"/>
            <w:tcMar>
              <w:top w:w="16" w:type="dxa"/>
              <w:left w:w="16" w:type="dxa"/>
              <w:right w:w="16" w:type="dxa"/>
            </w:tcMar>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国民经济</w:t>
            </w:r>
          </w:p>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行业类别</w:t>
            </w:r>
          </w:p>
        </w:tc>
        <w:tc>
          <w:tcPr>
            <w:tcW w:w="1567" w:type="dxa"/>
            <w:gridSpan w:val="2"/>
            <w:vAlign w:val="center"/>
          </w:tcPr>
          <w:p>
            <w:pPr>
              <w:adjustRightInd w:val="0"/>
              <w:snapToGrid w:val="0"/>
              <w:spacing w:line="240" w:lineRule="auto"/>
              <w:ind w:firstLine="0" w:firstLineChars="0"/>
              <w:jc w:val="center"/>
              <w:rPr>
                <w:szCs w:val="21"/>
              </w:rPr>
            </w:pPr>
            <w:r>
              <w:rPr>
                <w:szCs w:val="21"/>
              </w:rPr>
              <w:t>D4430</w:t>
            </w:r>
          </w:p>
          <w:p>
            <w:pPr>
              <w:adjustRightInd w:val="0"/>
              <w:snapToGrid w:val="0"/>
              <w:spacing w:line="240" w:lineRule="auto"/>
              <w:ind w:firstLine="0" w:firstLineChars="0"/>
              <w:jc w:val="center"/>
              <w:rPr>
                <w:rFonts w:ascii="宋体" w:hAnsi="宋体" w:cs="宋体"/>
                <w:szCs w:val="21"/>
              </w:rPr>
            </w:pPr>
            <w:r>
              <w:rPr>
                <w:szCs w:val="21"/>
              </w:rPr>
              <w:t>热力生产和供应、A0142食用菌</w:t>
            </w:r>
            <w:r>
              <w:rPr>
                <w:rFonts w:hint="eastAsia"/>
                <w:szCs w:val="21"/>
              </w:rPr>
              <w:t>种植</w:t>
            </w:r>
          </w:p>
        </w:tc>
        <w:tc>
          <w:tcPr>
            <w:tcW w:w="2405" w:type="dxa"/>
            <w:vAlign w:val="center"/>
          </w:tcPr>
          <w:p>
            <w:pPr>
              <w:adjustRightInd w:val="0"/>
              <w:snapToGrid w:val="0"/>
              <w:spacing w:line="240" w:lineRule="auto"/>
              <w:ind w:firstLine="0" w:firstLineChars="0"/>
              <w:jc w:val="center"/>
              <w:rPr>
                <w:rFonts w:ascii="宋体" w:hAnsi="宋体" w:cs="宋体"/>
                <w:szCs w:val="21"/>
              </w:rPr>
            </w:pPr>
            <w:bookmarkStart w:id="6" w:name="_Hlk49843745"/>
            <w:r>
              <w:rPr>
                <w:rFonts w:hint="eastAsia" w:ascii="宋体" w:hAnsi="宋体" w:cs="宋体"/>
                <w:szCs w:val="21"/>
              </w:rPr>
              <w:t>建设项目</w:t>
            </w:r>
          </w:p>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行业类别</w:t>
            </w:r>
            <w:bookmarkEnd w:id="6"/>
          </w:p>
        </w:tc>
        <w:tc>
          <w:tcPr>
            <w:tcW w:w="3325" w:type="dxa"/>
            <w:gridSpan w:val="2"/>
            <w:vAlign w:val="center"/>
          </w:tcPr>
          <w:p>
            <w:pPr>
              <w:adjustRightInd w:val="0"/>
              <w:snapToGrid w:val="0"/>
              <w:spacing w:line="240" w:lineRule="auto"/>
              <w:ind w:firstLine="0" w:firstLineChars="0"/>
              <w:rPr>
                <w:rFonts w:ascii="宋体" w:hAnsi="宋体" w:cs="宋体"/>
                <w:szCs w:val="21"/>
              </w:rPr>
            </w:pPr>
            <w:r>
              <w:rPr>
                <w:rFonts w:hint="eastAsia" w:ascii="宋体" w:hAnsi="宋体" w:cs="宋体"/>
                <w:szCs w:val="21"/>
              </w:rPr>
              <w:t>四十一、电力、热力生产和供应业91、热力生产和供应工程（包括建设单位自建自用的供热工程）</w:t>
            </w:r>
          </w:p>
          <w:p>
            <w:pPr>
              <w:adjustRightInd w:val="0"/>
              <w:snapToGrid w:val="0"/>
              <w:spacing w:line="240" w:lineRule="auto"/>
              <w:ind w:firstLine="0" w:firstLineChars="0"/>
              <w:rPr>
                <w:rFonts w:ascii="宋体" w:hAnsi="宋体" w:cs="宋体"/>
                <w:szCs w:val="21"/>
              </w:rPr>
            </w:pPr>
            <w:r>
              <w:rPr>
                <w:rFonts w:hint="eastAsia" w:ascii="宋体" w:hAnsi="宋体" w:cs="宋体"/>
                <w:szCs w:val="21"/>
              </w:rPr>
              <w:t>十、农副食品加工业2</w:t>
            </w:r>
            <w:r>
              <w:rPr>
                <w:rFonts w:ascii="宋体" w:hAnsi="宋体" w:cs="宋体"/>
                <w:szCs w:val="21"/>
              </w:rPr>
              <w:t>0</w:t>
            </w:r>
            <w:r>
              <w:rPr>
                <w:rFonts w:hint="eastAsia" w:ascii="宋体" w:hAnsi="宋体" w:cs="宋体"/>
                <w:szCs w:val="21"/>
              </w:rPr>
              <w:t>、其他农副食品加工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20" w:hRule="atLeast"/>
          <w:jc w:val="center"/>
        </w:trPr>
        <w:tc>
          <w:tcPr>
            <w:tcW w:w="1573" w:type="dxa"/>
            <w:tcMar>
              <w:top w:w="16" w:type="dxa"/>
              <w:left w:w="16" w:type="dxa"/>
              <w:right w:w="16" w:type="dxa"/>
            </w:tcMar>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建设性质</w:t>
            </w:r>
          </w:p>
        </w:tc>
        <w:tc>
          <w:tcPr>
            <w:tcW w:w="1567" w:type="dxa"/>
            <w:gridSpan w:val="2"/>
            <w:vAlign w:val="center"/>
          </w:tcPr>
          <w:p>
            <w:pPr>
              <w:spacing w:line="240" w:lineRule="auto"/>
              <w:ind w:firstLine="0" w:firstLineChars="0"/>
              <w:jc w:val="left"/>
              <w:rPr>
                <w:rFonts w:ascii="宋体" w:hAnsi="宋体" w:cs="宋体"/>
                <w:szCs w:val="21"/>
              </w:rPr>
            </w:pPr>
            <w:r>
              <w:rPr>
                <w:rFonts w:hint="eastAsia" w:ascii="宋体" w:hAnsi="宋体" w:cs="宋体"/>
                <w:szCs w:val="21"/>
              </w:rPr>
              <w:sym w:font="Wingdings 2" w:char="0052"/>
            </w:r>
            <w:r>
              <w:rPr>
                <w:rFonts w:hint="eastAsia" w:ascii="宋体" w:hAnsi="宋体" w:cs="宋体"/>
                <w:szCs w:val="21"/>
              </w:rPr>
              <w:t>新建（迁建）</w:t>
            </w:r>
          </w:p>
          <w:p>
            <w:pPr>
              <w:spacing w:line="240" w:lineRule="auto"/>
              <w:ind w:firstLine="0" w:firstLineChars="0"/>
              <w:jc w:val="left"/>
              <w:rPr>
                <w:rFonts w:ascii="宋体" w:hAnsi="宋体" w:cs="宋体"/>
                <w:szCs w:val="21"/>
              </w:rPr>
            </w:pPr>
            <w:r>
              <w:rPr>
                <w:rFonts w:hint="eastAsia" w:ascii="宋体" w:hAnsi="宋体" w:cs="宋体"/>
                <w:szCs w:val="21"/>
              </w:rPr>
              <w:t>□改建</w:t>
            </w:r>
          </w:p>
          <w:p>
            <w:pPr>
              <w:spacing w:line="240" w:lineRule="auto"/>
              <w:ind w:firstLine="0" w:firstLineChars="0"/>
              <w:jc w:val="left"/>
              <w:rPr>
                <w:rFonts w:ascii="宋体" w:hAnsi="宋体" w:cs="宋体"/>
                <w:szCs w:val="21"/>
              </w:rPr>
            </w:pPr>
            <w:r>
              <w:rPr>
                <w:rFonts w:hint="eastAsia" w:ascii="宋体" w:hAnsi="宋体" w:cs="宋体"/>
                <w:szCs w:val="21"/>
              </w:rPr>
              <w:t>□扩建</w:t>
            </w:r>
          </w:p>
          <w:p>
            <w:pPr>
              <w:spacing w:line="240" w:lineRule="auto"/>
              <w:ind w:firstLine="0" w:firstLineChars="0"/>
              <w:jc w:val="left"/>
              <w:rPr>
                <w:rFonts w:ascii="宋体" w:hAnsi="宋体" w:cs="宋体"/>
                <w:szCs w:val="21"/>
              </w:rPr>
            </w:pPr>
            <w:r>
              <w:rPr>
                <w:rFonts w:hint="eastAsia" w:ascii="宋体" w:hAnsi="宋体" w:cs="宋体"/>
                <w:szCs w:val="21"/>
              </w:rPr>
              <w:t>□技术改造</w:t>
            </w:r>
          </w:p>
        </w:tc>
        <w:tc>
          <w:tcPr>
            <w:tcW w:w="2405" w:type="dxa"/>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建设项目</w:t>
            </w:r>
          </w:p>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申报情形</w:t>
            </w:r>
          </w:p>
        </w:tc>
        <w:tc>
          <w:tcPr>
            <w:tcW w:w="3325" w:type="dxa"/>
            <w:gridSpan w:val="2"/>
            <w:vAlign w:val="center"/>
          </w:tcPr>
          <w:p>
            <w:pPr>
              <w:spacing w:line="240" w:lineRule="auto"/>
              <w:ind w:firstLine="0" w:firstLineChars="0"/>
              <w:jc w:val="left"/>
              <w:rPr>
                <w:rFonts w:ascii="宋体" w:hAnsi="宋体" w:cs="宋体"/>
                <w:szCs w:val="21"/>
              </w:rPr>
            </w:pPr>
            <w:r>
              <w:rPr>
                <w:rFonts w:hint="eastAsia" w:ascii="宋体" w:hAnsi="宋体" w:cs="宋体"/>
                <w:szCs w:val="21"/>
              </w:rPr>
              <w:sym w:font="Wingdings 2" w:char="0052"/>
            </w:r>
            <w:r>
              <w:rPr>
                <w:rFonts w:hint="eastAsia" w:ascii="宋体" w:hAnsi="宋体" w:cs="宋体"/>
                <w:szCs w:val="21"/>
              </w:rPr>
              <w:t>首次申报项目</w:t>
            </w:r>
          </w:p>
          <w:p>
            <w:pPr>
              <w:spacing w:line="240" w:lineRule="auto"/>
              <w:ind w:firstLine="0" w:firstLineChars="0"/>
              <w:jc w:val="left"/>
              <w:rPr>
                <w:rFonts w:ascii="宋体" w:hAnsi="宋体" w:cs="宋体"/>
                <w:szCs w:val="21"/>
              </w:rPr>
            </w:pPr>
            <w:r>
              <w:rPr>
                <w:rFonts w:hint="eastAsia" w:ascii="宋体" w:hAnsi="宋体" w:cs="宋体"/>
                <w:szCs w:val="21"/>
              </w:rPr>
              <w:t>□不予批准后再次申报项目</w:t>
            </w:r>
          </w:p>
          <w:p>
            <w:pPr>
              <w:spacing w:line="240" w:lineRule="auto"/>
              <w:ind w:firstLine="0" w:firstLineChars="0"/>
              <w:jc w:val="left"/>
              <w:rPr>
                <w:rFonts w:ascii="宋体" w:hAnsi="宋体" w:cs="宋体"/>
                <w:szCs w:val="21"/>
              </w:rPr>
            </w:pPr>
            <w:r>
              <w:rPr>
                <w:rFonts w:hint="eastAsia" w:ascii="宋体" w:hAnsi="宋体" w:cs="宋体"/>
                <w:szCs w:val="21"/>
              </w:rPr>
              <w:t>□超五年重新审核项目</w:t>
            </w:r>
          </w:p>
          <w:p>
            <w:pPr>
              <w:spacing w:line="240" w:lineRule="auto"/>
              <w:ind w:firstLine="0" w:firstLineChars="0"/>
              <w:jc w:val="left"/>
              <w:rPr>
                <w:rFonts w:ascii="宋体" w:hAnsi="宋体" w:cs="宋体"/>
                <w:szCs w:val="21"/>
              </w:rPr>
            </w:pPr>
            <w:r>
              <w:rPr>
                <w:rFonts w:hint="eastAsia" w:ascii="宋体" w:hAnsi="宋体" w:cs="宋体"/>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20" w:hRule="atLeast"/>
          <w:jc w:val="center"/>
        </w:trPr>
        <w:tc>
          <w:tcPr>
            <w:tcW w:w="1573" w:type="dxa"/>
            <w:tcMar>
              <w:top w:w="16" w:type="dxa"/>
              <w:left w:w="16" w:type="dxa"/>
              <w:right w:w="16" w:type="dxa"/>
            </w:tcMar>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项目审批（核准</w:t>
            </w:r>
            <w:r>
              <w:rPr>
                <w:rFonts w:ascii="宋体" w:hAnsi="宋体" w:cs="宋体"/>
                <w:szCs w:val="21"/>
              </w:rPr>
              <w:t>/</w:t>
            </w:r>
            <w:r>
              <w:rPr>
                <w:rFonts w:hint="eastAsia" w:ascii="宋体" w:hAnsi="宋体" w:cs="宋体"/>
                <w:szCs w:val="21"/>
              </w:rPr>
              <w:t>备案）部门（选填）</w:t>
            </w:r>
          </w:p>
        </w:tc>
        <w:tc>
          <w:tcPr>
            <w:tcW w:w="1567" w:type="dxa"/>
            <w:gridSpan w:val="2"/>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lang w:eastAsia="zh-CN"/>
              </w:rPr>
              <w:t>湘阴县</w:t>
            </w:r>
            <w:r>
              <w:rPr>
                <w:rFonts w:hint="eastAsia" w:ascii="宋体" w:hAnsi="宋体" w:cs="宋体"/>
                <w:szCs w:val="21"/>
              </w:rPr>
              <w:t>发展和改革局</w:t>
            </w:r>
          </w:p>
        </w:tc>
        <w:tc>
          <w:tcPr>
            <w:tcW w:w="2405" w:type="dxa"/>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项目审批（核准</w:t>
            </w:r>
            <w:r>
              <w:rPr>
                <w:rFonts w:ascii="宋体" w:hAnsi="宋体" w:cs="宋体"/>
                <w:szCs w:val="21"/>
              </w:rPr>
              <w:t>/</w:t>
            </w:r>
          </w:p>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备案）文号（选填）</w:t>
            </w:r>
          </w:p>
        </w:tc>
        <w:tc>
          <w:tcPr>
            <w:tcW w:w="3325" w:type="dxa"/>
            <w:gridSpan w:val="2"/>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lang w:val="en-US" w:eastAsia="zh-CN"/>
              </w:rPr>
              <w:t>湘阴发改审〔2024〕162号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20" w:hRule="atLeast"/>
          <w:jc w:val="center"/>
        </w:trPr>
        <w:tc>
          <w:tcPr>
            <w:tcW w:w="1573" w:type="dxa"/>
            <w:tcMar>
              <w:top w:w="16" w:type="dxa"/>
              <w:left w:w="16" w:type="dxa"/>
              <w:right w:w="16" w:type="dxa"/>
            </w:tcMar>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总投资（万元）</w:t>
            </w:r>
          </w:p>
        </w:tc>
        <w:tc>
          <w:tcPr>
            <w:tcW w:w="1567" w:type="dxa"/>
            <w:gridSpan w:val="2"/>
            <w:vAlign w:val="center"/>
          </w:tcPr>
          <w:p>
            <w:pPr>
              <w:adjustRightInd w:val="0"/>
              <w:snapToGrid w:val="0"/>
              <w:spacing w:line="240" w:lineRule="auto"/>
              <w:ind w:firstLine="0" w:firstLineChars="0"/>
              <w:jc w:val="center"/>
              <w:rPr>
                <w:rFonts w:hint="default" w:eastAsia="宋体" w:cs="宋体"/>
                <w:szCs w:val="21"/>
                <w:lang w:val="en-US" w:eastAsia="zh-CN"/>
              </w:rPr>
            </w:pPr>
            <w:r>
              <w:rPr>
                <w:rFonts w:hint="eastAsia" w:cs="宋体"/>
                <w:szCs w:val="21"/>
                <w:lang w:val="en-US" w:eastAsia="zh-CN"/>
              </w:rPr>
              <w:t>19675.46</w:t>
            </w:r>
          </w:p>
        </w:tc>
        <w:tc>
          <w:tcPr>
            <w:tcW w:w="2405" w:type="dxa"/>
            <w:tcMar>
              <w:top w:w="16" w:type="dxa"/>
              <w:left w:w="16" w:type="dxa"/>
              <w:right w:w="16" w:type="dxa"/>
            </w:tcMar>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环保投资（万元）</w:t>
            </w:r>
          </w:p>
        </w:tc>
        <w:tc>
          <w:tcPr>
            <w:tcW w:w="3325" w:type="dxa"/>
            <w:gridSpan w:val="2"/>
            <w:vAlign w:val="center"/>
          </w:tcPr>
          <w:p>
            <w:pPr>
              <w:ind w:firstLine="0" w:firstLineChars="0"/>
              <w:jc w:val="center"/>
              <w:rPr>
                <w:rFonts w:hint="default" w:ascii="宋体" w:hAnsi="宋体" w:eastAsia="宋体" w:cs="宋体"/>
                <w:szCs w:val="21"/>
                <w:lang w:val="en-US" w:eastAsia="zh-CN"/>
              </w:rPr>
            </w:pPr>
            <w:r>
              <w:rPr>
                <w:rFonts w:hint="eastAsia" w:ascii="宋体" w:hAnsi="宋体" w:cs="宋体"/>
                <w:szCs w:val="21"/>
                <w:lang w:val="en-US" w:eastAsia="zh-CN"/>
              </w:rPr>
              <w:t>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20" w:hRule="atLeast"/>
          <w:jc w:val="center"/>
        </w:trPr>
        <w:tc>
          <w:tcPr>
            <w:tcW w:w="1573" w:type="dxa"/>
            <w:tcMar>
              <w:top w:w="16" w:type="dxa"/>
              <w:left w:w="16" w:type="dxa"/>
              <w:right w:w="16" w:type="dxa"/>
            </w:tcMar>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环保投资占比</w:t>
            </w:r>
            <w:r>
              <w:rPr>
                <w:szCs w:val="21"/>
              </w:rPr>
              <w:t>（%）</w:t>
            </w:r>
          </w:p>
        </w:tc>
        <w:tc>
          <w:tcPr>
            <w:tcW w:w="1567" w:type="dxa"/>
            <w:gridSpan w:val="2"/>
            <w:vAlign w:val="center"/>
          </w:tcPr>
          <w:p>
            <w:pPr>
              <w:adjustRightInd w:val="0"/>
              <w:snapToGrid w:val="0"/>
              <w:spacing w:line="240" w:lineRule="auto"/>
              <w:ind w:firstLine="0" w:firstLineChars="0"/>
              <w:jc w:val="center"/>
              <w:rPr>
                <w:rFonts w:hint="default" w:eastAsia="宋体" w:cs="宋体"/>
                <w:szCs w:val="21"/>
                <w:lang w:val="en-US" w:eastAsia="zh-CN"/>
              </w:rPr>
            </w:pPr>
            <w:r>
              <w:rPr>
                <w:rFonts w:hint="eastAsia" w:cs="宋体"/>
                <w:szCs w:val="21"/>
                <w:lang w:val="en-US" w:eastAsia="zh-CN"/>
              </w:rPr>
              <w:t>0.12</w:t>
            </w:r>
          </w:p>
        </w:tc>
        <w:tc>
          <w:tcPr>
            <w:tcW w:w="2405" w:type="dxa"/>
            <w:tcMar>
              <w:top w:w="16" w:type="dxa"/>
              <w:left w:w="16" w:type="dxa"/>
              <w:right w:w="16" w:type="dxa"/>
            </w:tcMar>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施工工期</w:t>
            </w:r>
          </w:p>
        </w:tc>
        <w:tc>
          <w:tcPr>
            <w:tcW w:w="3325" w:type="dxa"/>
            <w:gridSpan w:val="2"/>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lang w:val="en-US" w:eastAsia="zh-CN"/>
              </w:rPr>
              <w:t>12</w:t>
            </w:r>
            <w:r>
              <w:rPr>
                <w:rFonts w:hint="eastAsia" w:ascii="宋体" w:hAnsi="宋体" w:cs="宋体"/>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20" w:hRule="atLeast"/>
          <w:jc w:val="center"/>
        </w:trPr>
        <w:tc>
          <w:tcPr>
            <w:tcW w:w="1573" w:type="dxa"/>
            <w:tcMar>
              <w:top w:w="16" w:type="dxa"/>
              <w:left w:w="16" w:type="dxa"/>
              <w:right w:w="16" w:type="dxa"/>
            </w:tcMar>
            <w:vAlign w:val="center"/>
          </w:tcPr>
          <w:p>
            <w:pPr>
              <w:adjustRightInd w:val="0"/>
              <w:snapToGrid w:val="0"/>
              <w:spacing w:line="240" w:lineRule="auto"/>
              <w:ind w:firstLine="0" w:firstLineChars="0"/>
              <w:jc w:val="center"/>
              <w:rPr>
                <w:rFonts w:ascii="宋体" w:hAnsi="宋体" w:cs="宋体"/>
                <w:szCs w:val="21"/>
              </w:rPr>
            </w:pPr>
            <w:r>
              <w:rPr>
                <w:rFonts w:hint="eastAsia" w:ascii="宋体" w:hAnsi="宋体" w:cs="宋体"/>
                <w:szCs w:val="21"/>
              </w:rPr>
              <w:t>是否开工建设</w:t>
            </w:r>
          </w:p>
        </w:tc>
        <w:tc>
          <w:tcPr>
            <w:tcW w:w="1567" w:type="dxa"/>
            <w:gridSpan w:val="2"/>
            <w:vAlign w:val="center"/>
          </w:tcPr>
          <w:p>
            <w:pPr>
              <w:adjustRightInd w:val="0"/>
              <w:snapToGrid w:val="0"/>
              <w:spacing w:line="240" w:lineRule="auto"/>
              <w:ind w:firstLine="0" w:firstLineChars="0"/>
              <w:rPr>
                <w:rFonts w:ascii="宋体" w:hAnsi="宋体" w:cs="宋体"/>
                <w:szCs w:val="21"/>
              </w:rPr>
            </w:pPr>
            <w:r>
              <w:rPr>
                <w:rFonts w:hint="eastAsia" w:ascii="宋体" w:hAnsi="宋体" w:cs="宋体"/>
                <w:szCs w:val="21"/>
              </w:rPr>
              <w:sym w:font="Wingdings 2" w:char="0052"/>
            </w:r>
            <w:r>
              <w:rPr>
                <w:rFonts w:hint="eastAsia" w:ascii="宋体" w:hAnsi="宋体" w:cs="宋体"/>
                <w:szCs w:val="21"/>
              </w:rPr>
              <w:t>否</w:t>
            </w:r>
          </w:p>
          <w:p>
            <w:pPr>
              <w:adjustRightInd w:val="0"/>
              <w:snapToGrid w:val="0"/>
              <w:spacing w:line="240" w:lineRule="auto"/>
              <w:ind w:firstLine="0" w:firstLineChars="0"/>
              <w:rPr>
                <w:rFonts w:ascii="宋体" w:hAnsi="宋体" w:cs="宋体"/>
                <w:b/>
                <w:bCs/>
                <w:szCs w:val="21"/>
              </w:rPr>
            </w:pPr>
            <w:r>
              <w:rPr>
                <w:rFonts w:hint="eastAsia" w:ascii="宋体" w:hAnsi="宋体" w:cs="宋体"/>
                <w:szCs w:val="21"/>
              </w:rPr>
              <w:t>□是</w:t>
            </w:r>
          </w:p>
        </w:tc>
        <w:tc>
          <w:tcPr>
            <w:tcW w:w="2405" w:type="dxa"/>
            <w:tcMar>
              <w:top w:w="16" w:type="dxa"/>
              <w:left w:w="16" w:type="dxa"/>
              <w:right w:w="16" w:type="dxa"/>
            </w:tcMar>
            <w:vAlign w:val="center"/>
          </w:tcPr>
          <w:p>
            <w:pPr>
              <w:adjustRightInd w:val="0"/>
              <w:snapToGrid w:val="0"/>
              <w:spacing w:line="240" w:lineRule="auto"/>
              <w:ind w:firstLine="0" w:firstLineChars="0"/>
              <w:jc w:val="center"/>
              <w:rPr>
                <w:rFonts w:ascii="宋体" w:hAnsi="宋体" w:cs="宋体"/>
                <w:spacing w:val="-6"/>
                <w:szCs w:val="21"/>
              </w:rPr>
            </w:pPr>
            <w:r>
              <w:rPr>
                <w:rFonts w:hint="eastAsia" w:ascii="宋体" w:hAnsi="宋体" w:cs="宋体"/>
                <w:spacing w:val="-6"/>
                <w:szCs w:val="21"/>
              </w:rPr>
              <w:t>用地（用海）</w:t>
            </w:r>
          </w:p>
          <w:p>
            <w:pPr>
              <w:adjustRightInd w:val="0"/>
              <w:snapToGrid w:val="0"/>
              <w:spacing w:line="240" w:lineRule="auto"/>
              <w:ind w:firstLine="0" w:firstLineChars="0"/>
              <w:jc w:val="center"/>
              <w:rPr>
                <w:rFonts w:ascii="宋体" w:hAnsi="宋体" w:cs="宋体"/>
                <w:szCs w:val="21"/>
              </w:rPr>
            </w:pPr>
            <w:r>
              <w:rPr>
                <w:rFonts w:hint="eastAsia" w:ascii="宋体" w:hAnsi="宋体" w:cs="宋体"/>
                <w:spacing w:val="-6"/>
                <w:szCs w:val="21"/>
              </w:rPr>
              <w:t>面积（</w:t>
            </w:r>
            <w:r>
              <w:rPr>
                <w:spacing w:val="-6"/>
                <w:szCs w:val="21"/>
              </w:rPr>
              <w:t>m</w:t>
            </w:r>
            <w:r>
              <w:rPr>
                <w:spacing w:val="-6"/>
                <w:szCs w:val="21"/>
                <w:vertAlign w:val="superscript"/>
              </w:rPr>
              <w:t>2</w:t>
            </w:r>
            <w:r>
              <w:rPr>
                <w:rFonts w:hint="eastAsia" w:ascii="宋体" w:hAnsi="宋体" w:cs="宋体"/>
                <w:spacing w:val="-6"/>
                <w:szCs w:val="21"/>
              </w:rPr>
              <w:t>）</w:t>
            </w:r>
          </w:p>
        </w:tc>
        <w:tc>
          <w:tcPr>
            <w:tcW w:w="3325" w:type="dxa"/>
            <w:gridSpan w:val="2"/>
            <w:vAlign w:val="center"/>
          </w:tcPr>
          <w:p>
            <w:pPr>
              <w:adjustRightInd w:val="0"/>
              <w:snapToGrid w:val="0"/>
              <w:spacing w:line="240" w:lineRule="auto"/>
              <w:ind w:firstLine="0" w:firstLineChars="0"/>
              <w:jc w:val="center"/>
              <w:rPr>
                <w:rFonts w:ascii="宋体" w:hAnsi="宋体" w:cs="宋体"/>
                <w:szCs w:val="21"/>
              </w:rPr>
            </w:pPr>
            <w:r>
              <w:rPr>
                <w:rFonts w:hint="eastAsia" w:cs="宋体"/>
                <w:szCs w:val="21"/>
                <w:lang w:val="en-US" w:eastAsia="zh-CN"/>
              </w:rPr>
              <w:t>73333.7</w:t>
            </w:r>
            <w:r>
              <w:rPr>
                <w:rFonts w:cs="宋体"/>
                <w:szCs w:val="21"/>
              </w:rPr>
              <w:t>m</w:t>
            </w:r>
            <w:r>
              <w:rPr>
                <w:rFonts w:cs="宋体"/>
                <w:szCs w:val="21"/>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92" w:type="dxa"/>
          <w:trHeight w:val="20" w:hRule="atLeast"/>
          <w:jc w:val="center"/>
        </w:trPr>
        <w:tc>
          <w:tcPr>
            <w:tcW w:w="1573" w:type="dxa"/>
            <w:vAlign w:val="center"/>
          </w:tcPr>
          <w:p>
            <w:pPr>
              <w:autoSpaceDE w:val="0"/>
              <w:autoSpaceDN w:val="0"/>
              <w:adjustRightInd w:val="0"/>
              <w:snapToGrid w:val="0"/>
              <w:spacing w:line="240" w:lineRule="auto"/>
              <w:ind w:firstLine="0" w:firstLineChars="0"/>
              <w:jc w:val="center"/>
              <w:rPr>
                <w:rFonts w:ascii="宋体" w:hAnsi="宋体" w:cs="宋体"/>
                <w:kern w:val="0"/>
                <w:szCs w:val="21"/>
              </w:rPr>
            </w:pPr>
            <w:r>
              <w:rPr>
                <w:rFonts w:hint="eastAsia" w:ascii="宋体" w:hAnsi="宋体" w:cs="宋体"/>
                <w:kern w:val="0"/>
                <w:szCs w:val="21"/>
              </w:rPr>
              <w:t>专项评价设置情况</w:t>
            </w:r>
          </w:p>
        </w:tc>
        <w:tc>
          <w:tcPr>
            <w:tcW w:w="7297" w:type="dxa"/>
            <w:gridSpan w:val="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sz w:val="24"/>
                <w:szCs w:val="24"/>
              </w:rPr>
            </w:pPr>
            <w:r>
              <w:rPr>
                <w:rFonts w:hint="eastAsia" w:ascii="宋体" w:hAnsi="宋体" w:eastAsia="宋体" w:cs="宋体"/>
                <w:color w:val="000000"/>
                <w:kern w:val="0"/>
                <w:sz w:val="24"/>
                <w:szCs w:val="24"/>
                <w:lang w:val="en-US" w:eastAsia="zh-CN" w:bidi="ar"/>
              </w:rPr>
              <w:t>根据项目建设内容及《建设项目环境影响报告表编制技术指南（污染影响类</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试行）》，本项目</w:t>
            </w:r>
            <w:r>
              <w:rPr>
                <w:rFonts w:hint="eastAsia" w:ascii="宋体" w:hAnsi="宋体" w:cs="宋体"/>
                <w:color w:val="000000"/>
                <w:kern w:val="0"/>
                <w:sz w:val="24"/>
                <w:szCs w:val="24"/>
                <w:lang w:val="en-US" w:eastAsia="zh-CN" w:bidi="ar"/>
              </w:rPr>
              <w:t>无须设置</w:t>
            </w:r>
            <w:r>
              <w:rPr>
                <w:rFonts w:hint="eastAsia" w:ascii="宋体" w:hAnsi="宋体" w:eastAsia="宋体" w:cs="宋体"/>
                <w:color w:val="000000"/>
                <w:kern w:val="0"/>
                <w:sz w:val="24"/>
                <w:szCs w:val="24"/>
                <w:lang w:val="en-US" w:eastAsia="zh-CN" w:bidi="ar"/>
              </w:rPr>
              <w:t>专项评价，专项评价设置情况分析说明如下表。</w:t>
            </w:r>
          </w:p>
          <w:p>
            <w:pPr>
              <w:pStyle w:val="75"/>
              <w:ind w:firstLine="0" w:firstLineChars="0"/>
              <w:jc w:val="center"/>
              <w:rPr>
                <w:rFonts w:hint="default"/>
                <w:b/>
                <w:bCs/>
                <w:color w:val="auto"/>
                <w:sz w:val="21"/>
                <w:szCs w:val="21"/>
                <w:u w:val="none" w:color="auto"/>
                <w:lang w:val="en-US" w:eastAsia="zh-CN"/>
              </w:rPr>
            </w:pPr>
            <w:r>
              <w:rPr>
                <w:rFonts w:hint="eastAsia"/>
                <w:b/>
                <w:bCs/>
                <w:color w:val="auto"/>
                <w:sz w:val="21"/>
                <w:szCs w:val="21"/>
                <w:u w:val="none" w:color="auto"/>
                <w:lang w:val="en-US" w:eastAsia="zh-CN"/>
              </w:rPr>
              <w:t>表</w:t>
            </w:r>
            <w:r>
              <w:rPr>
                <w:rFonts w:hint="default"/>
                <w:b/>
                <w:bCs/>
                <w:color w:val="auto"/>
                <w:sz w:val="21"/>
                <w:szCs w:val="21"/>
                <w:u w:val="none" w:color="auto"/>
                <w:lang w:val="en-US" w:eastAsia="zh-CN"/>
              </w:rPr>
              <w:t xml:space="preserve">1-1 </w:t>
            </w:r>
            <w:r>
              <w:rPr>
                <w:rFonts w:hint="eastAsia"/>
                <w:b/>
                <w:bCs/>
                <w:color w:val="auto"/>
                <w:sz w:val="21"/>
                <w:szCs w:val="21"/>
                <w:u w:val="none" w:color="auto"/>
                <w:lang w:val="en-US" w:eastAsia="zh-CN"/>
              </w:rPr>
              <w:t>本项目专项评价设置情况</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1020"/>
              <w:gridCol w:w="1209"/>
              <w:gridCol w:w="3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eastAsia" w:cs="Times New Roman"/>
                      <w:color w:val="auto"/>
                      <w:kern w:val="0"/>
                      <w:sz w:val="21"/>
                      <w:szCs w:val="21"/>
                      <w:u w:val="none" w:color="auto"/>
                      <w:vertAlign w:val="baseline"/>
                      <w:lang w:val="en-US" w:eastAsia="zh-CN"/>
                    </w:rPr>
                    <w:t>序号</w:t>
                  </w:r>
                </w:p>
              </w:tc>
              <w:tc>
                <w:tcPr>
                  <w:tcW w:w="729"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eastAsia" w:cs="Times New Roman"/>
                      <w:color w:val="auto"/>
                      <w:kern w:val="0"/>
                      <w:sz w:val="21"/>
                      <w:szCs w:val="21"/>
                      <w:u w:val="none" w:color="auto"/>
                      <w:vertAlign w:val="baseline"/>
                      <w:lang w:val="en-US" w:eastAsia="zh-CN"/>
                    </w:rPr>
                    <w:t>类别</w:t>
                  </w:r>
                </w:p>
              </w:tc>
              <w:tc>
                <w:tcPr>
                  <w:tcW w:w="8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eastAsia" w:cs="Times New Roman"/>
                      <w:color w:val="auto"/>
                      <w:kern w:val="0"/>
                      <w:sz w:val="21"/>
                      <w:szCs w:val="21"/>
                      <w:u w:val="none" w:color="auto"/>
                      <w:vertAlign w:val="baseline"/>
                      <w:lang w:val="en-US" w:eastAsia="zh-CN"/>
                    </w:rPr>
                    <w:t>是否设置专项评价</w:t>
                  </w:r>
                </w:p>
              </w:tc>
              <w:tc>
                <w:tcPr>
                  <w:tcW w:w="2849"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eastAsia" w:cs="Times New Roman"/>
                      <w:color w:val="auto"/>
                      <w:kern w:val="0"/>
                      <w:sz w:val="21"/>
                      <w:szCs w:val="21"/>
                      <w:u w:val="none" w:color="auto"/>
                      <w:vertAlign w:val="baseline"/>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eastAsia" w:cs="Times New Roman"/>
                      <w:color w:val="auto"/>
                      <w:kern w:val="0"/>
                      <w:sz w:val="21"/>
                      <w:szCs w:val="21"/>
                      <w:u w:val="none" w:color="auto"/>
                      <w:vertAlign w:val="baseline"/>
                      <w:lang w:val="en-US" w:eastAsia="zh-CN"/>
                    </w:rPr>
                    <w:t>1</w:t>
                  </w:r>
                </w:p>
              </w:tc>
              <w:tc>
                <w:tcPr>
                  <w:tcW w:w="729"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eastAsia" w:cs="Times New Roman"/>
                      <w:color w:val="auto"/>
                      <w:kern w:val="0"/>
                      <w:sz w:val="21"/>
                      <w:szCs w:val="21"/>
                      <w:u w:val="none" w:color="auto"/>
                      <w:vertAlign w:val="baseline"/>
                      <w:lang w:val="en-US" w:eastAsia="zh-CN"/>
                    </w:rPr>
                    <w:t>大气</w:t>
                  </w:r>
                </w:p>
              </w:tc>
              <w:tc>
                <w:tcPr>
                  <w:tcW w:w="8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不开展</w:t>
                  </w:r>
                </w:p>
              </w:tc>
              <w:tc>
                <w:tcPr>
                  <w:tcW w:w="2849"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不属于</w:t>
                  </w:r>
                  <w:r>
                    <w:rPr>
                      <w:rFonts w:hint="eastAsia" w:ascii="Times New Roman" w:hAnsi="Times New Roman" w:eastAsia="宋体" w:cs="Times New Roman"/>
                      <w:color w:val="auto"/>
                      <w:kern w:val="0"/>
                      <w:sz w:val="21"/>
                      <w:szCs w:val="21"/>
                      <w:u w:val="none" w:color="auto"/>
                      <w:vertAlign w:val="baseline"/>
                      <w:lang w:val="en-US" w:eastAsia="zh-CN"/>
                    </w:rPr>
                    <w:t>排放废气含有毒有害污染物、二噁英、苯并[a]芘、氰化物、氯气且厂界外500米范围内有环境空气保护目标的建设项目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eastAsia" w:cs="Times New Roman"/>
                      <w:color w:val="auto"/>
                      <w:kern w:val="0"/>
                      <w:sz w:val="21"/>
                      <w:szCs w:val="21"/>
                      <w:u w:val="none" w:color="auto"/>
                      <w:vertAlign w:val="baseline"/>
                      <w:lang w:val="en-US" w:eastAsia="zh-CN"/>
                    </w:rPr>
                    <w:t>2</w:t>
                  </w:r>
                </w:p>
              </w:tc>
              <w:tc>
                <w:tcPr>
                  <w:tcW w:w="729"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eastAsia" w:cs="Times New Roman"/>
                      <w:color w:val="auto"/>
                      <w:kern w:val="0"/>
                      <w:sz w:val="21"/>
                      <w:szCs w:val="21"/>
                      <w:u w:val="none" w:color="auto"/>
                      <w:vertAlign w:val="baseline"/>
                      <w:lang w:val="en-US" w:eastAsia="zh-CN"/>
                    </w:rPr>
                    <w:t>地表水</w:t>
                  </w:r>
                </w:p>
              </w:tc>
              <w:tc>
                <w:tcPr>
                  <w:tcW w:w="8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不开展</w:t>
                  </w:r>
                </w:p>
              </w:tc>
              <w:tc>
                <w:tcPr>
                  <w:tcW w:w="2849"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不属于</w:t>
                  </w:r>
                  <w:r>
                    <w:rPr>
                      <w:rFonts w:hint="eastAsia" w:ascii="Times New Roman" w:hAnsi="Times New Roman" w:eastAsia="宋体" w:cs="Times New Roman"/>
                      <w:color w:val="auto"/>
                      <w:kern w:val="0"/>
                      <w:sz w:val="21"/>
                      <w:szCs w:val="21"/>
                      <w:u w:val="none" w:color="auto"/>
                      <w:vertAlign w:val="baseline"/>
                      <w:lang w:val="en-US" w:eastAsia="zh-CN"/>
                    </w:rPr>
                    <w:t>新增工业废水直排建设项目；不属于新增废水直排的污水集中处理厂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eastAsia" w:cs="Times New Roman"/>
                      <w:color w:val="auto"/>
                      <w:kern w:val="0"/>
                      <w:sz w:val="21"/>
                      <w:szCs w:val="21"/>
                      <w:u w:val="none" w:color="auto"/>
                      <w:vertAlign w:val="baseline"/>
                      <w:lang w:val="en-US" w:eastAsia="zh-CN"/>
                    </w:rPr>
                    <w:t>3</w:t>
                  </w:r>
                </w:p>
              </w:tc>
              <w:tc>
                <w:tcPr>
                  <w:tcW w:w="729"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eastAsia" w:cs="Times New Roman"/>
                      <w:color w:val="auto"/>
                      <w:kern w:val="0"/>
                      <w:sz w:val="21"/>
                      <w:szCs w:val="21"/>
                      <w:u w:val="none" w:color="auto"/>
                      <w:vertAlign w:val="baseline"/>
                      <w:lang w:val="en-US" w:eastAsia="zh-CN"/>
                    </w:rPr>
                    <w:t>环境风险</w:t>
                  </w:r>
                </w:p>
              </w:tc>
              <w:tc>
                <w:tcPr>
                  <w:tcW w:w="8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不开展</w:t>
                  </w:r>
                </w:p>
              </w:tc>
              <w:tc>
                <w:tcPr>
                  <w:tcW w:w="2849"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不属于有毒有害和易燃易爆危险物质存储量超过临界量的建设项目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eastAsia" w:cs="Times New Roman"/>
                      <w:color w:val="auto"/>
                      <w:kern w:val="0"/>
                      <w:sz w:val="21"/>
                      <w:szCs w:val="21"/>
                      <w:u w:val="none" w:color="auto"/>
                      <w:vertAlign w:val="baseline"/>
                      <w:lang w:val="en-US" w:eastAsia="zh-CN"/>
                    </w:rPr>
                    <w:t>4</w:t>
                  </w:r>
                </w:p>
              </w:tc>
              <w:tc>
                <w:tcPr>
                  <w:tcW w:w="729"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eastAsia" w:cs="Times New Roman"/>
                      <w:color w:val="auto"/>
                      <w:kern w:val="0"/>
                      <w:sz w:val="21"/>
                      <w:szCs w:val="21"/>
                      <w:u w:val="none" w:color="auto"/>
                      <w:vertAlign w:val="baseline"/>
                      <w:lang w:val="en-US" w:eastAsia="zh-CN"/>
                    </w:rPr>
                    <w:t>生态</w:t>
                  </w:r>
                </w:p>
              </w:tc>
              <w:tc>
                <w:tcPr>
                  <w:tcW w:w="8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不开展</w:t>
                  </w:r>
                </w:p>
              </w:tc>
              <w:tc>
                <w:tcPr>
                  <w:tcW w:w="2849"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default" w:ascii="Times New Roman" w:hAnsi="Times New Roman" w:eastAsia="宋体" w:cs="Times New Roman"/>
                      <w:color w:val="auto"/>
                      <w:kern w:val="0"/>
                      <w:sz w:val="21"/>
                      <w:szCs w:val="21"/>
                      <w:u w:val="none" w:color="auto"/>
                      <w:vertAlign w:val="baseline"/>
                      <w:lang w:val="en-US" w:eastAsia="zh-CN"/>
                    </w:rPr>
                    <w:t>不属于</w:t>
                  </w:r>
                  <w:r>
                    <w:rPr>
                      <w:rFonts w:hint="eastAsia" w:ascii="Times New Roman" w:hAnsi="Times New Roman" w:eastAsia="宋体" w:cs="Times New Roman"/>
                      <w:color w:val="auto"/>
                      <w:kern w:val="0"/>
                      <w:sz w:val="21"/>
                      <w:szCs w:val="21"/>
                      <w:u w:val="none" w:color="auto"/>
                      <w:vertAlign w:val="baseline"/>
                      <w:lang w:val="en-US" w:eastAsia="zh-CN"/>
                    </w:rPr>
                    <w:t>取水口下游 500 米范围内有重要水生生物的自然产卵场、索饵场、越冬场和洄游通道的新增河道取水的污染类建设项目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eastAsia" w:cs="Times New Roman"/>
                      <w:color w:val="auto"/>
                      <w:kern w:val="0"/>
                      <w:sz w:val="21"/>
                      <w:szCs w:val="21"/>
                      <w:u w:val="none" w:color="auto"/>
                      <w:vertAlign w:val="baseline"/>
                      <w:lang w:val="en-US" w:eastAsia="zh-CN"/>
                    </w:rPr>
                    <w:t>5</w:t>
                  </w:r>
                </w:p>
              </w:tc>
              <w:tc>
                <w:tcPr>
                  <w:tcW w:w="729"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eastAsia" w:cs="Times New Roman"/>
                      <w:color w:val="auto"/>
                      <w:kern w:val="0"/>
                      <w:sz w:val="21"/>
                      <w:szCs w:val="21"/>
                      <w:u w:val="none" w:color="auto"/>
                      <w:vertAlign w:val="baseline"/>
                      <w:lang w:val="en-US" w:eastAsia="zh-CN"/>
                    </w:rPr>
                    <w:t>海洋</w:t>
                  </w:r>
                </w:p>
              </w:tc>
              <w:tc>
                <w:tcPr>
                  <w:tcW w:w="8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不开展</w:t>
                  </w:r>
                </w:p>
              </w:tc>
              <w:tc>
                <w:tcPr>
                  <w:tcW w:w="2849"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不属于直接向海排放污染物的海洋工程建设项目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1"/>
                      <w:szCs w:val="21"/>
                      <w:u w:val="none" w:color="auto"/>
                      <w:vertAlign w:val="baseline"/>
                      <w:lang w:val="en-US" w:eastAsia="zh-CN"/>
                    </w:rPr>
                  </w:pPr>
                  <w:r>
                    <w:rPr>
                      <w:rFonts w:hint="eastAsia" w:cs="Times New Roman"/>
                      <w:color w:val="auto"/>
                      <w:kern w:val="0"/>
                      <w:sz w:val="21"/>
                      <w:szCs w:val="21"/>
                      <w:u w:val="none" w:color="auto"/>
                      <w:vertAlign w:val="baseline"/>
                      <w:lang w:val="en-US" w:eastAsia="zh-CN"/>
                    </w:rPr>
                    <w:t>6</w:t>
                  </w:r>
                </w:p>
              </w:tc>
              <w:tc>
                <w:tcPr>
                  <w:tcW w:w="729"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1"/>
                      <w:szCs w:val="21"/>
                      <w:u w:val="none" w:color="auto"/>
                      <w:vertAlign w:val="baseline"/>
                      <w:lang w:val="en-US" w:eastAsia="zh-CN"/>
                    </w:rPr>
                  </w:pPr>
                  <w:r>
                    <w:rPr>
                      <w:rFonts w:hint="eastAsia" w:cs="Times New Roman"/>
                      <w:color w:val="auto"/>
                      <w:kern w:val="0"/>
                      <w:sz w:val="21"/>
                      <w:szCs w:val="21"/>
                      <w:u w:val="none" w:color="auto"/>
                      <w:vertAlign w:val="baseline"/>
                      <w:lang w:val="en-US" w:eastAsia="zh-CN"/>
                    </w:rPr>
                    <w:t>地下水</w:t>
                  </w:r>
                </w:p>
              </w:tc>
              <w:tc>
                <w:tcPr>
                  <w:tcW w:w="8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不开展</w:t>
                  </w:r>
                </w:p>
              </w:tc>
              <w:tc>
                <w:tcPr>
                  <w:tcW w:w="2849"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不涉及集中式饮用水水源和热水、矿泉水、温泉等特殊地下水资源保护区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1"/>
                      <w:szCs w:val="21"/>
                      <w:u w:val="none" w:color="auto"/>
                      <w:vertAlign w:val="baseline"/>
                      <w:lang w:val="en-US" w:eastAsia="zh-CN"/>
                    </w:rPr>
                  </w:pPr>
                  <w:r>
                    <w:rPr>
                      <w:rFonts w:hint="eastAsia" w:cs="Times New Roman"/>
                      <w:color w:val="auto"/>
                      <w:kern w:val="0"/>
                      <w:sz w:val="21"/>
                      <w:szCs w:val="21"/>
                      <w:u w:val="none" w:color="auto"/>
                      <w:vertAlign w:val="baseline"/>
                      <w:lang w:val="en-US" w:eastAsia="zh-CN"/>
                    </w:rPr>
                    <w:t>7</w:t>
                  </w:r>
                </w:p>
              </w:tc>
              <w:tc>
                <w:tcPr>
                  <w:tcW w:w="729"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kern w:val="0"/>
                      <w:sz w:val="21"/>
                      <w:szCs w:val="21"/>
                      <w:u w:val="none" w:color="auto"/>
                      <w:vertAlign w:val="baseline"/>
                      <w:lang w:val="en-US" w:eastAsia="zh-CN"/>
                    </w:rPr>
                  </w:pPr>
                  <w:r>
                    <w:rPr>
                      <w:rFonts w:hint="eastAsia" w:cs="Times New Roman"/>
                      <w:color w:val="auto"/>
                      <w:kern w:val="0"/>
                      <w:sz w:val="21"/>
                      <w:szCs w:val="21"/>
                      <w:u w:val="none" w:color="auto"/>
                      <w:vertAlign w:val="baseline"/>
                      <w:lang w:val="en-US" w:eastAsia="zh-CN"/>
                    </w:rPr>
                    <w:t>土壤、声环境</w:t>
                  </w:r>
                </w:p>
              </w:tc>
              <w:tc>
                <w:tcPr>
                  <w:tcW w:w="8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不开展</w:t>
                  </w:r>
                </w:p>
              </w:tc>
              <w:tc>
                <w:tcPr>
                  <w:tcW w:w="2849"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不开展专项评价</w:t>
                  </w:r>
                </w:p>
              </w:tc>
            </w:tr>
          </w:tbl>
          <w:p>
            <w:pPr>
              <w:autoSpaceDE w:val="0"/>
              <w:autoSpaceDN w:val="0"/>
              <w:adjustRightInd w:val="0"/>
              <w:snapToGrid w:val="0"/>
              <w:spacing w:line="240" w:lineRule="auto"/>
              <w:ind w:firstLine="0" w:firstLineChars="0"/>
              <w:jc w:val="center"/>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92" w:type="dxa"/>
          <w:trHeight w:val="20" w:hRule="atLeast"/>
          <w:jc w:val="center"/>
        </w:trPr>
        <w:tc>
          <w:tcPr>
            <w:tcW w:w="1573" w:type="dxa"/>
            <w:vAlign w:val="center"/>
          </w:tcPr>
          <w:p>
            <w:pPr>
              <w:autoSpaceDE w:val="0"/>
              <w:autoSpaceDN w:val="0"/>
              <w:adjustRightInd w:val="0"/>
              <w:snapToGrid w:val="0"/>
              <w:spacing w:line="240" w:lineRule="auto"/>
              <w:ind w:firstLine="0" w:firstLineChars="0"/>
              <w:jc w:val="center"/>
              <w:rPr>
                <w:rFonts w:ascii="宋体" w:hAnsi="宋体" w:cs="宋体"/>
                <w:kern w:val="0"/>
                <w:szCs w:val="21"/>
              </w:rPr>
            </w:pPr>
            <w:r>
              <w:rPr>
                <w:rFonts w:hint="eastAsia" w:ascii="宋体" w:hAnsi="宋体" w:cs="宋体"/>
                <w:szCs w:val="21"/>
              </w:rPr>
              <w:t>规划情况</w:t>
            </w:r>
          </w:p>
        </w:tc>
        <w:tc>
          <w:tcPr>
            <w:tcW w:w="7297" w:type="dxa"/>
            <w:gridSpan w:val="5"/>
            <w:vAlign w:val="center"/>
          </w:tcPr>
          <w:p>
            <w:pPr>
              <w:autoSpaceDE w:val="0"/>
              <w:autoSpaceDN w:val="0"/>
              <w:adjustRightInd w:val="0"/>
              <w:snapToGrid w:val="0"/>
              <w:ind w:firstLine="0" w:firstLineChars="0"/>
              <w:jc w:val="center"/>
              <w:rPr>
                <w:rFonts w:hint="eastAsia" w:eastAsia="宋体"/>
                <w:lang w:eastAsia="zh-CN"/>
              </w:rPr>
            </w:pPr>
            <w:r>
              <w:rPr>
                <w:rFonts w:hint="eastAsia"/>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92" w:type="dxa"/>
          <w:trHeight w:val="20" w:hRule="atLeast"/>
          <w:jc w:val="center"/>
        </w:trPr>
        <w:tc>
          <w:tcPr>
            <w:tcW w:w="1573" w:type="dxa"/>
            <w:vAlign w:val="center"/>
          </w:tcPr>
          <w:p>
            <w:pPr>
              <w:adjustRightInd w:val="0"/>
              <w:snapToGrid w:val="0"/>
              <w:spacing w:line="240" w:lineRule="auto"/>
              <w:ind w:firstLine="0" w:firstLineChars="0"/>
              <w:jc w:val="center"/>
              <w:rPr>
                <w:rFonts w:ascii="宋体" w:hAnsi="宋体" w:cs="宋体"/>
                <w:kern w:val="0"/>
                <w:szCs w:val="21"/>
              </w:rPr>
            </w:pPr>
            <w:r>
              <w:rPr>
                <w:rFonts w:hint="eastAsia" w:ascii="宋体" w:hAnsi="宋体" w:cs="宋体"/>
                <w:szCs w:val="21"/>
              </w:rPr>
              <w:t>规划环境影响评价情况</w:t>
            </w:r>
          </w:p>
        </w:tc>
        <w:tc>
          <w:tcPr>
            <w:tcW w:w="7297" w:type="dxa"/>
            <w:gridSpan w:val="5"/>
            <w:vAlign w:val="center"/>
          </w:tcPr>
          <w:p>
            <w:pPr>
              <w:autoSpaceDE w:val="0"/>
              <w:autoSpaceDN w:val="0"/>
              <w:adjustRightInd w:val="0"/>
              <w:snapToGrid w:val="0"/>
              <w:ind w:firstLine="0" w:firstLineChars="0"/>
              <w:jc w:val="center"/>
              <w:rPr>
                <w:rFonts w:ascii="宋体" w:hAnsi="宋体" w:cs="宋体"/>
                <w:kern w:val="0"/>
                <w:szCs w:val="21"/>
              </w:rPr>
            </w:pPr>
            <w:r>
              <w:rPr>
                <w:rFonts w:hint="eastAsi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92" w:type="dxa"/>
          <w:trHeight w:val="20" w:hRule="atLeast"/>
          <w:jc w:val="center"/>
        </w:trPr>
        <w:tc>
          <w:tcPr>
            <w:tcW w:w="1573" w:type="dxa"/>
            <w:vAlign w:val="center"/>
          </w:tcPr>
          <w:p>
            <w:pPr>
              <w:autoSpaceDE w:val="0"/>
              <w:autoSpaceDN w:val="0"/>
              <w:adjustRightInd w:val="0"/>
              <w:snapToGrid w:val="0"/>
              <w:spacing w:line="240" w:lineRule="auto"/>
              <w:ind w:firstLine="0" w:firstLineChars="0"/>
              <w:jc w:val="center"/>
              <w:rPr>
                <w:rFonts w:ascii="宋体" w:hAnsi="宋体" w:cs="宋体"/>
                <w:kern w:val="0"/>
                <w:szCs w:val="21"/>
              </w:rPr>
            </w:pPr>
            <w:r>
              <w:rPr>
                <w:rFonts w:hint="eastAsia" w:ascii="宋体" w:hAnsi="宋体" w:cs="宋体"/>
                <w:kern w:val="0"/>
                <w:szCs w:val="21"/>
              </w:rPr>
              <w:t>规划及规划环境影响评价符合性分析</w:t>
            </w:r>
          </w:p>
        </w:tc>
        <w:tc>
          <w:tcPr>
            <w:tcW w:w="7297" w:type="dxa"/>
            <w:gridSpan w:val="5"/>
            <w:vAlign w:val="center"/>
          </w:tcPr>
          <w:p>
            <w:pPr>
              <w:numPr>
                <w:ilvl w:val="255"/>
                <w:numId w:val="0"/>
              </w:numPr>
              <w:autoSpaceDE w:val="0"/>
              <w:autoSpaceDN w:val="0"/>
              <w:adjustRightInd w:val="0"/>
              <w:snapToGrid w:val="0"/>
              <w:jc w:val="center"/>
            </w:pPr>
            <w:r>
              <w:rPr>
                <w:rFonts w:hint="eastAsi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92" w:type="dxa"/>
          <w:trHeight w:val="13021" w:hRule="atLeast"/>
          <w:jc w:val="center"/>
        </w:trPr>
        <w:tc>
          <w:tcPr>
            <w:tcW w:w="1721" w:type="dxa"/>
            <w:gridSpan w:val="3"/>
            <w:vAlign w:val="center"/>
          </w:tcPr>
          <w:p>
            <w:pPr>
              <w:autoSpaceDE w:val="0"/>
              <w:autoSpaceDN w:val="0"/>
              <w:adjustRightInd w:val="0"/>
              <w:snapToGrid w:val="0"/>
              <w:ind w:firstLine="0" w:firstLineChars="0"/>
              <w:jc w:val="center"/>
              <w:rPr>
                <w:rFonts w:ascii="宋体" w:hAnsi="宋体" w:cs="宋体"/>
                <w:kern w:val="0"/>
                <w:szCs w:val="21"/>
                <w:u w:val="none"/>
              </w:rPr>
            </w:pPr>
            <w:r>
              <w:rPr>
                <w:rFonts w:hint="eastAsia" w:ascii="宋体" w:hAnsi="宋体" w:cs="宋体"/>
                <w:kern w:val="0"/>
                <w:szCs w:val="21"/>
                <w:u w:val="none"/>
              </w:rPr>
              <w:t>其他符合性分析</w:t>
            </w:r>
          </w:p>
        </w:tc>
        <w:tc>
          <w:tcPr>
            <w:tcW w:w="7149" w:type="dxa"/>
            <w:gridSpan w:val="3"/>
            <w:vAlign w:val="center"/>
          </w:tcPr>
          <w:p>
            <w:pPr>
              <w:ind w:left="0" w:leftChars="0" w:firstLine="0" w:firstLineChars="0"/>
              <w:rPr>
                <w:b/>
                <w:bCs/>
                <w:u w:val="single"/>
              </w:rPr>
            </w:pPr>
            <w:r>
              <w:rPr>
                <w:rFonts w:hint="eastAsia"/>
                <w:b/>
                <w:bCs/>
                <w:u w:val="single"/>
              </w:rPr>
              <w:t>1、产业政策符合性分析</w:t>
            </w:r>
          </w:p>
          <w:p>
            <w:pPr>
              <w:keepNext w:val="0"/>
              <w:keepLines w:val="0"/>
              <w:widowControl/>
              <w:suppressLineNumbers w:val="0"/>
              <w:jc w:val="left"/>
              <w:rPr>
                <w:rFonts w:ascii="宋体" w:hAnsi="宋体" w:cs="宋体"/>
                <w:szCs w:val="21"/>
                <w:u w:val="single"/>
              </w:rPr>
            </w:pPr>
            <w:r>
              <w:rPr>
                <w:u w:val="single"/>
              </w:rPr>
              <w:t>本项目属于《国民经济行业分类》</w:t>
            </w:r>
            <w:r>
              <w:rPr>
                <w:rFonts w:hint="eastAsia"/>
                <w:u w:val="single"/>
              </w:rPr>
              <w:t>2</w:t>
            </w:r>
            <w:r>
              <w:rPr>
                <w:u w:val="single"/>
              </w:rPr>
              <w:t>019</w:t>
            </w:r>
            <w:r>
              <w:rPr>
                <w:rFonts w:hint="eastAsia"/>
                <w:u w:val="single"/>
              </w:rPr>
              <w:t>修订版</w:t>
            </w:r>
            <w:r>
              <w:rPr>
                <w:u w:val="single"/>
              </w:rPr>
              <w:t>（GB/T4754-2017）分类中的</w:t>
            </w:r>
            <w:r>
              <w:rPr>
                <w:rFonts w:hint="eastAsia"/>
                <w:u w:val="single"/>
              </w:rPr>
              <w:t>“</w:t>
            </w:r>
            <w:r>
              <w:rPr>
                <w:szCs w:val="21"/>
                <w:u w:val="single"/>
              </w:rPr>
              <w:t>D4430热力生产和供应、A0142</w:t>
            </w:r>
            <w:r>
              <w:rPr>
                <w:rFonts w:hint="eastAsia" w:ascii="宋体" w:hAnsi="宋体" w:cs="宋体"/>
                <w:szCs w:val="21"/>
                <w:u w:val="single"/>
              </w:rPr>
              <w:t>食用菌种植</w:t>
            </w:r>
            <w:r>
              <w:rPr>
                <w:rFonts w:hint="eastAsia"/>
                <w:u w:val="single"/>
              </w:rPr>
              <w:t>”</w:t>
            </w:r>
            <w:r>
              <w:rPr>
                <w:u w:val="single"/>
              </w:rPr>
              <w:t>，经查对国家发展和改革委员会第</w:t>
            </w:r>
            <w:r>
              <w:rPr>
                <w:rFonts w:hint="eastAsia"/>
                <w:u w:val="single"/>
                <w:lang w:val="en-US" w:eastAsia="zh-CN"/>
              </w:rPr>
              <w:t>7</w:t>
            </w:r>
            <w:r>
              <w:rPr>
                <w:u w:val="single"/>
              </w:rPr>
              <w:t>号令《产业结构调整指导目录》（</w:t>
            </w:r>
            <w:r>
              <w:rPr>
                <w:rFonts w:hint="eastAsia"/>
                <w:u w:val="single"/>
                <w:lang w:val="en-US" w:eastAsia="zh-CN"/>
              </w:rPr>
              <w:t>2024</w:t>
            </w:r>
            <w:r>
              <w:rPr>
                <w:u w:val="single"/>
              </w:rPr>
              <w:t>年本）</w:t>
            </w:r>
            <w:r>
              <w:rPr>
                <w:color w:val="auto"/>
                <w:u w:val="single"/>
              </w:rPr>
              <w:t>，</w:t>
            </w:r>
            <w:r>
              <w:rPr>
                <w:rFonts w:hint="eastAsia" w:ascii="宋体" w:hAnsi="宋体" w:eastAsia="宋体" w:cs="宋体"/>
                <w:color w:val="auto"/>
                <w:kern w:val="0"/>
                <w:sz w:val="24"/>
                <w:szCs w:val="24"/>
                <w:u w:val="single"/>
                <w:lang w:val="en-US" w:eastAsia="zh-CN" w:bidi="ar"/>
              </w:rPr>
              <w:t>《目录》中提到</w:t>
            </w:r>
            <w:r>
              <w:rPr>
                <w:rFonts w:hint="default" w:ascii="Times New Roman" w:hAnsi="Times New Roman" w:eastAsia="宋体" w:cs="Times New Roman"/>
                <w:color w:val="auto"/>
                <w:kern w:val="0"/>
                <w:sz w:val="24"/>
                <w:szCs w:val="24"/>
                <w:u w:val="single"/>
                <w:lang w:val="en-US" w:eastAsia="zh-CN" w:bidi="ar"/>
              </w:rPr>
              <w:t>“</w:t>
            </w:r>
            <w:r>
              <w:rPr>
                <w:rFonts w:hint="eastAsia" w:ascii="宋体" w:hAnsi="宋体" w:eastAsia="宋体" w:cs="宋体"/>
                <w:color w:val="auto"/>
                <w:kern w:val="0"/>
                <w:sz w:val="24"/>
                <w:szCs w:val="24"/>
                <w:u w:val="single"/>
                <w:lang w:val="en-US" w:eastAsia="zh-CN" w:bidi="ar"/>
              </w:rPr>
              <w:t>每小时</w:t>
            </w:r>
            <w:r>
              <w:rPr>
                <w:rFonts w:hint="default" w:ascii="Times New Roman" w:hAnsi="Times New Roman" w:eastAsia="宋体" w:cs="Times New Roman"/>
                <w:color w:val="auto"/>
                <w:kern w:val="0"/>
                <w:sz w:val="24"/>
                <w:szCs w:val="24"/>
                <w:u w:val="single"/>
                <w:lang w:val="en-US" w:eastAsia="zh-CN" w:bidi="ar"/>
              </w:rPr>
              <w:t>35</w:t>
            </w:r>
            <w:r>
              <w:rPr>
                <w:rFonts w:hint="eastAsia" w:ascii="宋体" w:hAnsi="宋体" w:eastAsia="宋体" w:cs="宋体"/>
                <w:color w:val="auto"/>
                <w:kern w:val="0"/>
                <w:sz w:val="24"/>
                <w:szCs w:val="24"/>
                <w:u w:val="single"/>
                <w:lang w:val="en-US" w:eastAsia="zh-CN" w:bidi="ar"/>
              </w:rPr>
              <w:t>蒸吨及以下固定炉排式生物质锅炉</w:t>
            </w:r>
            <w:r>
              <w:rPr>
                <w:rFonts w:hint="default" w:ascii="Times New Roman" w:hAnsi="Times New Roman" w:eastAsia="宋体" w:cs="Times New Roman"/>
                <w:color w:val="auto"/>
                <w:kern w:val="0"/>
                <w:sz w:val="24"/>
                <w:szCs w:val="24"/>
                <w:u w:val="single"/>
                <w:lang w:val="en-US" w:eastAsia="zh-CN" w:bidi="ar"/>
              </w:rPr>
              <w:t>”</w:t>
            </w:r>
            <w:r>
              <w:rPr>
                <w:rFonts w:hint="eastAsia" w:ascii="宋体" w:hAnsi="宋体" w:eastAsia="宋体" w:cs="宋体"/>
                <w:color w:val="auto"/>
                <w:kern w:val="0"/>
                <w:sz w:val="24"/>
                <w:szCs w:val="24"/>
                <w:u w:val="single"/>
                <w:lang w:val="en-US" w:eastAsia="zh-CN" w:bidi="ar"/>
              </w:rPr>
              <w:t>为限制类项目</w:t>
            </w:r>
            <w:r>
              <w:rPr>
                <w:rFonts w:hint="eastAsia" w:ascii="宋体" w:hAnsi="宋体" w:cs="宋体"/>
                <w:color w:val="auto"/>
                <w:kern w:val="0"/>
                <w:sz w:val="24"/>
                <w:szCs w:val="24"/>
                <w:u w:val="single"/>
                <w:lang w:val="en-US" w:eastAsia="zh-CN" w:bidi="ar"/>
              </w:rPr>
              <w:t>，</w:t>
            </w:r>
            <w:r>
              <w:rPr>
                <w:rFonts w:hint="eastAsia" w:ascii="宋体" w:hAnsi="宋体" w:eastAsia="宋体" w:cs="宋体"/>
                <w:color w:val="auto"/>
                <w:kern w:val="0"/>
                <w:sz w:val="24"/>
                <w:szCs w:val="24"/>
                <w:u w:val="single"/>
                <w:lang w:val="en-US" w:eastAsia="zh-CN" w:bidi="ar"/>
              </w:rPr>
              <w:t>“每小时</w:t>
            </w:r>
            <w:r>
              <w:rPr>
                <w:rFonts w:hint="default" w:ascii="宋体" w:hAnsi="宋体" w:eastAsia="宋体" w:cs="宋体"/>
                <w:color w:val="auto"/>
                <w:kern w:val="0"/>
                <w:sz w:val="24"/>
                <w:szCs w:val="24"/>
                <w:u w:val="single"/>
                <w:lang w:val="en-US" w:eastAsia="zh-CN" w:bidi="ar"/>
              </w:rPr>
              <w:t>2蒸吨及以下生物质锅炉</w:t>
            </w:r>
            <w:r>
              <w:rPr>
                <w:rFonts w:hint="eastAsia" w:ascii="宋体" w:hAnsi="宋体" w:eastAsia="宋体" w:cs="宋体"/>
                <w:color w:val="auto"/>
                <w:kern w:val="0"/>
                <w:sz w:val="24"/>
                <w:szCs w:val="24"/>
                <w:u w:val="single"/>
                <w:lang w:val="en-US" w:eastAsia="zh-CN" w:bidi="ar"/>
              </w:rPr>
              <w:t>”</w:t>
            </w:r>
            <w:r>
              <w:rPr>
                <w:rFonts w:hint="eastAsia" w:ascii="宋体" w:hAnsi="宋体" w:cs="宋体"/>
                <w:color w:val="auto"/>
                <w:kern w:val="0"/>
                <w:sz w:val="24"/>
                <w:szCs w:val="24"/>
                <w:u w:val="single"/>
                <w:lang w:val="en-US" w:eastAsia="zh-CN" w:bidi="ar"/>
              </w:rPr>
              <w:t>为落后产品</w:t>
            </w:r>
            <w:r>
              <w:rPr>
                <w:rFonts w:hint="eastAsia" w:ascii="宋体" w:hAnsi="宋体" w:eastAsia="宋体" w:cs="宋体"/>
                <w:color w:val="auto"/>
                <w:kern w:val="0"/>
                <w:sz w:val="24"/>
                <w:szCs w:val="24"/>
                <w:u w:val="single"/>
                <w:lang w:val="en-US" w:eastAsia="zh-CN" w:bidi="ar"/>
              </w:rPr>
              <w:t>，本项目</w:t>
            </w:r>
            <w:r>
              <w:rPr>
                <w:rFonts w:hint="eastAsia" w:ascii="宋体" w:hAnsi="宋体" w:cs="宋体"/>
                <w:color w:val="auto"/>
                <w:kern w:val="0"/>
                <w:sz w:val="24"/>
                <w:szCs w:val="24"/>
                <w:u w:val="single"/>
                <w:lang w:val="en-US" w:eastAsia="zh-CN" w:bidi="ar"/>
              </w:rPr>
              <w:t>拟采用的</w:t>
            </w:r>
            <w:r>
              <w:rPr>
                <w:rFonts w:hint="eastAsia" w:ascii="宋体" w:hAnsi="宋体" w:eastAsia="宋体" w:cs="宋体"/>
                <w:color w:val="auto"/>
                <w:kern w:val="0"/>
                <w:sz w:val="24"/>
                <w:szCs w:val="24"/>
                <w:u w:val="single"/>
                <w:lang w:val="en-US" w:eastAsia="zh-CN" w:bidi="ar"/>
              </w:rPr>
              <w:t>生物质锅炉为</w:t>
            </w:r>
            <w:r>
              <w:rPr>
                <w:rFonts w:hint="eastAsia" w:ascii="宋体" w:hAnsi="宋体" w:cs="宋体"/>
                <w:color w:val="auto"/>
                <w:kern w:val="0"/>
                <w:sz w:val="24"/>
                <w:szCs w:val="24"/>
                <w:u w:val="single"/>
                <w:lang w:val="en-US" w:eastAsia="zh-CN" w:bidi="ar"/>
              </w:rPr>
              <w:t>6t/h</w:t>
            </w:r>
            <w:r>
              <w:rPr>
                <w:rFonts w:hint="eastAsia" w:ascii="宋体" w:hAnsi="宋体" w:eastAsia="宋体" w:cs="宋体"/>
                <w:color w:val="auto"/>
                <w:kern w:val="0"/>
                <w:sz w:val="24"/>
                <w:szCs w:val="24"/>
                <w:u w:val="single"/>
                <w:lang w:val="en-US" w:eastAsia="zh-CN" w:bidi="ar"/>
              </w:rPr>
              <w:t>卧式</w:t>
            </w:r>
            <w:r>
              <w:rPr>
                <w:rFonts w:hint="eastAsia" w:ascii="宋体" w:hAnsi="宋体" w:cs="宋体"/>
                <w:color w:val="auto"/>
                <w:kern w:val="0"/>
                <w:sz w:val="24"/>
                <w:szCs w:val="24"/>
                <w:u w:val="single"/>
                <w:lang w:val="en-US" w:eastAsia="zh-CN" w:bidi="ar"/>
              </w:rPr>
              <w:t>层</w:t>
            </w:r>
            <w:r>
              <w:rPr>
                <w:rFonts w:hint="eastAsia" w:ascii="宋体" w:hAnsi="宋体" w:eastAsia="宋体" w:cs="宋体"/>
                <w:color w:val="auto"/>
                <w:kern w:val="0"/>
                <w:sz w:val="24"/>
                <w:szCs w:val="24"/>
                <w:u w:val="single"/>
                <w:lang w:val="en-US" w:eastAsia="zh-CN" w:bidi="ar"/>
              </w:rPr>
              <w:t>燃</w:t>
            </w:r>
            <w:r>
              <w:rPr>
                <w:rFonts w:hint="eastAsia" w:ascii="宋体" w:hAnsi="宋体" w:cs="宋体"/>
                <w:color w:val="auto"/>
                <w:kern w:val="0"/>
                <w:sz w:val="24"/>
                <w:szCs w:val="24"/>
                <w:u w:val="single"/>
                <w:lang w:val="en-US" w:eastAsia="zh-CN" w:bidi="ar"/>
              </w:rPr>
              <w:t>式</w:t>
            </w:r>
            <w:r>
              <w:rPr>
                <w:rFonts w:hint="eastAsia" w:ascii="宋体" w:hAnsi="宋体" w:eastAsia="宋体" w:cs="宋体"/>
                <w:color w:val="auto"/>
                <w:kern w:val="0"/>
                <w:sz w:val="24"/>
                <w:szCs w:val="24"/>
                <w:u w:val="single"/>
                <w:lang w:val="en-US" w:eastAsia="zh-CN" w:bidi="ar"/>
              </w:rPr>
              <w:t>生物质蒸汽锅炉</w:t>
            </w:r>
            <w:r>
              <w:rPr>
                <w:rFonts w:hint="eastAsia" w:ascii="宋体" w:hAnsi="宋体" w:cs="宋体"/>
                <w:color w:val="auto"/>
                <w:kern w:val="0"/>
                <w:sz w:val="24"/>
                <w:szCs w:val="24"/>
                <w:u w:val="single"/>
                <w:lang w:val="en-US" w:eastAsia="zh-CN" w:bidi="ar"/>
              </w:rPr>
              <w:t>，型号为 SZL6-1.25-S</w:t>
            </w:r>
            <w:r>
              <w:rPr>
                <w:rFonts w:hint="eastAsia" w:ascii="宋体" w:hAnsi="宋体" w:eastAsia="宋体" w:cs="宋体"/>
                <w:color w:val="auto"/>
                <w:kern w:val="0"/>
                <w:sz w:val="24"/>
                <w:szCs w:val="24"/>
                <w:u w:val="single"/>
                <w:lang w:val="en-US" w:eastAsia="zh-CN" w:bidi="ar"/>
              </w:rPr>
              <w:t>，不属于目录中提到锅炉类型，</w:t>
            </w:r>
            <w:r>
              <w:rPr>
                <w:color w:val="auto"/>
                <w:u w:val="single"/>
              </w:rPr>
              <w:t>本项目不属于限制类及淘汰类，</w:t>
            </w:r>
            <w:r>
              <w:rPr>
                <w:rFonts w:hint="eastAsia"/>
                <w:color w:val="auto"/>
                <w:u w:val="single"/>
                <w:lang w:val="en-US" w:eastAsia="zh-CN"/>
              </w:rPr>
              <w:t>为允许类，</w:t>
            </w:r>
            <w:r>
              <w:rPr>
                <w:rFonts w:hint="eastAsia" w:ascii="Times New Roman" w:hAnsi="Times New Roman" w:eastAsia="宋体" w:cs="Times New Roman"/>
                <w:color w:val="auto"/>
                <w:kern w:val="0"/>
                <w:sz w:val="24"/>
                <w:szCs w:val="24"/>
                <w:highlight w:val="none"/>
                <w:u w:val="single"/>
                <w:lang w:val="en-US" w:eastAsia="zh-CN" w:bidi="ar"/>
              </w:rPr>
              <w:t>不属于《环境保护综合名录（2021年版）》（生态环境部办公厅，2021年10月25日）中的“高污染、高环境风险”产品</w:t>
            </w:r>
            <w:r>
              <w:rPr>
                <w:rFonts w:hint="eastAsia" w:eastAsia="宋体" w:cs="Times New Roman"/>
                <w:color w:val="auto"/>
                <w:kern w:val="0"/>
                <w:sz w:val="24"/>
                <w:szCs w:val="24"/>
                <w:highlight w:val="none"/>
                <w:u w:val="single"/>
                <w:lang w:val="en-US" w:eastAsia="zh-CN" w:bidi="ar"/>
              </w:rPr>
              <w:t>。</w:t>
            </w:r>
            <w:r>
              <w:rPr>
                <w:rFonts w:hint="eastAsia" w:ascii="Times New Roman" w:hAnsi="Times New Roman" w:eastAsia="宋体" w:cs="Times New Roman"/>
                <w:color w:val="auto"/>
                <w:kern w:val="0"/>
                <w:sz w:val="24"/>
                <w:szCs w:val="24"/>
                <w:highlight w:val="none"/>
                <w:u w:val="single"/>
                <w:lang w:val="en-US" w:eastAsia="zh-CN" w:bidi="ar"/>
              </w:rPr>
              <w:t>因此，项目建设符合国家产业政策要求。</w:t>
            </w:r>
          </w:p>
          <w:p>
            <w:pPr>
              <w:ind w:left="0" w:leftChars="0" w:firstLine="0" w:firstLineChars="0"/>
              <w:rPr>
                <w:b/>
                <w:bCs/>
                <w:u w:val="none"/>
              </w:rPr>
            </w:pPr>
            <w:r>
              <w:rPr>
                <w:rFonts w:hint="eastAsia"/>
                <w:b/>
                <w:bCs/>
                <w:u w:val="none"/>
              </w:rPr>
              <w:t>2、</w:t>
            </w:r>
            <w:r>
              <w:rPr>
                <w:b/>
                <w:bCs/>
              </w:rPr>
              <w:t>土地利用性质及</w:t>
            </w:r>
            <w:r>
              <w:rPr>
                <w:b/>
                <w:bCs/>
                <w:u w:val="none"/>
              </w:rPr>
              <w:t>项目选址合理性分析</w:t>
            </w:r>
          </w:p>
          <w:p>
            <w:pPr>
              <w:keepNext w:val="0"/>
              <w:keepLines w:val="0"/>
              <w:widowControl/>
              <w:suppressLineNumbers w:val="0"/>
              <w:jc w:val="left"/>
              <w:rPr>
                <w:rFonts w:hint="eastAsia" w:ascii="宋体" w:hAnsi="宋体"/>
                <w:u w:val="single"/>
              </w:rPr>
            </w:pPr>
            <w:r>
              <w:rPr>
                <w:rFonts w:hint="eastAsia" w:ascii="宋体" w:hAnsi="宋体" w:eastAsia="宋体" w:cs="宋体"/>
                <w:color w:val="000000"/>
                <w:kern w:val="0"/>
                <w:sz w:val="24"/>
                <w:szCs w:val="24"/>
                <w:u w:val="single"/>
                <w:lang w:val="en-US" w:eastAsia="zh-CN" w:bidi="ar"/>
              </w:rPr>
              <w:t>本项目位于</w:t>
            </w:r>
            <w:r>
              <w:rPr>
                <w:rFonts w:hint="eastAsia" w:ascii="宋体" w:hAnsi="宋体" w:cs="宋体"/>
                <w:szCs w:val="21"/>
                <w:u w:val="single"/>
                <w:lang w:eastAsia="zh-CN"/>
              </w:rPr>
              <w:t>湘阴县杨林寨乡太和围村</w:t>
            </w:r>
            <w:r>
              <w:rPr>
                <w:rFonts w:hint="eastAsia" w:ascii="宋体" w:hAnsi="宋体" w:eastAsia="宋体" w:cs="宋体"/>
                <w:color w:val="000000"/>
                <w:kern w:val="0"/>
                <w:sz w:val="24"/>
                <w:szCs w:val="24"/>
                <w:u w:val="single"/>
                <w:lang w:val="en-US" w:eastAsia="zh-CN" w:bidi="ar"/>
              </w:rPr>
              <w:t>，</w:t>
            </w:r>
            <w:r>
              <w:rPr>
                <w:rFonts w:hint="eastAsia" w:ascii="宋体" w:hAnsi="宋体" w:cs="宋体"/>
                <w:color w:val="000000"/>
                <w:kern w:val="0"/>
                <w:sz w:val="24"/>
                <w:szCs w:val="24"/>
                <w:u w:val="single"/>
                <w:lang w:val="en-US" w:eastAsia="zh-CN" w:bidi="ar"/>
              </w:rPr>
              <w:t>根据湘阴县自然资源局关于湘阴县杨林寨太合围村一地块规划条件书可知，项目用地性质为二类工业用地；</w:t>
            </w:r>
            <w:r>
              <w:rPr>
                <w:rFonts w:hint="eastAsia" w:ascii="宋体" w:hAnsi="宋体" w:eastAsia="宋体" w:cs="宋体"/>
                <w:color w:val="000000"/>
                <w:kern w:val="0"/>
                <w:sz w:val="24"/>
                <w:szCs w:val="24"/>
                <w:u w:val="single"/>
                <w:lang w:val="en-US" w:eastAsia="zh-CN" w:bidi="ar"/>
              </w:rPr>
              <w:t>根据《关于湘阴县食用菌产业融合示范区建设项目用地预审与选址审查意见》（湘阴自然资源预审</w:t>
            </w:r>
            <w:r>
              <w:rPr>
                <w:rFonts w:hint="eastAsia" w:ascii="宋体" w:hAnsi="宋体" w:cs="宋体"/>
                <w:color w:val="000000"/>
                <w:kern w:val="0"/>
                <w:sz w:val="24"/>
                <w:szCs w:val="24"/>
                <w:u w:val="single"/>
                <w:lang w:val="en-US" w:eastAsia="zh-CN" w:bidi="ar"/>
              </w:rPr>
              <w:t>〔2024〕11号</w:t>
            </w:r>
            <w:r>
              <w:rPr>
                <w:rFonts w:hint="eastAsia" w:ascii="宋体" w:hAnsi="宋体" w:eastAsia="宋体" w:cs="宋体"/>
                <w:color w:val="000000"/>
                <w:kern w:val="0"/>
                <w:sz w:val="24"/>
                <w:szCs w:val="24"/>
                <w:u w:val="single"/>
                <w:lang w:val="en-US" w:eastAsia="zh-CN" w:bidi="ar"/>
              </w:rPr>
              <w:t>），湘阴县食用菌产业融合示范区建设项目与湘阴县“三区三线”划定成果套合示意图，该项目用地范围在城镇开发边界内，符合湘阴“三区三线”划定成果，</w:t>
            </w:r>
            <w:r>
              <w:rPr>
                <w:rFonts w:hint="eastAsia" w:ascii="宋体" w:hAnsi="宋体"/>
                <w:u w:val="single"/>
              </w:rPr>
              <w:t>项目不占用基本农田及风景名胜区、自然保护区，符合项目区域的规划要求，项目周边不存在制约本项目发展的因素，建设地供水供电基础设施较为完善，在采取有效污染防治措施后对周边环境的影响较小</w:t>
            </w:r>
            <w:r>
              <w:rPr>
                <w:rFonts w:hint="eastAsia" w:ascii="宋体" w:hAnsi="宋体"/>
                <w:u w:val="single"/>
                <w:lang w:eastAsia="zh-CN"/>
              </w:rPr>
              <w:t>。</w:t>
            </w:r>
            <w:r>
              <w:rPr>
                <w:rFonts w:hint="eastAsia" w:ascii="宋体" w:hAnsi="宋体" w:eastAsia="宋体" w:cs="宋体"/>
                <w:color w:val="000000"/>
                <w:kern w:val="0"/>
                <w:sz w:val="24"/>
                <w:szCs w:val="24"/>
                <w:u w:val="single"/>
                <w:lang w:val="en-US" w:eastAsia="zh-CN" w:bidi="ar"/>
              </w:rPr>
              <w:t>地块位于杨林寨乡，申报用途为菌菇种植，为标准化农产品生产基地</w:t>
            </w:r>
            <w:r>
              <w:rPr>
                <w:rFonts w:hint="eastAsia" w:ascii="宋体" w:hAnsi="宋体" w:cs="宋体"/>
                <w:color w:val="000000"/>
                <w:kern w:val="0"/>
                <w:sz w:val="24"/>
                <w:szCs w:val="24"/>
                <w:u w:val="single"/>
                <w:lang w:val="en-US" w:eastAsia="zh-CN" w:bidi="ar"/>
              </w:rPr>
              <w:t>属于《“十四五”湖南省种植业发展规划》中湘北食用菌生产基地，</w:t>
            </w:r>
            <w:r>
              <w:rPr>
                <w:rFonts w:hint="eastAsia" w:ascii="宋体" w:hAnsi="宋体" w:eastAsia="宋体" w:cs="宋体"/>
                <w:color w:val="000000"/>
                <w:kern w:val="0"/>
                <w:sz w:val="24"/>
                <w:szCs w:val="24"/>
                <w:u w:val="single"/>
                <w:lang w:val="en-US" w:eastAsia="zh-CN" w:bidi="ar"/>
              </w:rPr>
              <w:t>符合</w:t>
            </w:r>
            <w:r>
              <w:rPr>
                <w:rFonts w:hint="eastAsia" w:ascii="宋体" w:hAnsi="宋体" w:eastAsia="宋体" w:cs="Times New Roman"/>
                <w:color w:val="auto"/>
                <w:kern w:val="2"/>
                <w:sz w:val="24"/>
                <w:szCs w:val="24"/>
                <w:u w:val="single"/>
                <w:lang w:val="en-US" w:eastAsia="zh-CN" w:bidi="ar-SA"/>
              </w:rPr>
              <w:t>《湘阴县“十四五”新型城镇化发展规划</w:t>
            </w:r>
            <w:r>
              <w:rPr>
                <w:rFonts w:hint="eastAsia" w:ascii="宋体" w:hAnsi="宋体" w:eastAsia="宋体" w:cs="宋体"/>
                <w:color w:val="000000"/>
                <w:kern w:val="0"/>
                <w:sz w:val="24"/>
                <w:szCs w:val="24"/>
                <w:u w:val="single"/>
                <w:lang w:val="en-US" w:eastAsia="zh-CN" w:bidi="ar"/>
              </w:rPr>
              <w:t>》</w:t>
            </w:r>
            <w:r>
              <w:rPr>
                <w:rFonts w:hint="eastAsia" w:ascii="宋体" w:hAnsi="宋体" w:cs="宋体"/>
                <w:color w:val="000000"/>
                <w:kern w:val="0"/>
                <w:sz w:val="24"/>
                <w:szCs w:val="24"/>
                <w:u w:val="single"/>
                <w:lang w:val="en-US" w:eastAsia="zh-CN" w:bidi="ar"/>
              </w:rPr>
              <w:t>、</w:t>
            </w:r>
            <w:r>
              <w:rPr>
                <w:rFonts w:hint="eastAsia" w:ascii="宋体" w:hAnsi="宋体" w:eastAsia="宋体" w:cs="宋体"/>
                <w:color w:val="000000"/>
                <w:kern w:val="0"/>
                <w:sz w:val="24"/>
                <w:szCs w:val="24"/>
                <w:u w:val="single"/>
                <w:lang w:val="en-US" w:eastAsia="zh-CN" w:bidi="ar"/>
              </w:rPr>
              <w:t>《湘阴县十四五农业农村发展规划（2021-2025年）》</w:t>
            </w:r>
            <w:r>
              <w:rPr>
                <w:rFonts w:hint="eastAsia" w:ascii="宋体" w:hAnsi="宋体" w:cs="宋体"/>
                <w:color w:val="000000"/>
                <w:kern w:val="0"/>
                <w:sz w:val="24"/>
                <w:szCs w:val="24"/>
                <w:u w:val="single"/>
                <w:lang w:val="en-US" w:eastAsia="zh-CN" w:bidi="ar"/>
              </w:rPr>
              <w:t>要求。</w:t>
            </w:r>
            <w:r>
              <w:rPr>
                <w:rFonts w:hint="eastAsia" w:ascii="宋体" w:hAnsi="宋体"/>
                <w:u w:val="single"/>
              </w:rPr>
              <w:t>从环保的角度考虑，本项目选址合理可行。</w:t>
            </w:r>
          </w:p>
          <w:p>
            <w:pPr>
              <w:numPr>
                <w:ilvl w:val="0"/>
                <w:numId w:val="0"/>
              </w:numPr>
              <w:autoSpaceDE w:val="0"/>
              <w:autoSpaceDN w:val="0"/>
              <w:adjustRightInd w:val="0"/>
              <w:snapToGrid w:val="0"/>
              <w:spacing w:line="360" w:lineRule="auto"/>
              <w:rPr>
                <w:rFonts w:hint="default" w:ascii="Times New Roman" w:hAnsi="Times New Roman" w:eastAsia="宋体" w:cs="Times New Roman"/>
                <w:b/>
                <w:bCs/>
                <w:color w:val="auto"/>
                <w:kern w:val="0"/>
                <w:sz w:val="24"/>
                <w:szCs w:val="24"/>
                <w:highlight w:val="none"/>
                <w:u w:val="none" w:color="auto"/>
                <w:lang w:val="en-US" w:eastAsia="zh-CN"/>
              </w:rPr>
            </w:pPr>
            <w:r>
              <w:rPr>
                <w:rFonts w:hint="eastAsia"/>
                <w:b/>
                <w:bCs/>
                <w:u w:val="none"/>
              </w:rPr>
              <w:t>3、</w:t>
            </w:r>
            <w:r>
              <w:rPr>
                <w:rFonts w:hint="default"/>
                <w:b/>
                <w:bCs/>
                <w:color w:val="auto"/>
                <w:kern w:val="0"/>
                <w:sz w:val="24"/>
                <w:highlight w:val="none"/>
                <w:u w:val="none" w:color="auto"/>
                <w:lang w:val="en-US" w:eastAsia="zh-CN"/>
              </w:rPr>
              <w:t>生态环境分区管控符合性分析</w:t>
            </w:r>
          </w:p>
          <w:p>
            <w:pPr>
              <w:numPr>
                <w:ilvl w:val="0"/>
                <w:numId w:val="0"/>
              </w:numPr>
              <w:autoSpaceDE w:val="0"/>
              <w:autoSpaceDN w:val="0"/>
              <w:adjustRightInd w:val="0"/>
              <w:snapToGrid w:val="0"/>
              <w:spacing w:line="360" w:lineRule="auto"/>
              <w:ind w:firstLine="482" w:firstLineChars="200"/>
              <w:rPr>
                <w:rFonts w:hint="eastAsia" w:ascii="Times New Roman" w:hAnsi="Times New Roman" w:eastAsia="宋体" w:cs="Times New Roman"/>
                <w:b/>
                <w:bCs/>
                <w:color w:val="auto"/>
                <w:kern w:val="0"/>
                <w:sz w:val="24"/>
                <w:szCs w:val="24"/>
                <w:highlight w:val="none"/>
                <w:u w:val="none" w:color="auto"/>
                <w:lang w:val="en-US" w:eastAsia="zh-CN"/>
              </w:rPr>
            </w:pPr>
            <w:r>
              <w:rPr>
                <w:rFonts w:hint="eastAsia" w:ascii="Times New Roman" w:hAnsi="Times New Roman" w:eastAsia="宋体" w:cs="Times New Roman"/>
                <w:b/>
                <w:bCs/>
                <w:color w:val="auto"/>
                <w:kern w:val="0"/>
                <w:sz w:val="24"/>
                <w:szCs w:val="24"/>
                <w:highlight w:val="none"/>
                <w:u w:val="none" w:color="auto"/>
                <w:lang w:val="en-US" w:eastAsia="zh-CN"/>
              </w:rPr>
              <w:t>（1）生态保护红线</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本项目</w:t>
            </w:r>
            <w:r>
              <w:rPr>
                <w:rFonts w:hint="eastAsia" w:cs="Times New Roman"/>
                <w:sz w:val="24"/>
                <w:szCs w:val="24"/>
                <w:highlight w:val="none"/>
                <w:lang w:val="en-US" w:eastAsia="zh-CN"/>
              </w:rPr>
              <w:t>食用菌种植基地</w:t>
            </w:r>
            <w:r>
              <w:rPr>
                <w:rFonts w:hint="eastAsia" w:ascii="Times New Roman" w:hAnsi="Times New Roman" w:cs="Times New Roman"/>
                <w:sz w:val="24"/>
                <w:szCs w:val="24"/>
                <w:highlight w:val="none"/>
                <w:lang w:val="en-US" w:eastAsia="zh-CN"/>
              </w:rPr>
              <w:t>选址于</w:t>
            </w:r>
            <w:r>
              <w:rPr>
                <w:rFonts w:hint="default" w:ascii="Times New Roman" w:hAnsi="Times New Roman" w:cs="Times New Roman"/>
                <w:sz w:val="24"/>
                <w:szCs w:val="24"/>
                <w:highlight w:val="none"/>
              </w:rPr>
              <w:t>湘阴县</w:t>
            </w:r>
            <w:r>
              <w:rPr>
                <w:rFonts w:hint="eastAsia" w:ascii="宋体" w:hAnsi="宋体" w:eastAsia="宋体" w:cs="宋体"/>
                <w:color w:val="000000"/>
                <w:kern w:val="0"/>
                <w:sz w:val="24"/>
                <w:szCs w:val="24"/>
                <w:lang w:val="en-US" w:eastAsia="zh-CN" w:bidi="ar"/>
              </w:rPr>
              <w:t>杨林寨乡太和围村</w:t>
            </w:r>
            <w:r>
              <w:rPr>
                <w:rFonts w:hint="eastAsia" w:ascii="Times New Roman" w:hAnsi="Times New Roman"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根据湘阴县自然资源局《</w:t>
            </w:r>
            <w:r>
              <w:rPr>
                <w:rFonts w:hint="eastAsia" w:ascii="宋体" w:hAnsi="宋体" w:eastAsia="宋体" w:cs="宋体"/>
                <w:color w:val="000000"/>
                <w:kern w:val="0"/>
                <w:sz w:val="24"/>
                <w:szCs w:val="24"/>
                <w:lang w:val="en-US" w:eastAsia="zh-CN" w:bidi="ar"/>
              </w:rPr>
              <w:t>关于湘阴县食用菌产业融合示范区建设项目用地预审与选址审查意见</w:t>
            </w:r>
            <w:r>
              <w:rPr>
                <w:rFonts w:hint="eastAsia" w:ascii="Times New Roman" w:hAnsi="Times New Roman" w:eastAsia="宋体" w:cs="Times New Roman"/>
                <w:sz w:val="24"/>
                <w:szCs w:val="24"/>
                <w:highlight w:val="none"/>
                <w:lang w:val="en-US" w:eastAsia="zh-CN"/>
              </w:rPr>
              <w:t>》，本项目不在生态红线范围内，不占用永久基本农田，不涉及城镇开发边界。</w:t>
            </w:r>
          </w:p>
          <w:p>
            <w:pPr>
              <w:numPr>
                <w:ilvl w:val="0"/>
                <w:numId w:val="0"/>
              </w:numPr>
              <w:autoSpaceDE w:val="0"/>
              <w:autoSpaceDN w:val="0"/>
              <w:adjustRightInd w:val="0"/>
              <w:snapToGrid w:val="0"/>
              <w:spacing w:line="360" w:lineRule="auto"/>
              <w:ind w:firstLine="482" w:firstLineChars="200"/>
              <w:rPr>
                <w:rFonts w:hint="eastAsia" w:ascii="Times New Roman" w:hAnsi="Times New Roman" w:eastAsia="宋体" w:cs="Times New Roman"/>
                <w:b/>
                <w:bCs/>
                <w:color w:val="auto"/>
                <w:kern w:val="0"/>
                <w:sz w:val="24"/>
                <w:szCs w:val="24"/>
                <w:highlight w:val="none"/>
                <w:u w:val="none" w:color="auto"/>
                <w:lang w:val="en-US" w:eastAsia="zh-CN"/>
              </w:rPr>
            </w:pPr>
            <w:r>
              <w:rPr>
                <w:rFonts w:hint="eastAsia" w:cs="Times New Roman"/>
                <w:b/>
                <w:bCs/>
                <w:color w:val="auto"/>
                <w:kern w:val="0"/>
                <w:sz w:val="24"/>
                <w:szCs w:val="24"/>
                <w:highlight w:val="none"/>
                <w:u w:val="none" w:color="auto"/>
                <w:lang w:val="en-US" w:eastAsia="zh-CN"/>
              </w:rPr>
              <w:t>（2）</w:t>
            </w:r>
            <w:r>
              <w:rPr>
                <w:rFonts w:hint="eastAsia" w:ascii="Times New Roman" w:hAnsi="Times New Roman" w:eastAsia="宋体" w:cs="Times New Roman"/>
                <w:b/>
                <w:bCs/>
                <w:color w:val="auto"/>
                <w:kern w:val="0"/>
                <w:sz w:val="24"/>
                <w:szCs w:val="24"/>
                <w:highlight w:val="none"/>
                <w:u w:val="none" w:color="auto"/>
                <w:lang w:val="en-US" w:eastAsia="zh-CN"/>
              </w:rPr>
              <w:t>环境质量底线</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项目区域环境空气质量属于《环境空气质量标准》（GB3095-2012）中二类功能区，根据收集</w:t>
            </w:r>
            <w:r>
              <w:rPr>
                <w:rFonts w:hint="eastAsia" w:ascii="Times New Roman" w:hAnsi="Times New Roman" w:cs="Times New Roman"/>
                <w:sz w:val="24"/>
                <w:szCs w:val="24"/>
                <w:highlight w:val="none"/>
                <w:lang w:val="en-US" w:eastAsia="zh-CN"/>
              </w:rPr>
              <w:t>到的</w:t>
            </w:r>
            <w:r>
              <w:rPr>
                <w:rFonts w:hint="eastAsia" w:ascii="Times New Roman" w:hAnsi="Times New Roman" w:eastAsia="宋体" w:cs="Times New Roman"/>
                <w:sz w:val="24"/>
                <w:szCs w:val="24"/>
                <w:highlight w:val="none"/>
                <w:lang w:val="en-US" w:eastAsia="zh-CN"/>
              </w:rPr>
              <w:t>项目所在区域环境空气质量现状</w:t>
            </w:r>
            <w:r>
              <w:rPr>
                <w:rFonts w:hint="eastAsia" w:ascii="Times New Roman" w:hAnsi="Times New Roman" w:cs="Times New Roman"/>
                <w:sz w:val="24"/>
                <w:szCs w:val="24"/>
                <w:highlight w:val="none"/>
                <w:lang w:val="en-US" w:eastAsia="zh-CN"/>
              </w:rPr>
              <w:t>监测</w:t>
            </w:r>
            <w:r>
              <w:rPr>
                <w:rFonts w:hint="eastAsia" w:ascii="Times New Roman" w:hAnsi="Times New Roman" w:eastAsia="宋体" w:cs="Times New Roman"/>
                <w:sz w:val="24"/>
                <w:szCs w:val="24"/>
                <w:highlight w:val="none"/>
                <w:lang w:val="en-US" w:eastAsia="zh-CN"/>
              </w:rPr>
              <w:t>数据</w:t>
            </w:r>
            <w:r>
              <w:rPr>
                <w:rFonts w:hint="eastAsia" w:ascii="Times New Roman" w:hAnsi="Times New Roman" w:cs="Times New Roman"/>
                <w:sz w:val="24"/>
                <w:szCs w:val="24"/>
                <w:highlight w:val="none"/>
                <w:lang w:val="en-US" w:eastAsia="zh-CN"/>
              </w:rPr>
              <w:t>及补充监测数据</w:t>
            </w:r>
            <w:r>
              <w:rPr>
                <w:rFonts w:hint="eastAsia" w:ascii="Times New Roman" w:hAnsi="Times New Roman" w:eastAsia="宋体" w:cs="Times New Roman"/>
                <w:sz w:val="24"/>
                <w:szCs w:val="24"/>
                <w:highlight w:val="none"/>
                <w:lang w:val="en-US" w:eastAsia="zh-CN"/>
              </w:rPr>
              <w:t>，项目所在区域为</w:t>
            </w:r>
            <w:r>
              <w:rPr>
                <w:rFonts w:hint="eastAsia" w:ascii="Times New Roman" w:hAnsi="Times New Roman" w:cs="Times New Roman"/>
                <w:sz w:val="24"/>
                <w:szCs w:val="24"/>
                <w:highlight w:val="none"/>
                <w:lang w:val="en-US" w:eastAsia="zh-CN"/>
              </w:rPr>
              <w:t>环境空气质量</w:t>
            </w:r>
            <w:r>
              <w:rPr>
                <w:rFonts w:hint="eastAsia" w:ascii="Times New Roman" w:hAnsi="Times New Roman" w:eastAsia="宋体" w:cs="Times New Roman"/>
                <w:sz w:val="24"/>
                <w:szCs w:val="24"/>
                <w:highlight w:val="none"/>
                <w:lang w:val="en-US" w:eastAsia="zh-CN"/>
              </w:rPr>
              <w:t>达标区。</w:t>
            </w:r>
            <w:r>
              <w:rPr>
                <w:rFonts w:hint="eastAsia" w:ascii="宋体" w:hAnsi="宋体" w:eastAsia="宋体" w:cs="宋体"/>
                <w:color w:val="000000"/>
                <w:kern w:val="0"/>
                <w:sz w:val="24"/>
                <w:szCs w:val="24"/>
                <w:lang w:val="en-US" w:eastAsia="zh-CN" w:bidi="ar"/>
              </w:rPr>
              <w:t>屈原湘江取水口断面和屈原自来水厂断面</w:t>
            </w:r>
            <w:r>
              <w:rPr>
                <w:rFonts w:hint="default" w:ascii="Times New Roman" w:hAnsi="Times New Roman" w:eastAsia="宋体" w:cs="Times New Roman"/>
                <w:color w:val="000000"/>
                <w:kern w:val="0"/>
                <w:sz w:val="24"/>
                <w:szCs w:val="24"/>
                <w:lang w:val="en-US" w:eastAsia="zh-CN" w:bidi="ar"/>
              </w:rPr>
              <w:t>2023</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月</w:t>
            </w:r>
            <w:r>
              <w:rPr>
                <w:rFonts w:hint="eastAsia" w:ascii="宋体" w:hAnsi="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2023</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12</w:t>
            </w:r>
            <w:r>
              <w:rPr>
                <w:rFonts w:hint="eastAsia" w:ascii="宋体" w:hAnsi="宋体" w:eastAsia="宋体" w:cs="宋体"/>
                <w:color w:val="000000"/>
                <w:kern w:val="0"/>
                <w:sz w:val="24"/>
                <w:szCs w:val="24"/>
                <w:lang w:val="en-US" w:eastAsia="zh-CN" w:bidi="ar"/>
              </w:rPr>
              <w:t>月水质均能满足《地表水环境质量标准》（</w:t>
            </w:r>
            <w:r>
              <w:rPr>
                <w:rFonts w:hint="default" w:ascii="Times New Roman" w:hAnsi="Times New Roman" w:eastAsia="宋体" w:cs="Times New Roman"/>
                <w:color w:val="000000"/>
                <w:kern w:val="0"/>
                <w:sz w:val="24"/>
                <w:szCs w:val="24"/>
                <w:lang w:val="en-US" w:eastAsia="zh-CN" w:bidi="ar"/>
              </w:rPr>
              <w:t>GB3838-2002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Ⅱ</w:t>
            </w:r>
            <w:r>
              <w:rPr>
                <w:rFonts w:hint="eastAsia" w:ascii="宋体" w:hAnsi="宋体" w:eastAsia="宋体" w:cs="宋体"/>
                <w:color w:val="000000"/>
                <w:kern w:val="0"/>
                <w:sz w:val="24"/>
                <w:szCs w:val="24"/>
                <w:lang w:val="en-US" w:eastAsia="zh-CN" w:bidi="ar"/>
              </w:rPr>
              <w:t>类标准值要求（除</w:t>
            </w:r>
            <w:r>
              <w:rPr>
                <w:rFonts w:hint="default" w:ascii="Times New Roman" w:hAnsi="Times New Roman" w:eastAsia="宋体" w:cs="Times New Roman"/>
                <w:color w:val="000000"/>
                <w:kern w:val="0"/>
                <w:sz w:val="24"/>
                <w:szCs w:val="24"/>
                <w:lang w:val="en-US" w:eastAsia="zh-CN" w:bidi="ar"/>
              </w:rPr>
              <w:t>2023</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月屈原自来水厂断面未开展监测），横岭湖断面部分月份水质总磷超标。超标主要是由农业生产过程使用的含磷化肥和农药通过地表径流进入水体，区域投肥养殖，养殖尾水未经充分处理直接排入水体，农村生活污水未经处理直接排放或城市生活污水处理设施效果不佳、工业废水污染等多方面原因形成。《湘阴县</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十四五</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生态环境保护专项规划（</w:t>
            </w:r>
            <w:r>
              <w:rPr>
                <w:rFonts w:hint="default" w:ascii="Times New Roman" w:hAnsi="Times New Roman" w:eastAsia="宋体" w:cs="Times New Roman"/>
                <w:color w:val="000000"/>
                <w:kern w:val="0"/>
                <w:sz w:val="24"/>
                <w:szCs w:val="24"/>
                <w:lang w:val="en-US" w:eastAsia="zh-CN" w:bidi="ar"/>
              </w:rPr>
              <w:t>2021</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2025</w:t>
            </w:r>
            <w:r>
              <w:rPr>
                <w:rFonts w:hint="eastAsia" w:ascii="宋体" w:hAnsi="宋体" w:eastAsia="宋体" w:cs="宋体"/>
                <w:color w:val="000000"/>
                <w:kern w:val="0"/>
                <w:sz w:val="24"/>
                <w:szCs w:val="24"/>
                <w:lang w:val="en-US" w:eastAsia="zh-CN" w:bidi="ar"/>
              </w:rPr>
              <w:t>年）》中提出了洞庭湖总磷稳定达到</w:t>
            </w:r>
            <w:r>
              <w:rPr>
                <w:rFonts w:hint="default" w:ascii="Times New Roman" w:hAnsi="Times New Roman" w:eastAsia="宋体" w:cs="Times New Roman"/>
                <w:color w:val="000000"/>
                <w:kern w:val="0"/>
                <w:sz w:val="24"/>
                <w:szCs w:val="24"/>
                <w:lang w:val="en-US" w:eastAsia="zh-CN" w:bidi="ar"/>
              </w:rPr>
              <w:t>0.07mg/L</w:t>
            </w:r>
            <w:r>
              <w:rPr>
                <w:rFonts w:hint="eastAsia" w:ascii="宋体" w:hAnsi="宋体" w:eastAsia="宋体" w:cs="宋体"/>
                <w:color w:val="000000"/>
                <w:kern w:val="0"/>
                <w:sz w:val="24"/>
                <w:szCs w:val="24"/>
                <w:lang w:val="en-US" w:eastAsia="zh-CN" w:bidi="ar"/>
              </w:rPr>
              <w:t>的要求，以及持续推进重点湖泊等内湖的总氮、化学需氧量和氨氮等水体污染物治理要求；《洞庭湖总磷污染控制与削减攻坚行动计划（</w:t>
            </w:r>
            <w:r>
              <w:rPr>
                <w:rFonts w:hint="default" w:ascii="Times New Roman" w:hAnsi="Times New Roman" w:eastAsia="宋体" w:cs="Times New Roman"/>
                <w:color w:val="000000"/>
                <w:kern w:val="0"/>
                <w:sz w:val="24"/>
                <w:szCs w:val="24"/>
                <w:lang w:val="en-US" w:eastAsia="zh-CN" w:bidi="ar"/>
              </w:rPr>
              <w:t>2022—2025</w:t>
            </w:r>
            <w:r>
              <w:rPr>
                <w:rFonts w:hint="eastAsia" w:ascii="宋体" w:hAnsi="宋体" w:eastAsia="宋体" w:cs="宋体"/>
                <w:color w:val="000000"/>
                <w:kern w:val="0"/>
                <w:sz w:val="24"/>
                <w:szCs w:val="24"/>
                <w:lang w:val="en-US" w:eastAsia="zh-CN" w:bidi="ar"/>
              </w:rPr>
              <w:t>年）》也提出了</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到</w:t>
            </w:r>
            <w:r>
              <w:rPr>
                <w:rFonts w:hint="default" w:ascii="Times New Roman" w:hAnsi="Times New Roman" w:eastAsia="宋体" w:cs="Times New Roman"/>
                <w:color w:val="000000"/>
                <w:kern w:val="0"/>
                <w:sz w:val="24"/>
                <w:szCs w:val="24"/>
                <w:lang w:val="en-US" w:eastAsia="zh-CN" w:bidi="ar"/>
              </w:rPr>
              <w:t>2025</w:t>
            </w:r>
            <w:r>
              <w:rPr>
                <w:rFonts w:hint="eastAsia" w:ascii="宋体" w:hAnsi="宋体" w:eastAsia="宋体" w:cs="宋体"/>
                <w:color w:val="000000"/>
                <w:kern w:val="0"/>
                <w:sz w:val="24"/>
                <w:szCs w:val="24"/>
                <w:lang w:val="en-US" w:eastAsia="zh-CN" w:bidi="ar"/>
              </w:rPr>
              <w:t>年，洞庭湖湖体总磷浓度持续下降，稳定达到国家考核目标，力争</w:t>
            </w:r>
            <w:r>
              <w:rPr>
                <w:rFonts w:hint="default" w:ascii="Times New Roman" w:hAnsi="Times New Roman" w:eastAsia="宋体" w:cs="Times New Roman"/>
                <w:color w:val="000000"/>
                <w:kern w:val="0"/>
                <w:sz w:val="24"/>
                <w:szCs w:val="24"/>
                <w:lang w:val="en-US" w:eastAsia="zh-CN" w:bidi="ar"/>
              </w:rPr>
              <w:t>2/3</w:t>
            </w:r>
            <w:r>
              <w:rPr>
                <w:rFonts w:hint="eastAsia" w:ascii="宋体" w:hAnsi="宋体" w:eastAsia="宋体" w:cs="宋体"/>
                <w:color w:val="000000"/>
                <w:kern w:val="0"/>
                <w:sz w:val="24"/>
                <w:szCs w:val="24"/>
                <w:lang w:val="en-US" w:eastAsia="zh-CN" w:bidi="ar"/>
              </w:rPr>
              <w:t>以上国家考核断面水质达到</w:t>
            </w:r>
            <w:r>
              <w:rPr>
                <w:rFonts w:hint="eastAsia" w:ascii="宋体" w:hAnsi="宋体" w:cs="宋体"/>
                <w:color w:val="000000"/>
                <w:kern w:val="0"/>
                <w:sz w:val="24"/>
                <w:szCs w:val="24"/>
                <w:lang w:val="en-US" w:eastAsia="zh-CN" w:bidi="ar"/>
              </w:rPr>
              <w:t>Ⅲ</w:t>
            </w:r>
            <w:r>
              <w:rPr>
                <w:rFonts w:hint="eastAsia" w:ascii="宋体" w:hAnsi="宋体" w:eastAsia="宋体" w:cs="宋体"/>
                <w:color w:val="000000"/>
                <w:kern w:val="0"/>
                <w:sz w:val="24"/>
                <w:szCs w:val="24"/>
                <w:lang w:val="en-US" w:eastAsia="zh-CN" w:bidi="ar"/>
              </w:rPr>
              <w:t>类；入湖河流总磷浓度持续下降；湖区生态环境质量和稳定性持续提升</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的目标，并提出了狠抓农业农村污染防治、深化城镇生活污水收集、强化工业污染治理</w:t>
            </w:r>
            <w:r>
              <w:rPr>
                <w:rFonts w:hint="eastAsia" w:ascii="宋体" w:hAnsi="宋体" w:cs="宋体"/>
                <w:color w:val="000000"/>
                <w:kern w:val="0"/>
                <w:sz w:val="24"/>
                <w:szCs w:val="24"/>
                <w:lang w:val="en-US" w:eastAsia="zh-CN" w:bidi="ar"/>
              </w:rPr>
              <w:t>等</w:t>
            </w:r>
            <w:r>
              <w:rPr>
                <w:rFonts w:hint="eastAsia" w:ascii="宋体" w:hAnsi="宋体" w:eastAsia="宋体" w:cs="宋体"/>
                <w:color w:val="000000"/>
                <w:kern w:val="0"/>
                <w:sz w:val="24"/>
                <w:szCs w:val="24"/>
                <w:lang w:val="en-US" w:eastAsia="zh-CN" w:bidi="ar"/>
              </w:rPr>
              <w:t>方面的措施，在按照上述要求开展治理措施后，横岭湖水质会得到改善。</w:t>
            </w:r>
            <w:r>
              <w:rPr>
                <w:rFonts w:hint="eastAsia" w:ascii="宋体" w:hAnsi="宋体" w:cs="宋体"/>
                <w:color w:val="000000"/>
                <w:kern w:val="0"/>
                <w:sz w:val="24"/>
                <w:szCs w:val="24"/>
                <w:lang w:val="en-US" w:eastAsia="zh-CN" w:bidi="ar"/>
              </w:rPr>
              <w:t>同时本项目生产废水全部回用，生活污水经化粪池预处理、食堂废水经隔油池预处理后合并经自建一体化污水处理设施处理达到《农田灌溉水质标准》</w:t>
            </w:r>
            <w:r>
              <w:rPr>
                <w:rFonts w:hint="default" w:ascii="Times New Roman" w:hAnsi="Times New Roman" w:cs="Times New Roman"/>
                <w:color w:val="000000"/>
                <w:kern w:val="0"/>
                <w:sz w:val="24"/>
                <w:szCs w:val="24"/>
                <w:lang w:val="en-US" w:eastAsia="zh-CN" w:bidi="ar"/>
              </w:rPr>
              <w:t>（GB5084-2021）</w:t>
            </w:r>
            <w:r>
              <w:rPr>
                <w:rFonts w:hint="eastAsia" w:ascii="宋体" w:hAnsi="宋体" w:cs="宋体"/>
                <w:color w:val="000000"/>
                <w:kern w:val="0"/>
                <w:sz w:val="24"/>
                <w:szCs w:val="24"/>
                <w:lang w:val="en-US" w:eastAsia="zh-CN" w:bidi="ar"/>
              </w:rPr>
              <w:t>蔬菜作物标准后用于周边菜地灌溉使用，本项目对区域水环境影响较小。根据补充监测结果，</w:t>
            </w:r>
            <w:r>
              <w:rPr>
                <w:rFonts w:hint="eastAsia" w:ascii="Times New Roman" w:hAnsi="Times New Roman" w:eastAsia="宋体" w:cs="Times New Roman"/>
                <w:sz w:val="24"/>
                <w:szCs w:val="24"/>
                <w:highlight w:val="none"/>
                <w:lang w:val="en-US" w:eastAsia="zh-CN"/>
              </w:rPr>
              <w:t>项目</w:t>
            </w:r>
            <w:r>
              <w:rPr>
                <w:rFonts w:hint="eastAsia" w:ascii="Times New Roman" w:hAnsi="Times New Roman" w:cs="Times New Roman"/>
                <w:sz w:val="24"/>
                <w:szCs w:val="24"/>
                <w:highlight w:val="none"/>
                <w:lang w:val="en-US" w:eastAsia="zh-CN"/>
              </w:rPr>
              <w:t>声环境保护目标处声环境质量均</w:t>
            </w:r>
            <w:r>
              <w:rPr>
                <w:rFonts w:hint="eastAsia" w:ascii="Times New Roman" w:hAnsi="Times New Roman" w:eastAsia="宋体" w:cs="Times New Roman"/>
                <w:sz w:val="24"/>
                <w:szCs w:val="24"/>
                <w:highlight w:val="none"/>
                <w:lang w:val="en-US" w:eastAsia="zh-CN"/>
              </w:rPr>
              <w:t>满足《声环境质量标准》（GB3096-2008）中2类标准。</w:t>
            </w:r>
          </w:p>
          <w:p>
            <w:pPr>
              <w:pStyle w:val="33"/>
              <w:snapToGrid w:val="0"/>
              <w:spacing w:line="360" w:lineRule="auto"/>
              <w:ind w:firstLine="480" w:firstLineChars="200"/>
              <w:rPr>
                <w:rFonts w:hint="eastAsia"/>
                <w:color w:val="auto"/>
                <w:spacing w:val="-3"/>
                <w:highlight w:val="none"/>
                <w:lang w:val="en-US" w:eastAsia="zh-CN"/>
              </w:rPr>
            </w:pPr>
            <w:r>
              <w:rPr>
                <w:rFonts w:eastAsia="宋体"/>
                <w:color w:val="auto"/>
                <w:szCs w:val="24"/>
                <w:highlight w:val="none"/>
              </w:rPr>
              <w:t>本项目废气、废水、噪声经处理后</w:t>
            </w:r>
            <w:r>
              <w:rPr>
                <w:rFonts w:hint="eastAsia" w:eastAsia="宋体"/>
                <w:color w:val="auto"/>
                <w:szCs w:val="24"/>
                <w:highlight w:val="none"/>
                <w:lang w:val="en-US" w:eastAsia="zh-CN"/>
              </w:rPr>
              <w:t>可</w:t>
            </w:r>
            <w:r>
              <w:rPr>
                <w:rFonts w:eastAsia="宋体"/>
                <w:color w:val="auto"/>
                <w:szCs w:val="24"/>
                <w:highlight w:val="none"/>
              </w:rPr>
              <w:t>达标，固体废物</w:t>
            </w:r>
            <w:r>
              <w:rPr>
                <w:rFonts w:hint="eastAsia" w:eastAsia="宋体"/>
                <w:color w:val="auto"/>
                <w:szCs w:val="24"/>
                <w:highlight w:val="none"/>
                <w:lang w:val="en-US" w:eastAsia="zh-CN"/>
              </w:rPr>
              <w:t>能</w:t>
            </w:r>
            <w:r>
              <w:rPr>
                <w:rFonts w:eastAsia="宋体"/>
                <w:color w:val="auto"/>
                <w:szCs w:val="24"/>
                <w:highlight w:val="none"/>
              </w:rPr>
              <w:t>得到合理处置，</w:t>
            </w:r>
            <w:r>
              <w:rPr>
                <w:rFonts w:hint="eastAsia" w:eastAsia="宋体"/>
                <w:color w:val="auto"/>
                <w:szCs w:val="24"/>
                <w:highlight w:val="none"/>
                <w:lang w:val="en-US" w:eastAsia="zh-CN"/>
              </w:rPr>
              <w:t>项目建设不会对当地环境质量底线造成冲击</w:t>
            </w:r>
            <w:r>
              <w:rPr>
                <w:rFonts w:eastAsia="宋体"/>
                <w:color w:val="auto"/>
                <w:szCs w:val="24"/>
                <w:highlight w:val="none"/>
              </w:rPr>
              <w:t>，因此项目符合环境质量底线要求</w:t>
            </w:r>
            <w:r>
              <w:rPr>
                <w:rFonts w:hint="eastAsia"/>
                <w:color w:val="auto"/>
                <w:spacing w:val="-3"/>
                <w:highlight w:val="none"/>
                <w:lang w:val="en-US" w:eastAsia="zh-CN"/>
              </w:rPr>
              <w:t>。</w:t>
            </w:r>
          </w:p>
          <w:p>
            <w:pPr>
              <w:numPr>
                <w:ilvl w:val="0"/>
                <w:numId w:val="0"/>
              </w:numPr>
              <w:autoSpaceDE w:val="0"/>
              <w:autoSpaceDN w:val="0"/>
              <w:adjustRightInd w:val="0"/>
              <w:snapToGrid w:val="0"/>
              <w:spacing w:line="360" w:lineRule="auto"/>
              <w:ind w:firstLine="482" w:firstLineChars="200"/>
              <w:rPr>
                <w:rFonts w:hint="eastAsia" w:cs="Times New Roman"/>
                <w:b/>
                <w:bCs/>
                <w:color w:val="auto"/>
                <w:kern w:val="0"/>
                <w:sz w:val="24"/>
                <w:szCs w:val="24"/>
                <w:highlight w:val="none"/>
                <w:u w:val="none" w:color="auto"/>
                <w:lang w:val="en-US" w:eastAsia="zh-CN"/>
              </w:rPr>
            </w:pPr>
            <w:r>
              <w:rPr>
                <w:rFonts w:hint="eastAsia" w:cs="Times New Roman"/>
                <w:b/>
                <w:bCs/>
                <w:color w:val="auto"/>
                <w:kern w:val="0"/>
                <w:sz w:val="24"/>
                <w:szCs w:val="24"/>
                <w:highlight w:val="none"/>
                <w:u w:val="none" w:color="auto"/>
                <w:lang w:val="en-US" w:eastAsia="zh-CN"/>
              </w:rPr>
              <w:t>（3）资源利用上限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本项目营运过程中消耗一定量的电源、水资源等资源，项目不属于高耗能、高耗水的企业，生产废水循环利用，资源消耗量相对区域资源利用总量较少，符合资源利用上线要求。</w:t>
            </w:r>
          </w:p>
          <w:p>
            <w:pPr>
              <w:numPr>
                <w:ilvl w:val="0"/>
                <w:numId w:val="0"/>
              </w:numPr>
              <w:autoSpaceDE w:val="0"/>
              <w:autoSpaceDN w:val="0"/>
              <w:adjustRightInd w:val="0"/>
              <w:snapToGrid w:val="0"/>
              <w:spacing w:line="360" w:lineRule="auto"/>
              <w:ind w:firstLine="482" w:firstLineChars="200"/>
              <w:rPr>
                <w:rFonts w:hint="eastAsia" w:cs="Times New Roman"/>
                <w:b/>
                <w:bCs/>
                <w:color w:val="auto"/>
                <w:kern w:val="0"/>
                <w:sz w:val="24"/>
                <w:szCs w:val="24"/>
                <w:highlight w:val="none"/>
                <w:u w:val="single" w:color="auto"/>
                <w:lang w:val="en-US" w:eastAsia="zh-CN"/>
              </w:rPr>
            </w:pPr>
            <w:r>
              <w:rPr>
                <w:rFonts w:hint="eastAsia" w:cs="Times New Roman"/>
                <w:b/>
                <w:bCs/>
                <w:color w:val="auto"/>
                <w:kern w:val="0"/>
                <w:sz w:val="24"/>
                <w:szCs w:val="24"/>
                <w:highlight w:val="none"/>
                <w:u w:val="single" w:color="auto"/>
                <w:lang w:val="en-US" w:eastAsia="zh-CN"/>
              </w:rPr>
              <w:t>（4）生态环境准入清单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highlight w:val="none"/>
                <w:u w:val="single" w:color="auto"/>
                <w:lang w:val="en-US" w:eastAsia="zh-CN"/>
              </w:rPr>
            </w:pPr>
            <w:r>
              <w:rPr>
                <w:rFonts w:hint="default" w:ascii="Times New Roman" w:hAnsi="Times New Roman" w:eastAsia="宋体" w:cs="Times New Roman"/>
                <w:sz w:val="24"/>
                <w:szCs w:val="24"/>
                <w:highlight w:val="none"/>
                <w:u w:val="single" w:color="auto"/>
                <w:lang w:val="en-US" w:eastAsia="zh-CN"/>
              </w:rPr>
              <w:t>根据生态环境部《2023年生态环境分区管控成果动态更新工作方案》（环办环评函〔2023〕81号）附件1</w:t>
            </w:r>
            <w:r>
              <w:rPr>
                <w:rFonts w:hint="default" w:ascii="Times New Roman" w:hAnsi="Times New Roman" w:eastAsia="宋体" w:cs="Times New Roman"/>
                <w:sz w:val="24"/>
                <w:szCs w:val="24"/>
                <w:highlight w:val="none"/>
                <w:u w:val="single" w:color="auto"/>
                <w:lang w:val="en-US" w:eastAsia="zh-CN"/>
              </w:rPr>
              <w:fldChar w:fldCharType="begin"/>
            </w:r>
            <w:r>
              <w:rPr>
                <w:rFonts w:hint="default" w:ascii="Times New Roman" w:hAnsi="Times New Roman" w:eastAsia="宋体" w:cs="Times New Roman"/>
                <w:sz w:val="24"/>
                <w:szCs w:val="24"/>
                <w:highlight w:val="none"/>
                <w:u w:val="single" w:color="auto"/>
                <w:lang w:val="en-US" w:eastAsia="zh-CN"/>
              </w:rPr>
              <w:instrText xml:space="preserve"> HYPERLINK "http://sthjt.hunan.gov.cn/sthjt/xxgk/tzgg/gg/202410/33470987/files/204d3f92424e4e6ea1f321a469c9fa13.pdf" \t "http://sthjt.hunan.gov.cn/sthjt/xxgk/tzgg/gg/202410/_blank" </w:instrText>
            </w:r>
            <w:r>
              <w:rPr>
                <w:rFonts w:hint="default" w:ascii="Times New Roman" w:hAnsi="Times New Roman" w:eastAsia="宋体" w:cs="Times New Roman"/>
                <w:sz w:val="24"/>
                <w:szCs w:val="24"/>
                <w:highlight w:val="none"/>
                <w:u w:val="single" w:color="auto"/>
                <w:lang w:val="en-US" w:eastAsia="zh-CN"/>
              </w:rPr>
              <w:fldChar w:fldCharType="separate"/>
            </w:r>
            <w:r>
              <w:rPr>
                <w:rFonts w:hint="default" w:ascii="Times New Roman" w:hAnsi="Times New Roman" w:eastAsia="宋体" w:cs="Times New Roman"/>
                <w:sz w:val="24"/>
                <w:szCs w:val="24"/>
                <w:highlight w:val="none"/>
                <w:u w:val="single" w:color="auto"/>
                <w:lang w:val="en-US" w:eastAsia="zh-CN"/>
              </w:rPr>
              <w:t>湖南省各市州生态环境管控单元分类统计表</w:t>
            </w:r>
            <w:r>
              <w:rPr>
                <w:rFonts w:hint="default" w:ascii="Times New Roman" w:hAnsi="Times New Roman" w:eastAsia="宋体" w:cs="Times New Roman"/>
                <w:sz w:val="24"/>
                <w:szCs w:val="24"/>
                <w:highlight w:val="none"/>
                <w:u w:val="single" w:color="auto"/>
                <w:lang w:val="en-US" w:eastAsia="zh-CN"/>
              </w:rPr>
              <w:fldChar w:fldCharType="end"/>
            </w:r>
            <w:r>
              <w:rPr>
                <w:rFonts w:hint="default" w:ascii="Times New Roman" w:hAnsi="Times New Roman" w:eastAsia="宋体" w:cs="Times New Roman"/>
                <w:sz w:val="24"/>
                <w:szCs w:val="24"/>
                <w:highlight w:val="none"/>
                <w:u w:val="single" w:color="auto"/>
                <w:lang w:val="en-US" w:eastAsia="zh-CN"/>
              </w:rPr>
              <w:t>，生态环境管控单元更新后，岳阳市共划定63个单元，其中包括优先保护单元为19个，面积占比为41.07%；重点管控单元32个，面积占比为38.8</w:t>
            </w:r>
            <w:r>
              <w:rPr>
                <w:rFonts w:hint="eastAsia" w:cs="Times New Roman"/>
                <w:sz w:val="24"/>
                <w:szCs w:val="24"/>
                <w:highlight w:val="none"/>
                <w:u w:val="single" w:color="auto"/>
                <w:lang w:val="en-US" w:eastAsia="zh-CN"/>
              </w:rPr>
              <w:t>7</w:t>
            </w:r>
            <w:r>
              <w:rPr>
                <w:rFonts w:hint="default" w:ascii="Times New Roman" w:hAnsi="Times New Roman" w:eastAsia="宋体" w:cs="Times New Roman"/>
                <w:sz w:val="24"/>
                <w:szCs w:val="24"/>
                <w:highlight w:val="none"/>
                <w:u w:val="single" w:color="auto"/>
                <w:lang w:val="en-US" w:eastAsia="zh-CN"/>
              </w:rPr>
              <w:t>%；一般管控单元12个，面积占比为20.0</w:t>
            </w:r>
            <w:r>
              <w:rPr>
                <w:rFonts w:hint="eastAsia" w:cs="Times New Roman"/>
                <w:sz w:val="24"/>
                <w:szCs w:val="24"/>
                <w:highlight w:val="none"/>
                <w:u w:val="single" w:color="auto"/>
                <w:lang w:val="en-US" w:eastAsia="zh-CN"/>
              </w:rPr>
              <w:t>6</w:t>
            </w:r>
            <w:r>
              <w:rPr>
                <w:rFonts w:hint="default" w:ascii="Times New Roman" w:hAnsi="Times New Roman" w:eastAsia="宋体" w:cs="Times New Roman"/>
                <w:sz w:val="24"/>
                <w:szCs w:val="24"/>
                <w:highlight w:val="none"/>
                <w:u w:val="singl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highlight w:val="none"/>
                <w:u w:val="single" w:color="auto"/>
                <w:lang w:val="en-US" w:eastAsia="zh-CN"/>
              </w:rPr>
            </w:pPr>
            <w:r>
              <w:rPr>
                <w:rFonts w:hint="eastAsia" w:ascii="Times New Roman" w:hAnsi="Times New Roman" w:eastAsia="宋体" w:cs="Times New Roman"/>
                <w:sz w:val="24"/>
                <w:szCs w:val="24"/>
                <w:highlight w:val="none"/>
                <w:u w:val="single" w:color="auto"/>
                <w:lang w:val="en-US" w:eastAsia="zh-CN"/>
              </w:rPr>
              <w:t>本项目选址于湖南省岳阳市湘阴县杨林寨乡，因此本次环评生态环境准入清单对照</w:t>
            </w:r>
            <w:r>
              <w:rPr>
                <w:rFonts w:hint="default" w:ascii="Times New Roman" w:hAnsi="Times New Roman" w:eastAsia="宋体" w:cs="Times New Roman"/>
                <w:sz w:val="24"/>
                <w:szCs w:val="24"/>
                <w:highlight w:val="none"/>
                <w:u w:val="single" w:color="auto"/>
                <w:lang w:val="en-US" w:eastAsia="zh-CN"/>
              </w:rPr>
              <w:t>《岳阳市生态环境分区管控动态更新成果（2023年版）</w:t>
            </w:r>
            <w:r>
              <w:rPr>
                <w:rFonts w:hint="eastAsia" w:cs="Times New Roman"/>
                <w:sz w:val="24"/>
                <w:szCs w:val="24"/>
                <w:highlight w:val="none"/>
                <w:u w:val="single" w:color="auto"/>
                <w:lang w:val="en-US" w:eastAsia="zh-CN"/>
              </w:rPr>
              <w:t>》</w:t>
            </w:r>
            <w:r>
              <w:rPr>
                <w:rFonts w:hint="eastAsia" w:ascii="Times New Roman" w:hAnsi="Times New Roman" w:eastAsia="宋体" w:cs="Times New Roman"/>
                <w:sz w:val="24"/>
                <w:szCs w:val="24"/>
                <w:highlight w:val="none"/>
                <w:u w:val="single" w:color="auto"/>
                <w:lang w:val="en-US" w:eastAsia="zh-CN"/>
              </w:rPr>
              <w:t>中杨林寨乡管控要求进行分析，杨林寨乡管控单元编码：ZH43062410001，属于优先保护单元，主体功能定位为</w:t>
            </w:r>
            <w:r>
              <w:rPr>
                <w:rFonts w:hint="eastAsia" w:cs="Times New Roman"/>
                <w:sz w:val="24"/>
                <w:szCs w:val="24"/>
                <w:highlight w:val="none"/>
                <w:u w:val="single" w:color="auto"/>
                <w:lang w:val="en-US" w:eastAsia="zh-CN"/>
              </w:rPr>
              <w:t>农产品主产区</w:t>
            </w:r>
            <w:r>
              <w:rPr>
                <w:rFonts w:hint="eastAsia" w:ascii="Times New Roman" w:hAnsi="Times New Roman" w:eastAsia="宋体" w:cs="Times New Roman"/>
                <w:sz w:val="24"/>
                <w:szCs w:val="24"/>
                <w:highlight w:val="none"/>
                <w:u w:val="single" w:color="auto"/>
                <w:lang w:val="en-US" w:eastAsia="zh-CN"/>
              </w:rPr>
              <w:t>。项目</w:t>
            </w:r>
            <w:r>
              <w:rPr>
                <w:rFonts w:hint="eastAsia" w:ascii="Times New Roman" w:hAnsi="Times New Roman" w:eastAsia="宋体" w:cs="Times New Roman"/>
                <w:sz w:val="24"/>
                <w:highlight w:val="none"/>
                <w:u w:val="single" w:color="auto"/>
                <w:lang w:val="en-US" w:eastAsia="zh-CN"/>
              </w:rPr>
              <w:t>与岳阳市生态环境准入清单符合性分析详见表</w:t>
            </w:r>
            <w:r>
              <w:rPr>
                <w:rFonts w:hint="eastAsia" w:cs="Times New Roman"/>
                <w:sz w:val="24"/>
                <w:highlight w:val="none"/>
                <w:u w:val="single" w:color="auto"/>
                <w:lang w:val="en-US" w:eastAsia="zh-CN"/>
              </w:rPr>
              <w:t>1-2</w:t>
            </w:r>
            <w:r>
              <w:rPr>
                <w:rFonts w:hint="eastAsia" w:ascii="Times New Roman" w:hAnsi="Times New Roman" w:cs="Times New Roman"/>
                <w:sz w:val="24"/>
                <w:szCs w:val="24"/>
                <w:highlight w:val="none"/>
                <w:u w:val="single" w:color="auto"/>
                <w:lang w:val="en-US" w:eastAsia="zh-CN"/>
              </w:rPr>
              <w:t>、</w:t>
            </w:r>
            <w:r>
              <w:rPr>
                <w:rFonts w:hint="eastAsia" w:cs="Times New Roman"/>
                <w:sz w:val="24"/>
                <w:szCs w:val="24"/>
                <w:highlight w:val="none"/>
                <w:u w:val="single" w:color="auto"/>
                <w:lang w:val="en-US" w:eastAsia="zh-CN"/>
              </w:rPr>
              <w:t>1-3</w:t>
            </w:r>
            <w:r>
              <w:rPr>
                <w:rFonts w:hint="eastAsia" w:ascii="Times New Roman" w:hAnsi="Times New Roman" w:eastAsia="宋体" w:cs="Times New Roman"/>
                <w:sz w:val="24"/>
                <w:szCs w:val="24"/>
                <w:highlight w:val="none"/>
                <w:u w:val="singl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sz w:val="21"/>
                <w:szCs w:val="21"/>
                <w:highlight w:val="none"/>
                <w:u w:val="single" w:color="auto"/>
                <w:lang w:val="en-US" w:eastAsia="zh-CN"/>
              </w:rPr>
            </w:pPr>
            <w:r>
              <w:rPr>
                <w:rFonts w:hint="eastAsia" w:cs="Times New Roman"/>
                <w:b/>
                <w:bCs/>
                <w:sz w:val="21"/>
                <w:szCs w:val="21"/>
                <w:highlight w:val="none"/>
                <w:u w:val="single" w:color="auto"/>
                <w:lang w:val="en-US" w:eastAsia="zh-CN"/>
              </w:rPr>
              <w:t>1-2</w:t>
            </w:r>
            <w:r>
              <w:rPr>
                <w:rFonts w:hint="eastAsia" w:ascii="Times New Roman" w:hAnsi="Times New Roman" w:cs="Times New Roman"/>
                <w:b/>
                <w:bCs/>
                <w:sz w:val="21"/>
                <w:szCs w:val="21"/>
                <w:highlight w:val="none"/>
                <w:u w:val="single" w:color="auto"/>
                <w:lang w:val="en-US" w:eastAsia="zh-CN"/>
              </w:rPr>
              <w:t xml:space="preserve">  与</w:t>
            </w:r>
            <w:r>
              <w:rPr>
                <w:rFonts w:hint="eastAsia" w:ascii="Times New Roman" w:hAnsi="Times New Roman" w:eastAsia="宋体" w:cs="Times New Roman"/>
                <w:b/>
                <w:bCs/>
                <w:sz w:val="21"/>
                <w:szCs w:val="21"/>
                <w:highlight w:val="none"/>
                <w:u w:val="single" w:color="auto"/>
                <w:lang w:val="en-US" w:eastAsia="zh-CN"/>
              </w:rPr>
              <w:t>岳阳市生态环境管控基本要求</w:t>
            </w:r>
            <w:r>
              <w:rPr>
                <w:rFonts w:hint="eastAsia" w:ascii="Times New Roman" w:hAnsi="Times New Roman" w:cs="Times New Roman"/>
                <w:b/>
                <w:bCs/>
                <w:sz w:val="21"/>
                <w:szCs w:val="21"/>
                <w:highlight w:val="none"/>
                <w:u w:val="single" w:color="auto"/>
                <w:lang w:val="en-US" w:eastAsia="zh-CN"/>
              </w:rPr>
              <w:t>相符性分析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38"/>
              <w:gridCol w:w="3117"/>
              <w:gridCol w:w="1658"/>
              <w:gridCol w:w="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77" w:type="pct"/>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u w:val="single" w:color="auto"/>
                      <w:vertAlign w:val="baseline"/>
                      <w:lang w:val="en-US" w:eastAsia="zh-CN"/>
                    </w:rPr>
                  </w:pPr>
                  <w:r>
                    <w:rPr>
                      <w:rFonts w:hint="default" w:ascii="Times New Roman" w:hAnsi="Times New Roman" w:eastAsia="宋体" w:cs="Times New Roman"/>
                      <w:b/>
                      <w:bCs/>
                      <w:sz w:val="21"/>
                      <w:szCs w:val="21"/>
                      <w:highlight w:val="none"/>
                      <w:u w:val="single" w:color="auto"/>
                      <w:vertAlign w:val="baseline"/>
                      <w:lang w:val="en-US" w:eastAsia="zh-CN"/>
                    </w:rPr>
                    <w:t>属性/区域</w:t>
                  </w:r>
                </w:p>
              </w:tc>
              <w:tc>
                <w:tcPr>
                  <w:tcW w:w="538" w:type="pct"/>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u w:val="single" w:color="auto"/>
                      <w:vertAlign w:val="baseline"/>
                      <w:lang w:val="en-US" w:eastAsia="zh-CN"/>
                    </w:rPr>
                  </w:pPr>
                  <w:r>
                    <w:rPr>
                      <w:rFonts w:hint="default" w:ascii="Times New Roman" w:hAnsi="Times New Roman" w:eastAsia="宋体" w:cs="Times New Roman"/>
                      <w:b/>
                      <w:bCs/>
                      <w:sz w:val="21"/>
                      <w:szCs w:val="21"/>
                      <w:highlight w:val="none"/>
                      <w:u w:val="single" w:color="auto"/>
                      <w:vertAlign w:val="baseline"/>
                      <w:lang w:val="en-US" w:eastAsia="zh-CN"/>
                    </w:rPr>
                    <w:t>管控</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u w:val="single" w:color="auto"/>
                      <w:vertAlign w:val="baseline"/>
                      <w:lang w:val="en-US" w:eastAsia="zh-CN"/>
                    </w:rPr>
                  </w:pPr>
                  <w:r>
                    <w:rPr>
                      <w:rFonts w:hint="default" w:ascii="Times New Roman" w:hAnsi="Times New Roman" w:eastAsia="宋体" w:cs="Times New Roman"/>
                      <w:b/>
                      <w:bCs/>
                      <w:sz w:val="21"/>
                      <w:szCs w:val="21"/>
                      <w:highlight w:val="none"/>
                      <w:u w:val="single" w:color="auto"/>
                      <w:vertAlign w:val="baseline"/>
                      <w:lang w:val="en-US" w:eastAsia="zh-CN"/>
                    </w:rPr>
                    <w:t>维度</w:t>
                  </w:r>
                </w:p>
              </w:tc>
              <w:tc>
                <w:tcPr>
                  <w:tcW w:w="2273" w:type="pct"/>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u w:val="single" w:color="auto"/>
                      <w:vertAlign w:val="baseline"/>
                      <w:lang w:val="en-US" w:eastAsia="zh-CN"/>
                    </w:rPr>
                  </w:pPr>
                  <w:r>
                    <w:rPr>
                      <w:rFonts w:hint="default" w:ascii="Times New Roman" w:hAnsi="Times New Roman" w:eastAsia="宋体" w:cs="Times New Roman"/>
                      <w:b/>
                      <w:bCs/>
                      <w:sz w:val="21"/>
                      <w:szCs w:val="21"/>
                      <w:highlight w:val="none"/>
                      <w:u w:val="single" w:color="auto"/>
                      <w:vertAlign w:val="baseline"/>
                      <w:lang w:val="en-US" w:eastAsia="zh-CN"/>
                    </w:rPr>
                    <w:t>管控要求</w:t>
                  </w:r>
                </w:p>
              </w:tc>
              <w:tc>
                <w:tcPr>
                  <w:tcW w:w="120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u w:val="single" w:color="auto"/>
                      <w:lang w:val="en-US" w:eastAsia="zh-CN" w:bidi="ar-SA"/>
                    </w:rPr>
                  </w:pPr>
                  <w:r>
                    <w:rPr>
                      <w:rFonts w:hint="default" w:ascii="Times New Roman" w:hAnsi="Times New Roman" w:eastAsia="宋体" w:cs="Times New Roman"/>
                      <w:b/>
                      <w:bCs/>
                      <w:color w:val="auto"/>
                      <w:sz w:val="21"/>
                      <w:szCs w:val="21"/>
                      <w:highlight w:val="none"/>
                      <w:u w:val="single" w:color="auto"/>
                    </w:rPr>
                    <w:t>本项目情况</w:t>
                  </w:r>
                </w:p>
              </w:tc>
              <w:tc>
                <w:tcPr>
                  <w:tcW w:w="5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u w:val="single" w:color="auto"/>
                      <w:lang w:val="en-US" w:eastAsia="zh-CN" w:bidi="ar-SA"/>
                    </w:rPr>
                  </w:pPr>
                  <w:r>
                    <w:rPr>
                      <w:rFonts w:hint="default" w:ascii="Times New Roman" w:hAnsi="Times New Roman" w:eastAsia="宋体" w:cs="Times New Roman"/>
                      <w:b/>
                      <w:bCs/>
                      <w:color w:val="auto"/>
                      <w:sz w:val="21"/>
                      <w:szCs w:val="21"/>
                      <w:highlight w:val="none"/>
                      <w:u w:val="single" w:color="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77" w:type="pct"/>
                  <w:vMerge w:val="restart"/>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一般</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生态</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空间</w:t>
                  </w:r>
                </w:p>
              </w:tc>
              <w:tc>
                <w:tcPr>
                  <w:tcW w:w="538" w:type="pct"/>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single" w:color="auto"/>
                      <w:vertAlign w:val="baseline"/>
                      <w:lang w:val="en-US" w:eastAsia="zh-CN"/>
                    </w:rPr>
                  </w:pPr>
                  <w:r>
                    <w:rPr>
                      <w:rFonts w:hint="default" w:ascii="Times New Roman" w:hAnsi="Times New Roman" w:eastAsia="宋体" w:cs="Times New Roman"/>
                      <w:b w:val="0"/>
                      <w:bCs w:val="0"/>
                      <w:sz w:val="21"/>
                      <w:szCs w:val="21"/>
                      <w:highlight w:val="none"/>
                      <w:u w:val="single" w:color="auto"/>
                      <w:vertAlign w:val="baseline"/>
                      <w:lang w:val="en-US" w:eastAsia="zh-CN"/>
                    </w:rPr>
                    <w:t>空间布局约束</w:t>
                  </w:r>
                </w:p>
              </w:tc>
              <w:tc>
                <w:tcPr>
                  <w:tcW w:w="2273" w:type="pct"/>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1.1</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）加强生态系统建设，加快长江防护林体系建设，狠抓长江、洞庭湖湿地生态修复，对沿路、沿江河湖岸</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100</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米范围内宜林地开展造林绿化和绿化提质提效；加强水生生物、野生动植物生态保护，维护生物多样性。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1.2</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）以东洞庭湖自然保护区为主体，形成湖泊水面</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环湖岗地为一体的湿地生态保护区；以铁山水库、龙源水库等饮用水源地为主的水源保护区；以长江、湘江、汨罗江、新墙河和华容河为主的滨河保护区；以大云山国家森林公园、幕阜山森林公园为主的生态林保护区；以集成麋鹿自然保护区为主的野生动物保护区；以连云山、福寿山</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汨罗江为主的风景名胜保护区；以南湖风景区为主的城市生态保护区；以岳阳楼、屈子祠、张谷英村、任弼时故居为主的历史文化保护区；以东洞庭湖、黄盖湖、汨罗江、横岭湖为主的湿地保护区。</w:t>
                  </w:r>
                </w:p>
              </w:tc>
              <w:tc>
                <w:tcPr>
                  <w:tcW w:w="1209" w:type="pct"/>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不涉及</w:t>
                  </w:r>
                </w:p>
              </w:tc>
              <w:tc>
                <w:tcPr>
                  <w:tcW w:w="501" w:type="pct"/>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77" w:type="pct"/>
                  <w:vMerge w:val="continue"/>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single" w:color="auto"/>
                      <w:vertAlign w:val="baseline"/>
                      <w:lang w:val="en-US" w:eastAsia="zh-CN"/>
                    </w:rPr>
                  </w:pPr>
                </w:p>
              </w:tc>
              <w:tc>
                <w:tcPr>
                  <w:tcW w:w="538" w:type="pct"/>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环境风险防控</w:t>
                  </w:r>
                </w:p>
              </w:tc>
              <w:tc>
                <w:tcPr>
                  <w:tcW w:w="2273" w:type="pct"/>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2.1</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）开展洞庭湖湿地生态气象观测，健全湿地监测数据共享机制；完善自然保护地体系建设，建立</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智慧保护地</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监控系统。</w:t>
                  </w:r>
                </w:p>
              </w:tc>
              <w:tc>
                <w:tcPr>
                  <w:tcW w:w="1209" w:type="pct"/>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bookmarkStart w:id="7" w:name="OLE_LINK622"/>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不涉及；</w:t>
                  </w:r>
                  <w:bookmarkEnd w:id="7"/>
                </w:p>
              </w:tc>
              <w:tc>
                <w:tcPr>
                  <w:tcW w:w="501" w:type="pct"/>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77" w:type="pct"/>
                  <w:vMerge w:val="restart"/>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eastAsia="宋体" w:cs="Times New Roman"/>
                      <w:b w:val="0"/>
                      <w:bCs w:val="0"/>
                      <w:sz w:val="21"/>
                      <w:szCs w:val="21"/>
                      <w:highlight w:val="none"/>
                      <w:u w:val="single" w:color="auto"/>
                      <w:vertAlign w:val="baseline"/>
                      <w:lang w:val="en-US" w:eastAsia="zh-CN"/>
                    </w:rPr>
                    <w:t>农用地优先保护</w:t>
                  </w:r>
                  <w:r>
                    <w:rPr>
                      <w:rFonts w:hint="default" w:ascii="Times New Roman" w:hAnsi="Times New Roman" w:eastAsia="宋体" w:cs="Times New Roman"/>
                      <w:b w:val="0"/>
                      <w:bCs w:val="0"/>
                      <w:sz w:val="21"/>
                      <w:szCs w:val="21"/>
                      <w:highlight w:val="none"/>
                      <w:u w:val="single" w:color="auto"/>
                      <w:vertAlign w:val="baseline"/>
                      <w:lang w:val="en-US" w:eastAsia="zh-CN"/>
                    </w:rPr>
                    <w:t>区</w:t>
                  </w:r>
                </w:p>
              </w:tc>
              <w:tc>
                <w:tcPr>
                  <w:tcW w:w="538" w:type="pct"/>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空间布局约束</w:t>
                  </w:r>
                </w:p>
              </w:tc>
              <w:tc>
                <w:tcPr>
                  <w:tcW w:w="2273" w:type="pct"/>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1.1</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）基本农田保护区内适当预留岳阳市融入长江经济带、重大交通水利建设空间。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1.2</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）城市、村庄和集镇建设不得占用基本农田，交通、水利、能源等基础设施项目因选址特殊，无法避让基本农田的，必须报国务院批准，并按照</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先补后占、占优补优、占水田补水田</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的原则，补划数量、质量相当的基本农田。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1.3</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）禁止违法占用基本农田进行绿色通道、绿化隔离带和防护林建设，禁止改变基本农田土壤性状发展林果业和挖塘养鱼，禁止对基本农田耕作层造成永久性破坏的临时工程用地和其他各项活动。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1.4</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）禁止在优先保护类耕地集中区域新建有色金属冶炼、有色金属矿采选、化工、石油加工、危险废物经营等行业企业，已建成的相关企业应当按照有关标准、规定采取措施，防止对耕地造成污染。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1.5</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）禁止在优先保护类耕地集中区建设重点行业污染企业。现有的重点行业污染企业不得扩大规模，同时要采取有效措施，防止对耕地造成污染。</w:t>
                  </w:r>
                </w:p>
              </w:tc>
              <w:tc>
                <w:tcPr>
                  <w:tcW w:w="1209" w:type="pct"/>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1.1根据项目用地预审与选址审查意见本项目用地在城镇开发边界内不属于基本农田保护区内；</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1.2项目未占用基本农田；</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1.3不涉及；</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1.4不涉及；</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1.5本项目为食用菌种植基地项目，不属于重点行业污染企业；</w:t>
                  </w:r>
                </w:p>
              </w:tc>
              <w:tc>
                <w:tcPr>
                  <w:tcW w:w="501" w:type="pct"/>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77" w:type="pct"/>
                  <w:vMerge w:val="continue"/>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p>
              </w:tc>
              <w:tc>
                <w:tcPr>
                  <w:tcW w:w="538" w:type="pct"/>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资源开发效率要求</w:t>
                  </w:r>
                </w:p>
              </w:tc>
              <w:tc>
                <w:tcPr>
                  <w:tcW w:w="2273" w:type="pct"/>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2.1</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）严格保护耕地特别是基本农田，控制非农建设占用耕地；节约集约利用土地，提高土地利用效率；统筹安排各类、各区域用地，促进土地资源的可持续利用。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2.2</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）对优先保护类农用地实行优先保护和严格管理，确保其面积不减少、土壤环境质量不下降。</w:t>
                  </w:r>
                </w:p>
              </w:tc>
              <w:tc>
                <w:tcPr>
                  <w:tcW w:w="1209" w:type="pct"/>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本项目属于食用菌种植基地，用地为二类工业用地，未占用基本农田</w:t>
                  </w:r>
                </w:p>
              </w:tc>
              <w:tc>
                <w:tcPr>
                  <w:tcW w:w="501" w:type="pct"/>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77" w:type="pct"/>
                  <w:vMerge w:val="restart"/>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single" w:color="auto"/>
                      <w:vertAlign w:val="baseline"/>
                      <w:lang w:val="en-US" w:eastAsia="zh-CN"/>
                    </w:rPr>
                  </w:pPr>
                  <w:r>
                    <w:rPr>
                      <w:rFonts w:hint="eastAsia" w:ascii="Times New Roman" w:hAnsi="Times New Roman" w:eastAsia="宋体" w:cs="Times New Roman"/>
                      <w:b w:val="0"/>
                      <w:bCs w:val="0"/>
                      <w:sz w:val="21"/>
                      <w:szCs w:val="21"/>
                      <w:highlight w:val="none"/>
                      <w:u w:val="single" w:color="auto"/>
                      <w:vertAlign w:val="baseline"/>
                      <w:lang w:val="en-US" w:eastAsia="zh-CN"/>
                    </w:rPr>
                    <w:t>农用</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single" w:color="auto"/>
                      <w:vertAlign w:val="baseline"/>
                      <w:lang w:val="en-US" w:eastAsia="zh-CN"/>
                    </w:rPr>
                  </w:pPr>
                  <w:r>
                    <w:rPr>
                      <w:rFonts w:hint="eastAsia" w:ascii="Times New Roman" w:hAnsi="Times New Roman" w:eastAsia="宋体" w:cs="Times New Roman"/>
                      <w:b w:val="0"/>
                      <w:bCs w:val="0"/>
                      <w:sz w:val="21"/>
                      <w:szCs w:val="21"/>
                      <w:highlight w:val="none"/>
                      <w:u w:val="single" w:color="auto"/>
                      <w:vertAlign w:val="baseline"/>
                      <w:lang w:val="en-US" w:eastAsia="zh-CN"/>
                    </w:rPr>
                    <w:t>地污</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single" w:color="auto"/>
                      <w:vertAlign w:val="baseline"/>
                      <w:lang w:val="en-US" w:eastAsia="zh-CN"/>
                    </w:rPr>
                  </w:pPr>
                  <w:r>
                    <w:rPr>
                      <w:rFonts w:hint="eastAsia" w:ascii="Times New Roman" w:hAnsi="Times New Roman" w:eastAsia="宋体" w:cs="Times New Roman"/>
                      <w:b w:val="0"/>
                      <w:bCs w:val="0"/>
                      <w:sz w:val="21"/>
                      <w:szCs w:val="21"/>
                      <w:highlight w:val="none"/>
                      <w:u w:val="single" w:color="auto"/>
                      <w:vertAlign w:val="baseline"/>
                      <w:lang w:val="en-US" w:eastAsia="zh-CN"/>
                    </w:rPr>
                    <w:t>染风</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single" w:color="auto"/>
                      <w:vertAlign w:val="baseline"/>
                      <w:lang w:val="en-US" w:eastAsia="zh-CN"/>
                    </w:rPr>
                  </w:pPr>
                  <w:r>
                    <w:rPr>
                      <w:rFonts w:hint="eastAsia" w:ascii="Times New Roman" w:hAnsi="Times New Roman" w:eastAsia="宋体" w:cs="Times New Roman"/>
                      <w:b w:val="0"/>
                      <w:bCs w:val="0"/>
                      <w:sz w:val="21"/>
                      <w:szCs w:val="21"/>
                      <w:highlight w:val="none"/>
                      <w:u w:val="single" w:color="auto"/>
                      <w:vertAlign w:val="baseline"/>
                      <w:lang w:val="en-US" w:eastAsia="zh-CN"/>
                    </w:rPr>
                    <w:t>险重</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single" w:color="auto"/>
                      <w:vertAlign w:val="baseline"/>
                      <w:lang w:val="en-US" w:eastAsia="zh-CN"/>
                    </w:rPr>
                  </w:pPr>
                  <w:r>
                    <w:rPr>
                      <w:rFonts w:hint="eastAsia" w:ascii="Times New Roman" w:hAnsi="Times New Roman" w:eastAsia="宋体" w:cs="Times New Roman"/>
                      <w:b w:val="0"/>
                      <w:bCs w:val="0"/>
                      <w:sz w:val="21"/>
                      <w:szCs w:val="21"/>
                      <w:highlight w:val="none"/>
                      <w:u w:val="single" w:color="auto"/>
                      <w:vertAlign w:val="baseline"/>
                      <w:lang w:val="en-US" w:eastAsia="zh-CN"/>
                    </w:rPr>
                    <w:t>点管</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single" w:color="auto"/>
                      <w:vertAlign w:val="baseline"/>
                      <w:lang w:val="en-US" w:eastAsia="zh-CN"/>
                    </w:rPr>
                  </w:pPr>
                  <w:r>
                    <w:rPr>
                      <w:rFonts w:hint="eastAsia" w:ascii="Times New Roman" w:hAnsi="Times New Roman" w:eastAsia="宋体" w:cs="Times New Roman"/>
                      <w:b w:val="0"/>
                      <w:bCs w:val="0"/>
                      <w:sz w:val="21"/>
                      <w:szCs w:val="21"/>
                      <w:highlight w:val="none"/>
                      <w:u w:val="single" w:color="auto"/>
                      <w:vertAlign w:val="baseline"/>
                      <w:lang w:val="en-US" w:eastAsia="zh-CN"/>
                    </w:rPr>
                    <w:t>控区</w:t>
                  </w:r>
                </w:p>
              </w:tc>
              <w:tc>
                <w:tcPr>
                  <w:tcW w:w="538" w:type="pct"/>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single" w:color="auto"/>
                      <w:vertAlign w:val="baseline"/>
                      <w:lang w:val="en-US" w:eastAsia="zh-CN"/>
                    </w:rPr>
                  </w:pPr>
                  <w:r>
                    <w:rPr>
                      <w:rFonts w:hint="default" w:ascii="Times New Roman" w:hAnsi="Times New Roman" w:eastAsia="宋体" w:cs="Times New Roman"/>
                      <w:b w:val="0"/>
                      <w:bCs w:val="0"/>
                      <w:sz w:val="21"/>
                      <w:szCs w:val="21"/>
                      <w:highlight w:val="none"/>
                      <w:u w:val="single" w:color="auto"/>
                      <w:vertAlign w:val="baseline"/>
                      <w:lang w:val="en-US" w:eastAsia="zh-CN"/>
                    </w:rPr>
                    <w:t>空间布局约束</w:t>
                  </w:r>
                </w:p>
              </w:tc>
              <w:tc>
                <w:tcPr>
                  <w:tcW w:w="2273" w:type="pct"/>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1.1</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）推进实施农用地分类管理，建立管理清单。加强农用地土壤污染源头管控和受污染地块安全利用，开展土壤治理与修复成效评估。</w:t>
                  </w:r>
                </w:p>
              </w:tc>
              <w:tc>
                <w:tcPr>
                  <w:tcW w:w="1209" w:type="pct"/>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本项目地块不属于受污染地块，用地类型转为工业用地</w:t>
                  </w:r>
                </w:p>
              </w:tc>
              <w:tc>
                <w:tcPr>
                  <w:tcW w:w="501" w:type="pct"/>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77" w:type="pct"/>
                  <w:vMerge w:val="continue"/>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single" w:color="auto"/>
                      <w:vertAlign w:val="baseline"/>
                      <w:lang w:val="en-US" w:eastAsia="zh-CN"/>
                    </w:rPr>
                  </w:pPr>
                </w:p>
              </w:tc>
              <w:tc>
                <w:tcPr>
                  <w:tcW w:w="538" w:type="pct"/>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u w:val="single" w:color="auto"/>
                      <w:vertAlign w:val="baseline"/>
                      <w:lang w:val="en-US" w:eastAsia="zh-CN"/>
                    </w:rPr>
                  </w:pPr>
                  <w:r>
                    <w:rPr>
                      <w:rFonts w:hint="default" w:ascii="Times New Roman" w:hAnsi="Times New Roman" w:eastAsia="宋体" w:cs="Times New Roman"/>
                      <w:b w:val="0"/>
                      <w:bCs w:val="0"/>
                      <w:sz w:val="21"/>
                      <w:szCs w:val="21"/>
                      <w:highlight w:val="none"/>
                      <w:u w:val="single" w:color="auto"/>
                      <w:vertAlign w:val="baseline"/>
                      <w:lang w:val="en-US" w:eastAsia="zh-CN"/>
                    </w:rPr>
                    <w:t>环境风险防控</w:t>
                  </w:r>
                </w:p>
              </w:tc>
              <w:tc>
                <w:tcPr>
                  <w:tcW w:w="2273" w:type="pct"/>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2.1</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）对优先保护类农用地实行优先保护和严格管理，确保其面积不减少、土壤环境质量不下降。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2.2</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）对安全利用类农用地，以治理为主，结构调整为辅，优先采取农艺调控、替代种植、轮作、间作等措施，实施生态修复，降低农产品超标风险。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2.3</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）对严格管控类农用地，实施种植结构调整、退耕还林还草等风险管控措施。</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2.4</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）全面排查整治涉镉等重金属关停企业及矿区历史遗留固体废物，形成整治清单。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2.5</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）全面监管农用地土壤中铅、镉、砷、汞等重金属和多环芳烃、石油烃、卤代烃等有机污染物。</w:t>
                  </w:r>
                </w:p>
              </w:tc>
              <w:tc>
                <w:tcPr>
                  <w:tcW w:w="1209" w:type="pct"/>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不涉及</w:t>
                  </w:r>
                </w:p>
              </w:tc>
              <w:tc>
                <w:tcPr>
                  <w:tcW w:w="501" w:type="pct"/>
                  <w:tcBorders>
                    <w:tl2br w:val="nil"/>
                    <w:tr2bl w:val="nil"/>
                  </w:tcBorders>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eastAsia" w:ascii="Times New Roman" w:hAnsi="Times New Roman" w:eastAsia="宋体" w:cs="Times New Roman"/>
                <w:b/>
                <w:bCs/>
                <w:sz w:val="21"/>
                <w:szCs w:val="21"/>
                <w:highlight w:val="none"/>
                <w:u w:val="single" w:color="auto"/>
                <w:lang w:val="en-US" w:eastAsia="zh-CN"/>
              </w:rPr>
            </w:pPr>
            <w:r>
              <w:rPr>
                <w:rFonts w:hint="eastAsia" w:ascii="Times New Roman" w:hAnsi="Times New Roman" w:eastAsia="宋体" w:cs="Times New Roman"/>
                <w:b/>
                <w:bCs/>
                <w:sz w:val="21"/>
                <w:szCs w:val="21"/>
                <w:highlight w:val="none"/>
                <w:u w:val="single" w:color="auto"/>
                <w:lang w:val="en-US" w:eastAsia="zh-CN"/>
              </w:rPr>
              <w:t>表</w:t>
            </w:r>
            <w:r>
              <w:rPr>
                <w:rFonts w:hint="eastAsia" w:cs="Times New Roman"/>
                <w:b/>
                <w:bCs/>
                <w:sz w:val="21"/>
                <w:szCs w:val="21"/>
                <w:highlight w:val="none"/>
                <w:u w:val="single" w:color="auto"/>
                <w:lang w:val="en-US" w:eastAsia="zh-CN"/>
              </w:rPr>
              <w:t>1-3</w:t>
            </w:r>
            <w:r>
              <w:rPr>
                <w:rFonts w:hint="eastAsia" w:ascii="Times New Roman" w:hAnsi="Times New Roman" w:eastAsia="宋体" w:cs="Times New Roman"/>
                <w:b/>
                <w:bCs/>
                <w:sz w:val="21"/>
                <w:szCs w:val="21"/>
                <w:highlight w:val="none"/>
                <w:u w:val="single" w:color="auto"/>
                <w:lang w:val="en-US" w:eastAsia="zh-CN"/>
              </w:rPr>
              <w:t xml:space="preserve"> </w:t>
            </w:r>
            <w:r>
              <w:rPr>
                <w:rFonts w:hint="eastAsia" w:ascii="Times New Roman" w:hAnsi="Times New Roman" w:cs="Times New Roman"/>
                <w:b/>
                <w:bCs/>
                <w:sz w:val="21"/>
                <w:szCs w:val="21"/>
                <w:highlight w:val="none"/>
                <w:u w:val="single" w:color="auto"/>
                <w:lang w:val="en-US" w:eastAsia="zh-CN"/>
              </w:rPr>
              <w:t>与岳阳市环境管控单元</w:t>
            </w:r>
            <w:r>
              <w:rPr>
                <w:rFonts w:hint="eastAsia" w:cs="Times New Roman"/>
                <w:b/>
                <w:bCs/>
                <w:sz w:val="21"/>
                <w:szCs w:val="21"/>
                <w:highlight w:val="none"/>
                <w:u w:val="single" w:color="auto"/>
                <w:lang w:val="en-US" w:eastAsia="zh-CN"/>
              </w:rPr>
              <w:t>－杨林寨乡</w:t>
            </w:r>
            <w:r>
              <w:rPr>
                <w:rFonts w:hint="eastAsia" w:ascii="Times New Roman" w:hAnsi="Times New Roman" w:eastAsia="宋体" w:cs="Times New Roman"/>
                <w:b/>
                <w:bCs/>
                <w:sz w:val="21"/>
                <w:szCs w:val="21"/>
                <w:highlight w:val="none"/>
                <w:u w:val="single" w:color="auto"/>
                <w:lang w:val="en-US" w:eastAsia="zh-CN"/>
              </w:rPr>
              <w:t>环境管控要求相符性分析</w:t>
            </w:r>
          </w:p>
          <w:tbl>
            <w:tblPr>
              <w:tblStyle w:val="24"/>
              <w:tblW w:w="4997"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3863"/>
              <w:gridCol w:w="1660"/>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bCs/>
                      <w:color w:val="auto"/>
                      <w:sz w:val="21"/>
                      <w:szCs w:val="21"/>
                      <w:highlight w:val="none"/>
                      <w:u w:val="single" w:color="auto"/>
                    </w:rPr>
                  </w:pPr>
                  <w:bookmarkStart w:id="8" w:name="OLE_LINK613" w:colFirst="2" w:colLast="3"/>
                  <w:r>
                    <w:rPr>
                      <w:rFonts w:hint="default" w:ascii="Times New Roman" w:hAnsi="Times New Roman" w:eastAsia="宋体" w:cs="Times New Roman"/>
                      <w:b/>
                      <w:bCs/>
                      <w:color w:val="auto"/>
                      <w:sz w:val="21"/>
                      <w:szCs w:val="21"/>
                      <w:highlight w:val="none"/>
                      <w:u w:val="single" w:color="auto"/>
                    </w:rPr>
                    <w:t>管控</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bCs/>
                      <w:color w:val="auto"/>
                      <w:sz w:val="21"/>
                      <w:szCs w:val="21"/>
                      <w:highlight w:val="none"/>
                      <w:u w:val="single" w:color="auto"/>
                    </w:rPr>
                  </w:pPr>
                  <w:r>
                    <w:rPr>
                      <w:rFonts w:hint="default" w:ascii="Times New Roman" w:hAnsi="Times New Roman" w:eastAsia="宋体" w:cs="Times New Roman"/>
                      <w:b/>
                      <w:bCs/>
                      <w:color w:val="auto"/>
                      <w:sz w:val="21"/>
                      <w:szCs w:val="21"/>
                      <w:highlight w:val="none"/>
                      <w:u w:val="single" w:color="auto"/>
                    </w:rPr>
                    <w:t>维度</w:t>
                  </w:r>
                </w:p>
              </w:tc>
              <w:tc>
                <w:tcPr>
                  <w:tcW w:w="28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color="auto"/>
                    </w:rPr>
                  </w:pPr>
                  <w:r>
                    <w:rPr>
                      <w:rFonts w:hint="default" w:ascii="Times New Roman" w:hAnsi="Times New Roman" w:eastAsia="宋体" w:cs="Times New Roman"/>
                      <w:b/>
                      <w:bCs/>
                      <w:color w:val="auto"/>
                      <w:sz w:val="21"/>
                      <w:szCs w:val="21"/>
                      <w:highlight w:val="none"/>
                      <w:u w:val="single" w:color="auto"/>
                    </w:rPr>
                    <w:t>管控要求</w:t>
                  </w:r>
                </w:p>
              </w:tc>
              <w:tc>
                <w:tcPr>
                  <w:tcW w:w="12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color="auto"/>
                    </w:rPr>
                  </w:pPr>
                  <w:r>
                    <w:rPr>
                      <w:rFonts w:hint="default" w:ascii="Times New Roman" w:hAnsi="Times New Roman" w:eastAsia="宋体" w:cs="Times New Roman"/>
                      <w:b/>
                      <w:bCs/>
                      <w:color w:val="auto"/>
                      <w:sz w:val="21"/>
                      <w:szCs w:val="21"/>
                      <w:highlight w:val="none"/>
                      <w:u w:val="single" w:color="auto"/>
                    </w:rPr>
                    <w:t>本项目情况</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bCs/>
                      <w:color w:val="auto"/>
                      <w:sz w:val="21"/>
                      <w:szCs w:val="21"/>
                      <w:highlight w:val="none"/>
                      <w:u w:val="single" w:color="auto"/>
                    </w:rPr>
                  </w:pPr>
                  <w:r>
                    <w:rPr>
                      <w:rFonts w:hint="default" w:ascii="Times New Roman" w:hAnsi="Times New Roman" w:eastAsia="宋体" w:cs="Times New Roman"/>
                      <w:b/>
                      <w:bCs/>
                      <w:color w:val="auto"/>
                      <w:sz w:val="21"/>
                      <w:szCs w:val="21"/>
                      <w:highlight w:val="none"/>
                      <w:u w:val="single" w:color="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空间布局约束</w:t>
                  </w:r>
                </w:p>
              </w:tc>
              <w:tc>
                <w:tcPr>
                  <w:tcW w:w="2820"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1.1</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）严格执行畜禽禁养区、适养区的管理规定，落实</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三区</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管控政策，严格控制区域畜禽养殖种类、总量，加强禁养区日常监管。</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1.2</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）积极推广水产生态健康养殖模式。实施池塘标准化改造，推进养殖尾水稳定达标排放和节水减排。</w:t>
                  </w:r>
                </w:p>
              </w:tc>
              <w:tc>
                <w:tcPr>
                  <w:tcW w:w="1212"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不涉及；</w:t>
                  </w:r>
                </w:p>
              </w:tc>
              <w:tc>
                <w:tcPr>
                  <w:tcW w:w="483"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p>
              </w:tc>
            </w:tr>
            <w:bookmarkEnd w:id="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污染物排放管控</w:t>
                  </w:r>
                </w:p>
              </w:tc>
              <w:tc>
                <w:tcPr>
                  <w:tcW w:w="2820"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2.1</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）废气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2.1.1</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）持续开展建筑工地扬尘污染专项整治，确保建筑工地严格落实</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六个百分百</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扬尘防治要求；加密城市道路清洗频次，城郊结合部裸露地面要全硬化、全绿化；渣土运输车严禁带泥上路。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2.1.2</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）对全县餐饮服务单位油烟处理设施安装、定期清洗净化情况进行全面排查整治；坚决禁止</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露天烧烤、移动烧烤</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2.1.3</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）开展汽修行业 </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VOCs </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治理专项行动，实施汽修集中喷涂作业；全县城区范围内加油站禁止在 </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8 </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时</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-17 </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时期间装（卸）油品。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2.1.4</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）加强机动车和非道路移动机械环保达标监管，加强对机动车尾气排放检验检测机构的执法监督检查工作。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2.2</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）废水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2.2.1</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）按照</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一河（湖）一策</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的要求，综合采取截污、治污、清淤、修复等措施，深入推进洞庭湖等重点河湖的系统治理。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2.2.2</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）扎实推进各项污染治理工程，推进长江内河主要港口船舶污染物接收转运处置。深化长江</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三磷排查整治，认真实施</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十年禁渔</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2.2.3</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）继续实施洞庭湖污染整治等重点工程项目，推动湖体总磷浓度持续下降。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2.2.4</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）统筹好上下游左右岸、干支流、城市和乡村，系统推进城市黑臭水体治理。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2.3</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）固体废物：以县域为单元统筹推进农村生活垃圾分类收集，加快推进农村生活垃圾源头分类减量，减少垃圾出村量。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2.4</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畜禽养殖：鼓励规模养殖场流转承包周边农田、林地进行畜禽粪污就近还田利用；建立粪污资源化利用计划编制和台账建设，确定粪肥还田利用计划，根据养殖规模明确配套农田面积、农田类型、种植制度、使用时间及使用量等，建立粪污处理和粪肥利用台账，台账应当载明畜禽养殖畜种、规模以及养殖废弃物产生数量、处理方式等。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2.5</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）农业面源：深入推进化肥农药减量增效，依法落实化肥使用总量控制。推进科学用药，提高农药利用率。统筹推进农膜秸秆回收利用。</w:t>
                  </w:r>
                </w:p>
              </w:tc>
              <w:tc>
                <w:tcPr>
                  <w:tcW w:w="1212"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2.1废气</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2.1.1</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本项目施工过程严格按照绿色施工要求建设，做到</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六个 </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100%”</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2.1.2不涉及；</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2.1.3不涉及；</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2.1.4不涉及；</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2.2废水</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2.2.1不涉及；</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2.2.2不涉及；</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2.2.3不涉及；</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2.2.4不涉及；</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2.3本项目生活垃圾、工业固体废物做到分类存放、分别收集处置。</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2.4不涉及；</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2.5项目菌菇种植基地采取科学管理合理施肥依法落实化肥使用总量控制。</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环境风险防控</w:t>
                  </w:r>
                </w:p>
              </w:tc>
              <w:tc>
                <w:tcPr>
                  <w:tcW w:w="2820"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3.1</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对重点领域、重点行业、重点区域全面开展生态环境风险隐患排查，分类建立环境风险隐患清单。制定风险隐息问题整改措施，实行台账管理，加强动态评估和预警预报，严格实施分级管控，全面降低环境风险，消除环境安全隐患。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3.2</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）加强土壤污染源头防控，持续推进受污染耕地安全利用，严格管控耕地土壤环境风险，提升农产品质量安全保障水平。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3.3</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）推进农用地土壤污染防治和安全利用。配合省生态环境厅开展受污染耕地土壤重金属成因排查试点，督促开展污染源头风险管控。</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3.4</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）有效管控建设用地土壤污染风险。配合省、市开展重点行业企业用地调查和典型行业周边土壤环境调查。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3.5</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）强化在产企业土壤和地人水污染源头管控，启动地下水污染防治重点区划定工作。加强地下水环境监测监管能力建设，推进地下水污染预防、风险管控与修复试点，加强地下水型饮用水水源安全保障工作。</w:t>
                  </w:r>
                </w:p>
              </w:tc>
              <w:tc>
                <w:tcPr>
                  <w:tcW w:w="1212"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3.1不涉及</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3.2本项目严格控制工业废气和废水的排放，严格监管农药和化肥的使用，从源头减少土壤污染，对厂区进行分区防控。</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3.3不涉及；</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3.4不涉及；</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3.5本项目为新建项目，无原有环境污染问题。</w:t>
                  </w:r>
                </w:p>
              </w:tc>
              <w:tc>
                <w:tcPr>
                  <w:tcW w:w="483"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资源开发效率要求</w:t>
                  </w:r>
                </w:p>
              </w:tc>
              <w:tc>
                <w:tcPr>
                  <w:tcW w:w="2820"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4.1</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）水资源：</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2025 </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年，湘阴县用水总量控制在 </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3.455 </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亿立方米，万元地区生产总值用水量比</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2020</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年下降</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21.26%</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，万元工业增加值用水量比</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2020</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年下降</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21.55%</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，农田灌溉水有效利用系数为</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0.565</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4.2</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）能源：湘阴县</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十四五</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能耗强度降低基本目标 </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16%</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，激励目标 </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16.5%</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。推动煤炭清洁高效利用，严格控制主要用煤行业煤炭消费；全面推动天然气消费应用，引导居民高效用气。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4.3</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）土地资源： </w:t>
                  </w:r>
                </w:p>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杨林寨乡：到</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2035</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年，耕地保有量不低于</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2005.73</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公顷，永久基本农田保护面积不低于</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1859.69</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公顷，生态保护红线面积不低于</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38.43</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公顷；城镇开发边界规模控制在 </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0.12 </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公顷以内，村庄建设用地控制在 </w:t>
                  </w: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 xml:space="preserve">335.92 </w:t>
                  </w: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公顷以内。</w:t>
                  </w:r>
                </w:p>
              </w:tc>
              <w:tc>
                <w:tcPr>
                  <w:tcW w:w="1212"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项目能耗类型为电能、水等，整体规模耗能量不大，水源采用自来水，电源采用当地用电网络；项目用地为二类工业用地，不占用基本农田不会导致基本农田保护面积下降</w:t>
                  </w:r>
                </w:p>
              </w:tc>
              <w:tc>
                <w:tcPr>
                  <w:tcW w:w="483"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snapToGrid w:val="0"/>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single" w:color="auto"/>
                      <w:vertAlign w:val="baseline"/>
                      <w:lang w:val="en-US" w:eastAsia="zh-CN"/>
                      <w14:textFill>
                        <w14:solidFill>
                          <w14:schemeClr w14:val="tx1"/>
                        </w14:solidFill>
                      </w14:textFill>
                    </w:rPr>
                    <w:t>符合</w:t>
                  </w:r>
                </w:p>
              </w:tc>
            </w:tr>
          </w:tbl>
          <w:p>
            <w:pPr>
              <w:adjustRightInd w:val="0"/>
              <w:snapToGrid w:val="0"/>
              <w:spacing w:line="360" w:lineRule="auto"/>
              <w:ind w:firstLine="480" w:firstLineChars="200"/>
              <w:rPr>
                <w:rFonts w:hint="default" w:ascii="Times New Roman" w:hAnsi="Times New Roman" w:eastAsia="宋体" w:cs="Times New Roman"/>
                <w:color w:val="auto"/>
                <w:sz w:val="24"/>
                <w:highlight w:val="none"/>
                <w:u w:val="single" w:color="auto"/>
                <w:lang w:val="en-US" w:eastAsia="zh-CN"/>
              </w:rPr>
            </w:pPr>
            <w:r>
              <w:rPr>
                <w:rFonts w:hint="eastAsia" w:ascii="Times New Roman" w:hAnsi="Times New Roman" w:eastAsia="宋体" w:cs="Times New Roman"/>
                <w:color w:val="auto"/>
                <w:sz w:val="24"/>
                <w:highlight w:val="none"/>
                <w:u w:val="single" w:color="auto"/>
                <w:lang w:val="en-US" w:eastAsia="zh-CN"/>
              </w:rPr>
              <w:t>综上，本项目建设符合</w:t>
            </w:r>
            <w:r>
              <w:rPr>
                <w:rFonts w:hint="default" w:ascii="Times New Roman" w:hAnsi="Times New Roman" w:eastAsia="宋体" w:cs="Times New Roman"/>
                <w:sz w:val="24"/>
                <w:szCs w:val="24"/>
                <w:highlight w:val="none"/>
                <w:u w:val="single" w:color="auto"/>
                <w:lang w:val="en-US" w:eastAsia="zh-CN"/>
              </w:rPr>
              <w:t>《岳阳市生态环境分区管控动态更新成果（2023年版）</w:t>
            </w:r>
            <w:r>
              <w:rPr>
                <w:rFonts w:hint="eastAsia" w:cs="Times New Roman"/>
                <w:sz w:val="24"/>
                <w:szCs w:val="24"/>
                <w:highlight w:val="none"/>
                <w:u w:val="single" w:color="auto"/>
                <w:lang w:val="en-US" w:eastAsia="zh-CN"/>
              </w:rPr>
              <w:t>》</w:t>
            </w:r>
            <w:r>
              <w:rPr>
                <w:rFonts w:hint="eastAsia" w:ascii="Times New Roman" w:hAnsi="Times New Roman" w:eastAsia="宋体" w:cs="Times New Roman"/>
                <w:color w:val="auto"/>
                <w:sz w:val="24"/>
                <w:highlight w:val="none"/>
                <w:u w:val="single" w:color="auto"/>
                <w:lang w:val="en-US" w:eastAsia="zh-CN"/>
              </w:rPr>
              <w:t>中相关要求。</w:t>
            </w:r>
          </w:p>
          <w:p>
            <w:pPr>
              <w:ind w:firstLine="480"/>
              <w:rPr>
                <w:u w:val="single" w:color="auto"/>
              </w:rPr>
            </w:pPr>
            <w:r>
              <w:rPr>
                <w:rFonts w:hint="eastAsia" w:ascii="Times New Roman" w:hAnsi="Times New Roman" w:eastAsia="宋体" w:cs="Times New Roman"/>
                <w:b/>
                <w:bCs/>
                <w:color w:val="auto"/>
                <w:kern w:val="0"/>
                <w:sz w:val="24"/>
                <w:szCs w:val="24"/>
                <w:highlight w:val="none"/>
                <w:u w:val="single" w:color="auto"/>
                <w:lang w:val="en-US" w:eastAsia="zh-CN"/>
              </w:rPr>
              <w:t>综上所述，本项目的建设符合“三线一单”相关要求。</w:t>
            </w:r>
          </w:p>
          <w:p>
            <w:pPr>
              <w:keepNext w:val="0"/>
              <w:keepLines w:val="0"/>
              <w:widowControl/>
              <w:suppressLineNumbers w:val="0"/>
              <w:jc w:val="left"/>
            </w:pPr>
            <w:r>
              <w:rPr>
                <w:b/>
                <w:bCs/>
                <w:u w:val="none"/>
              </w:rPr>
              <w:t>4</w:t>
            </w:r>
            <w:r>
              <w:rPr>
                <w:rFonts w:hint="eastAsia"/>
                <w:b/>
                <w:bCs/>
                <w:u w:val="none"/>
              </w:rPr>
              <w:t>、</w:t>
            </w:r>
            <w:r>
              <w:rPr>
                <w:rFonts w:hint="eastAsia" w:ascii="宋体" w:hAnsi="宋体" w:eastAsia="宋体" w:cs="宋体"/>
                <w:b/>
                <w:bCs/>
                <w:color w:val="000000"/>
                <w:kern w:val="0"/>
                <w:sz w:val="24"/>
                <w:szCs w:val="24"/>
                <w:lang w:val="en-US" w:eastAsia="zh-CN" w:bidi="ar"/>
              </w:rPr>
              <w:t>与《湖南省</w:t>
            </w:r>
            <w:r>
              <w:rPr>
                <w:rFonts w:hint="default" w:ascii="Times New Roman" w:hAnsi="Times New Roman" w:eastAsia="宋体" w:cs="Times New Roman"/>
                <w:b/>
                <w:bCs/>
                <w:color w:val="000000"/>
                <w:kern w:val="0"/>
                <w:sz w:val="24"/>
                <w:szCs w:val="24"/>
                <w:lang w:val="en-US" w:eastAsia="zh-CN" w:bidi="ar"/>
              </w:rPr>
              <w:t>“</w:t>
            </w:r>
            <w:r>
              <w:rPr>
                <w:rFonts w:hint="eastAsia" w:ascii="宋体" w:hAnsi="宋体" w:eastAsia="宋体" w:cs="宋体"/>
                <w:b/>
                <w:bCs/>
                <w:color w:val="000000"/>
                <w:kern w:val="0"/>
                <w:sz w:val="24"/>
                <w:szCs w:val="24"/>
                <w:lang w:val="en-US" w:eastAsia="zh-CN" w:bidi="ar"/>
              </w:rPr>
              <w:t>两高</w:t>
            </w:r>
            <w:r>
              <w:rPr>
                <w:rFonts w:hint="default" w:ascii="Times New Roman" w:hAnsi="Times New Roman" w:eastAsia="宋体" w:cs="Times New Roman"/>
                <w:b/>
                <w:bCs/>
                <w:color w:val="000000"/>
                <w:kern w:val="0"/>
                <w:sz w:val="24"/>
                <w:szCs w:val="24"/>
                <w:lang w:val="en-US" w:eastAsia="zh-CN" w:bidi="ar"/>
              </w:rPr>
              <w:t>”</w:t>
            </w:r>
            <w:r>
              <w:rPr>
                <w:rFonts w:hint="eastAsia" w:ascii="宋体" w:hAnsi="宋体" w:eastAsia="宋体" w:cs="宋体"/>
                <w:b/>
                <w:bCs/>
                <w:color w:val="000000"/>
                <w:kern w:val="0"/>
                <w:sz w:val="24"/>
                <w:szCs w:val="24"/>
                <w:lang w:val="en-US" w:eastAsia="zh-CN" w:bidi="ar"/>
              </w:rPr>
              <w:t xml:space="preserve">项目管理目录》符合性分析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《湖南省</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两高</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项目管理目录》中说明，涉煤及煤制品、石油焦、渣油、重油等高污染燃料使用工业炉窑、锅炉的项目属于高耗能高排放类项目，</w:t>
            </w:r>
            <w:r>
              <w:rPr>
                <w:rFonts w:hint="eastAsia" w:ascii="宋体" w:hAnsi="宋体" w:eastAsia="宋体" w:cs="宋体"/>
                <w:color w:val="auto"/>
                <w:kern w:val="0"/>
                <w:sz w:val="24"/>
                <w:szCs w:val="24"/>
                <w:u w:val="none"/>
                <w:lang w:val="en-US" w:eastAsia="zh-CN" w:bidi="ar"/>
              </w:rPr>
              <w:t>本项目</w:t>
            </w:r>
            <w:r>
              <w:rPr>
                <w:rFonts w:hint="eastAsia" w:ascii="宋体" w:hAnsi="宋体" w:cs="宋体"/>
                <w:color w:val="auto"/>
                <w:kern w:val="0"/>
                <w:sz w:val="24"/>
                <w:szCs w:val="24"/>
                <w:u w:val="none"/>
                <w:lang w:val="en-US" w:eastAsia="zh-CN" w:bidi="ar"/>
              </w:rPr>
              <w:t>拟采用的</w:t>
            </w:r>
            <w:r>
              <w:rPr>
                <w:rFonts w:hint="eastAsia" w:ascii="宋体" w:hAnsi="宋体" w:eastAsia="宋体" w:cs="宋体"/>
                <w:color w:val="auto"/>
                <w:kern w:val="0"/>
                <w:sz w:val="24"/>
                <w:szCs w:val="24"/>
                <w:u w:val="none"/>
                <w:lang w:val="en-US" w:eastAsia="zh-CN" w:bidi="ar"/>
              </w:rPr>
              <w:t>生物质锅炉为</w:t>
            </w:r>
            <w:r>
              <w:rPr>
                <w:rFonts w:hint="eastAsia" w:ascii="宋体" w:hAnsi="宋体" w:cs="宋体"/>
                <w:color w:val="auto"/>
                <w:kern w:val="0"/>
                <w:sz w:val="24"/>
                <w:szCs w:val="24"/>
                <w:u w:val="none"/>
                <w:lang w:val="en-US" w:eastAsia="zh-CN" w:bidi="ar"/>
              </w:rPr>
              <w:t>6t/h</w:t>
            </w:r>
            <w:r>
              <w:rPr>
                <w:rFonts w:hint="eastAsia" w:ascii="宋体" w:hAnsi="宋体" w:eastAsia="宋体" w:cs="宋体"/>
                <w:color w:val="auto"/>
                <w:kern w:val="0"/>
                <w:sz w:val="24"/>
                <w:szCs w:val="24"/>
                <w:u w:val="none"/>
                <w:lang w:val="en-US" w:eastAsia="zh-CN" w:bidi="ar"/>
              </w:rPr>
              <w:t>卧式</w:t>
            </w:r>
            <w:r>
              <w:rPr>
                <w:rFonts w:hint="eastAsia" w:ascii="宋体" w:hAnsi="宋体" w:cs="宋体"/>
                <w:color w:val="auto"/>
                <w:kern w:val="0"/>
                <w:sz w:val="24"/>
                <w:szCs w:val="24"/>
                <w:u w:val="none"/>
                <w:lang w:val="en-US" w:eastAsia="zh-CN" w:bidi="ar"/>
              </w:rPr>
              <w:t>层</w:t>
            </w:r>
            <w:r>
              <w:rPr>
                <w:rFonts w:hint="eastAsia" w:ascii="宋体" w:hAnsi="宋体" w:eastAsia="宋体" w:cs="宋体"/>
                <w:color w:val="auto"/>
                <w:kern w:val="0"/>
                <w:sz w:val="24"/>
                <w:szCs w:val="24"/>
                <w:u w:val="none"/>
                <w:lang w:val="en-US" w:eastAsia="zh-CN" w:bidi="ar"/>
              </w:rPr>
              <w:t>燃</w:t>
            </w:r>
            <w:r>
              <w:rPr>
                <w:rFonts w:hint="eastAsia" w:ascii="宋体" w:hAnsi="宋体" w:cs="宋体"/>
                <w:color w:val="auto"/>
                <w:kern w:val="0"/>
                <w:sz w:val="24"/>
                <w:szCs w:val="24"/>
                <w:u w:val="none"/>
                <w:lang w:val="en-US" w:eastAsia="zh-CN" w:bidi="ar"/>
              </w:rPr>
              <w:t>式</w:t>
            </w:r>
            <w:r>
              <w:rPr>
                <w:rFonts w:hint="eastAsia" w:ascii="宋体" w:hAnsi="宋体" w:eastAsia="宋体" w:cs="宋体"/>
                <w:color w:val="auto"/>
                <w:kern w:val="0"/>
                <w:sz w:val="24"/>
                <w:szCs w:val="24"/>
                <w:u w:val="none"/>
                <w:lang w:val="en-US" w:eastAsia="zh-CN" w:bidi="ar"/>
              </w:rPr>
              <w:t>生物质蒸汽锅炉</w:t>
            </w:r>
            <w:r>
              <w:rPr>
                <w:rFonts w:hint="eastAsia" w:ascii="宋体" w:hAnsi="宋体" w:cs="宋体"/>
                <w:color w:val="auto"/>
                <w:kern w:val="0"/>
                <w:sz w:val="24"/>
                <w:szCs w:val="24"/>
                <w:u w:val="none"/>
                <w:lang w:val="en-US" w:eastAsia="zh-CN" w:bidi="ar"/>
              </w:rPr>
              <w:t>，型号为 SZL6-1.25-S</w:t>
            </w:r>
            <w:r>
              <w:rPr>
                <w:rFonts w:hint="eastAsia" w:ascii="宋体" w:hAnsi="宋体" w:eastAsia="宋体" w:cs="宋体"/>
                <w:color w:val="000000"/>
                <w:kern w:val="0"/>
                <w:sz w:val="24"/>
                <w:szCs w:val="24"/>
                <w:lang w:val="en-US" w:eastAsia="zh-CN" w:bidi="ar"/>
              </w:rPr>
              <w:t>，不属于上述提到项目，因此不在《湖南省</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两高</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项目管理目录》中，符合相关要求。</w:t>
            </w:r>
          </w:p>
          <w:p>
            <w:pPr>
              <w:keepNext w:val="0"/>
              <w:keepLines w:val="0"/>
              <w:widowControl/>
              <w:suppressLineNumbers w:val="0"/>
              <w:jc w:val="left"/>
            </w:pPr>
            <w:r>
              <w:rPr>
                <w:rFonts w:hint="eastAsia"/>
                <w:b/>
                <w:bCs/>
                <w:u w:val="none"/>
                <w:lang w:val="en-US" w:eastAsia="zh-CN"/>
              </w:rPr>
              <w:t>5、</w:t>
            </w:r>
            <w:r>
              <w:rPr>
                <w:rFonts w:hint="eastAsia" w:ascii="宋体" w:hAnsi="宋体" w:eastAsia="宋体" w:cs="宋体"/>
                <w:b/>
                <w:bCs/>
                <w:color w:val="000000"/>
                <w:kern w:val="0"/>
                <w:sz w:val="24"/>
                <w:szCs w:val="24"/>
                <w:lang w:val="en-US" w:eastAsia="zh-CN" w:bidi="ar"/>
              </w:rPr>
              <w:t>与</w:t>
            </w:r>
            <w:r>
              <w:rPr>
                <w:rFonts w:hint="default" w:ascii="Times New Roman" w:hAnsi="Times New Roman" w:eastAsia="宋体" w:cs="Times New Roman"/>
                <w:b/>
                <w:bCs/>
                <w:color w:val="000000"/>
                <w:kern w:val="0"/>
                <w:sz w:val="24"/>
                <w:szCs w:val="24"/>
                <w:lang w:val="en-US" w:eastAsia="zh-CN" w:bidi="ar"/>
              </w:rPr>
              <w:t>“</w:t>
            </w:r>
            <w:r>
              <w:rPr>
                <w:rFonts w:hint="eastAsia" w:ascii="宋体" w:hAnsi="宋体" w:eastAsia="宋体" w:cs="宋体"/>
                <w:b/>
                <w:bCs/>
                <w:color w:val="000000"/>
                <w:kern w:val="0"/>
                <w:sz w:val="24"/>
                <w:szCs w:val="24"/>
                <w:lang w:val="en-US" w:eastAsia="zh-CN" w:bidi="ar"/>
              </w:rPr>
              <w:t>湘阴县人民政府办公室关于印发《湘阴县高污染燃料禁燃区划定工作方案》的通知</w:t>
            </w:r>
            <w:r>
              <w:rPr>
                <w:rFonts w:hint="default" w:ascii="Times New Roman" w:hAnsi="Times New Roman" w:eastAsia="宋体" w:cs="Times New Roman"/>
                <w:b/>
                <w:bCs/>
                <w:color w:val="000000"/>
                <w:kern w:val="0"/>
                <w:sz w:val="24"/>
                <w:szCs w:val="24"/>
                <w:lang w:val="en-US" w:eastAsia="zh-CN" w:bidi="ar"/>
              </w:rPr>
              <w:t>”</w:t>
            </w:r>
            <w:r>
              <w:rPr>
                <w:rFonts w:hint="eastAsia" w:ascii="宋体" w:hAnsi="宋体" w:eastAsia="宋体" w:cs="宋体"/>
                <w:b/>
                <w:bCs/>
                <w:color w:val="000000"/>
                <w:kern w:val="0"/>
                <w:sz w:val="24"/>
                <w:szCs w:val="24"/>
                <w:lang w:val="en-US" w:eastAsia="zh-CN" w:bidi="ar"/>
              </w:rPr>
              <w:t xml:space="preserve">符合性分析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《湘阴县高污染燃料禁燃区划定工作方案》中，对燃料组合的管控要求及符合情况分析如下：</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8"/>
              <w:gridCol w:w="1769"/>
              <w:gridCol w:w="1575"/>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管控要求</w:t>
                  </w:r>
                </w:p>
              </w:tc>
              <w:tc>
                <w:tcPr>
                  <w:tcW w:w="129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禁燃区范围</w:t>
                  </w:r>
                </w:p>
              </w:tc>
              <w:tc>
                <w:tcPr>
                  <w:tcW w:w="11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本项目情况</w:t>
                  </w:r>
                </w:p>
              </w:tc>
              <w:tc>
                <w:tcPr>
                  <w:tcW w:w="64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Ⅰ类：单台出力小于20蒸吨/小时的锅炉和民用燃煤设备燃用的含硫量大于0.5%、灰分大于10%的煤炭及其制品；石油焦、油页岩、原油、重油、渣油、煤焦油。</w:t>
                  </w:r>
                </w:p>
              </w:tc>
              <w:tc>
                <w:tcPr>
                  <w:tcW w:w="1291"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（一）县城市建成区；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（二）湖南湘阴高新技术产业园区。</w:t>
                  </w:r>
                </w:p>
              </w:tc>
              <w:tc>
                <w:tcPr>
                  <w:tcW w:w="1149"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本项目位于湘阴县杨林寨乡太和围村</w:t>
                  </w:r>
                  <w:r>
                    <w:rPr>
                      <w:rFonts w:hint="eastAsia" w:cs="Times New Roman"/>
                      <w:color w:val="auto"/>
                      <w:sz w:val="21"/>
                      <w:szCs w:val="21"/>
                      <w:highlight w:val="none"/>
                      <w:u w:val="none" w:color="auto"/>
                      <w:lang w:val="en-US" w:eastAsia="zh-CN"/>
                    </w:rPr>
                    <w:t>，不位于城市建成区内，其次本项目采用配置多管+布袋除尘设施的1台6t/h卧式层燃式生物质蒸汽锅炉，型号为SZL6-1.25-S</w:t>
                  </w:r>
                </w:p>
              </w:tc>
              <w:tc>
                <w:tcPr>
                  <w:tcW w:w="647"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Ⅱ类：除单台出力大于等于20蒸吨/小时锅炉以外燃用的煤炭及其制品；石油焦、油页岩、原油、重油、渣油、煤焦油。</w:t>
                  </w:r>
                </w:p>
              </w:tc>
              <w:tc>
                <w:tcPr>
                  <w:tcW w:w="129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14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64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Ⅲ类：煤炭及其制品；石油焦、油页岩、原油、重油、渣油、煤焦油；非专用锅炉或未配置高效除尘设施的专用锅炉燃用的生物质成型燃料。</w:t>
                  </w:r>
                </w:p>
              </w:tc>
              <w:tc>
                <w:tcPr>
                  <w:tcW w:w="129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14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64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r>
          </w:tbl>
          <w:p>
            <w:pPr>
              <w:keepNext w:val="0"/>
              <w:keepLines w:val="0"/>
              <w:pageBreakBefore w:val="0"/>
              <w:widowControl/>
              <w:suppressLineNumbers w:val="0"/>
              <w:kinsoku/>
              <w:wordWrap/>
              <w:overflowPunct/>
              <w:topLinePunct w:val="0"/>
              <w:bidi w:val="0"/>
              <w:snapToGrid/>
              <w:spacing w:line="360" w:lineRule="auto"/>
              <w:ind w:firstLine="482" w:firstLineChars="200"/>
              <w:jc w:val="left"/>
              <w:textAlignment w:val="auto"/>
            </w:pPr>
            <w:r>
              <w:rPr>
                <w:rFonts w:hint="eastAsia"/>
                <w:b/>
                <w:bCs/>
                <w:u w:val="none"/>
                <w:lang w:val="en-US" w:eastAsia="zh-CN"/>
              </w:rPr>
              <w:t>6、</w:t>
            </w:r>
            <w:r>
              <w:rPr>
                <w:rFonts w:hint="eastAsia" w:ascii="宋体" w:hAnsi="宋体" w:eastAsia="宋体" w:cs="宋体"/>
                <w:b/>
                <w:bCs/>
                <w:color w:val="000000"/>
                <w:kern w:val="0"/>
                <w:sz w:val="24"/>
                <w:szCs w:val="24"/>
                <w:lang w:val="en-US" w:eastAsia="zh-CN" w:bidi="ar"/>
              </w:rPr>
              <w:t>本项目与《长株潭及传输通道城市环境空气质量达标攻坚行动计划》（湘政办发</w:t>
            </w:r>
            <w:r>
              <w:rPr>
                <w:rFonts w:hint="default" w:ascii="Times New Roman" w:hAnsi="Times New Roman" w:eastAsia="宋体" w:cs="Times New Roman"/>
                <w:b/>
                <w:bCs/>
                <w:color w:val="000000"/>
                <w:kern w:val="0"/>
                <w:sz w:val="24"/>
                <w:szCs w:val="24"/>
                <w:lang w:val="en-US" w:eastAsia="zh-CN" w:bidi="ar"/>
              </w:rPr>
              <w:t xml:space="preserve">[2023]3 </w:t>
            </w:r>
            <w:r>
              <w:rPr>
                <w:rFonts w:hint="eastAsia" w:ascii="宋体" w:hAnsi="宋体" w:eastAsia="宋体" w:cs="宋体"/>
                <w:b/>
                <w:bCs/>
                <w:color w:val="000000"/>
                <w:kern w:val="0"/>
                <w:sz w:val="24"/>
                <w:szCs w:val="24"/>
                <w:lang w:val="en-US" w:eastAsia="zh-CN" w:bidi="ar"/>
              </w:rPr>
              <w:t xml:space="preserve">号）相符性分析 </w:t>
            </w:r>
          </w:p>
          <w:p>
            <w:pPr>
              <w:keepNext w:val="0"/>
              <w:keepLines w:val="0"/>
              <w:pageBreakBefore w:val="0"/>
              <w:widowControl/>
              <w:suppressLineNumbers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《长株潭及传输通道城市环境空气质量达标攻坚行动计划》中要求</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推进锅炉和工业炉窑提标改造，督促不能稳定达标的企业开展整改。</w:t>
            </w:r>
            <w:r>
              <w:rPr>
                <w:rFonts w:hint="default" w:ascii="Times New Roman" w:hAnsi="Times New Roman" w:eastAsia="宋体" w:cs="Times New Roman"/>
                <w:color w:val="000000"/>
                <w:kern w:val="0"/>
                <w:sz w:val="24"/>
                <w:szCs w:val="24"/>
                <w:lang w:val="en-US" w:eastAsia="zh-CN" w:bidi="ar"/>
              </w:rPr>
              <w:t xml:space="preserve">2023 </w:t>
            </w:r>
            <w:r>
              <w:rPr>
                <w:rFonts w:hint="eastAsia" w:ascii="宋体" w:hAnsi="宋体" w:eastAsia="宋体" w:cs="宋体"/>
                <w:color w:val="000000"/>
                <w:kern w:val="0"/>
                <w:sz w:val="24"/>
                <w:szCs w:val="24"/>
                <w:lang w:val="en-US" w:eastAsia="zh-CN" w:bidi="ar"/>
              </w:rPr>
              <w:t xml:space="preserve">年底前，湖南钢铁集团湘潭钢铁集团有限公司完成超低排放改造。水泥行业 </w:t>
            </w:r>
            <w:r>
              <w:rPr>
                <w:rFonts w:hint="default" w:ascii="Times New Roman" w:hAnsi="Times New Roman" w:eastAsia="宋体" w:cs="Times New Roman"/>
                <w:color w:val="000000"/>
                <w:kern w:val="0"/>
                <w:sz w:val="24"/>
                <w:szCs w:val="24"/>
                <w:lang w:val="en-US" w:eastAsia="zh-CN" w:bidi="ar"/>
              </w:rPr>
              <w:t xml:space="preserve">2023 </w:t>
            </w:r>
            <w:r>
              <w:rPr>
                <w:rFonts w:hint="eastAsia" w:ascii="宋体" w:hAnsi="宋体" w:eastAsia="宋体" w:cs="宋体"/>
                <w:color w:val="000000"/>
                <w:kern w:val="0"/>
                <w:sz w:val="24"/>
                <w:szCs w:val="24"/>
                <w:lang w:val="en-US" w:eastAsia="zh-CN" w:bidi="ar"/>
              </w:rPr>
              <w:t xml:space="preserve">年底前完成全面深度治理改造，力争 </w:t>
            </w:r>
            <w:r>
              <w:rPr>
                <w:rFonts w:hint="default" w:ascii="Times New Roman" w:hAnsi="Times New Roman" w:eastAsia="宋体" w:cs="Times New Roman"/>
                <w:color w:val="000000"/>
                <w:kern w:val="0"/>
                <w:sz w:val="24"/>
                <w:szCs w:val="24"/>
                <w:lang w:val="en-US" w:eastAsia="zh-CN" w:bidi="ar"/>
              </w:rPr>
              <w:t xml:space="preserve">2025 </w:t>
            </w:r>
            <w:r>
              <w:rPr>
                <w:rFonts w:hint="eastAsia" w:ascii="宋体" w:hAnsi="宋体" w:eastAsia="宋体" w:cs="宋体"/>
                <w:color w:val="000000"/>
                <w:kern w:val="0"/>
                <w:sz w:val="24"/>
                <w:szCs w:val="24"/>
                <w:lang w:val="en-US" w:eastAsia="zh-CN" w:bidi="ar"/>
              </w:rPr>
              <w:t>年底前完成超低排放改造能源利用低碳化和高效化。严格控制煤炭消费总量，提高电煤消费占比，严厉打击禁燃区外违规销售燃用劣质散煤行为。有序推进“煤改气”“煤改电”，加快天然气在工业领域的应用，扩大居民商服用气市场；加快实施电能替代，推广使用工业电锅窑炉、电热釜等设备。推进长株潭综合能源示范中心建设。</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本项目位于</w:t>
            </w:r>
            <w:r>
              <w:rPr>
                <w:rFonts w:hint="eastAsia" w:ascii="宋体" w:hAnsi="宋体" w:cs="宋体"/>
                <w:color w:val="000000"/>
                <w:kern w:val="0"/>
                <w:sz w:val="24"/>
                <w:szCs w:val="24"/>
                <w:lang w:val="en-US" w:eastAsia="zh-CN" w:bidi="ar"/>
              </w:rPr>
              <w:t>湘阴县</w:t>
            </w:r>
            <w:r>
              <w:rPr>
                <w:rFonts w:hint="eastAsia" w:ascii="宋体" w:hAnsi="宋体" w:eastAsia="宋体" w:cs="宋体"/>
                <w:color w:val="000000"/>
                <w:kern w:val="0"/>
                <w:sz w:val="24"/>
                <w:szCs w:val="24"/>
                <w:lang w:val="en-US" w:eastAsia="zh-CN" w:bidi="ar"/>
              </w:rPr>
              <w:t>，属于传输通道城市；本项目不属于钢铁和水泥行业，且能稳定达标排放；</w:t>
            </w:r>
          </w:p>
          <w:p>
            <w:pPr>
              <w:keepNext w:val="0"/>
              <w:keepLines w:val="0"/>
              <w:pageBreakBefore w:val="0"/>
              <w:widowControl/>
              <w:suppressLineNumbers w:val="0"/>
              <w:kinsoku/>
              <w:wordWrap/>
              <w:overflowPunct/>
              <w:topLinePunct w:val="0"/>
              <w:bidi w:val="0"/>
              <w:snapToGrid/>
              <w:spacing w:line="360" w:lineRule="auto"/>
              <w:ind w:firstLine="480" w:firstLineChars="200"/>
              <w:jc w:val="left"/>
              <w:textAlignment w:val="auto"/>
              <w:rPr>
                <w:rFonts w:hint="default" w:eastAsia="宋体"/>
                <w:b/>
                <w:bCs/>
                <w:u w:val="none"/>
                <w:lang w:val="en-US" w:eastAsia="zh-CN"/>
              </w:rPr>
            </w:pPr>
            <w:r>
              <w:rPr>
                <w:rFonts w:hint="eastAsia" w:ascii="宋体" w:hAnsi="宋体" w:eastAsia="宋体" w:cs="宋体"/>
                <w:color w:val="000000"/>
                <w:kern w:val="0"/>
                <w:sz w:val="24"/>
                <w:szCs w:val="24"/>
                <w:lang w:val="en-US" w:eastAsia="zh-CN" w:bidi="ar"/>
              </w:rPr>
              <w:t>本项目锅炉不使用燃煤，且不属于禁燃区内禁止燃烧的燃料组合，因此，本项目符合《长株潭及传输通道城市环境空气质量达标攻坚行动计划》（湘政办发</w:t>
            </w:r>
            <w:r>
              <w:rPr>
                <w:rFonts w:hint="eastAsia" w:ascii="宋体" w:hAnsi="宋体" w:cs="宋体"/>
                <w:color w:val="000000"/>
                <w:kern w:val="0"/>
                <w:sz w:val="24"/>
                <w:szCs w:val="24"/>
                <w:lang w:val="en-US" w:eastAsia="zh-CN" w:bidi="ar"/>
              </w:rPr>
              <w:t>〔2023〕3号</w:t>
            </w:r>
            <w:r>
              <w:rPr>
                <w:rFonts w:hint="eastAsia" w:ascii="宋体" w:hAnsi="宋体" w:eastAsia="宋体" w:cs="宋体"/>
                <w:color w:val="000000"/>
                <w:kern w:val="0"/>
                <w:sz w:val="24"/>
                <w:szCs w:val="24"/>
                <w:lang w:val="en-US" w:eastAsia="zh-CN" w:bidi="ar"/>
              </w:rPr>
              <w:t>）。</w:t>
            </w:r>
          </w:p>
          <w:p>
            <w:pPr>
              <w:keepNext w:val="0"/>
              <w:keepLines w:val="0"/>
              <w:pageBreakBefore w:val="0"/>
              <w:kinsoku/>
              <w:wordWrap/>
              <w:overflowPunct/>
              <w:topLinePunct w:val="0"/>
              <w:bidi w:val="0"/>
              <w:snapToGrid/>
              <w:spacing w:line="360" w:lineRule="auto"/>
              <w:ind w:firstLine="482" w:firstLineChars="200"/>
              <w:textAlignment w:val="auto"/>
              <w:rPr>
                <w:b/>
                <w:bCs/>
                <w:u w:val="single"/>
              </w:rPr>
            </w:pPr>
            <w:r>
              <w:rPr>
                <w:rFonts w:hint="eastAsia"/>
                <w:b/>
                <w:bCs/>
                <w:u w:val="single"/>
                <w:lang w:val="en-US" w:eastAsia="zh-CN"/>
              </w:rPr>
              <w:t>7、</w:t>
            </w:r>
            <w:r>
              <w:rPr>
                <w:rFonts w:hint="eastAsia"/>
                <w:b/>
                <w:bCs/>
                <w:u w:val="single"/>
              </w:rPr>
              <w:t>项目总平面布置合理性分析</w:t>
            </w:r>
          </w:p>
          <w:p>
            <w:pPr>
              <w:keepNext w:val="0"/>
              <w:keepLines w:val="0"/>
              <w:pageBreakBefore w:val="0"/>
              <w:kinsoku/>
              <w:wordWrap/>
              <w:overflowPunct/>
              <w:topLinePunct w:val="0"/>
              <w:bidi w:val="0"/>
              <w:snapToGrid/>
              <w:spacing w:line="360" w:lineRule="auto"/>
              <w:ind w:firstLine="480" w:firstLineChars="200"/>
              <w:textAlignment w:val="auto"/>
              <w:rPr>
                <w:rFonts w:hint="eastAsia"/>
                <w:u w:val="single"/>
              </w:rPr>
            </w:pPr>
            <w:r>
              <w:rPr>
                <w:rFonts w:hint="eastAsia"/>
                <w:u w:val="single"/>
              </w:rPr>
              <w:t>项目根据《工业企业总平面设计规范》（GB50187-2012）、《工业企业设计卫生标准》（GBZ1-2010）进行设计和布置。总平面按功能分区布置，项目生产区、办公区分开，</w:t>
            </w:r>
            <w:r>
              <w:rPr>
                <w:rFonts w:hint="eastAsia"/>
                <w:u w:val="single"/>
                <w:lang w:val="en-US" w:eastAsia="zh-CN"/>
              </w:rPr>
              <w:t>生产区位于厂区东侧、生活区位于厂区西侧，</w:t>
            </w:r>
            <w:r>
              <w:rPr>
                <w:rFonts w:hint="eastAsia"/>
                <w:u w:val="single"/>
              </w:rPr>
              <w:t>与生产区设置安全距离。</w:t>
            </w:r>
          </w:p>
          <w:p>
            <w:pPr>
              <w:keepNext w:val="0"/>
              <w:keepLines w:val="0"/>
              <w:pageBreakBefore w:val="0"/>
              <w:kinsoku/>
              <w:wordWrap/>
              <w:overflowPunct/>
              <w:topLinePunct w:val="0"/>
              <w:bidi w:val="0"/>
              <w:snapToGrid/>
              <w:spacing w:line="360" w:lineRule="auto"/>
              <w:ind w:firstLine="480" w:firstLineChars="200"/>
              <w:textAlignment w:val="auto"/>
              <w:rPr>
                <w:rFonts w:hint="default" w:eastAsia="宋体"/>
                <w:color w:val="000000" w:themeColor="text1"/>
                <w:u w:val="single"/>
                <w:lang w:val="en-US" w:eastAsia="zh-CN"/>
                <w14:textFill>
                  <w14:solidFill>
                    <w14:schemeClr w14:val="tx1"/>
                  </w14:solidFill>
                </w14:textFill>
              </w:rPr>
            </w:pPr>
            <w:r>
              <w:rPr>
                <w:rFonts w:hint="eastAsia"/>
                <w:u w:val="single"/>
              </w:rPr>
              <w:t>本项目生产、储存厂房按《建筑设计防火规范》（GB50016-2014）要求建设。</w:t>
            </w:r>
            <w:r>
              <w:rPr>
                <w:rFonts w:hint="eastAsia"/>
                <w:u w:val="single"/>
                <w:lang w:val="en-US" w:eastAsia="zh-CN"/>
              </w:rPr>
              <w:t>从东往西布设为锅炉房、垃圾站、办公楼、制棒培养房、分拣培养房、出菇房</w:t>
            </w:r>
            <w:r>
              <w:rPr>
                <w:rFonts w:hint="eastAsia"/>
                <w:color w:val="000000" w:themeColor="text1"/>
                <w:u w:val="single"/>
                <w14:textFill>
                  <w14:solidFill>
                    <w14:schemeClr w14:val="tx1"/>
                  </w14:solidFill>
                </w14:textFill>
              </w:rPr>
              <w:t>等。</w:t>
            </w:r>
            <w:r>
              <w:rPr>
                <w:rFonts w:hint="eastAsia"/>
                <w:color w:val="000000" w:themeColor="text1"/>
                <w:u w:val="single"/>
                <w:lang w:val="en-US" w:eastAsia="zh-CN"/>
                <w14:textFill>
                  <w14:solidFill>
                    <w14:schemeClr w14:val="tx1"/>
                  </w14:solidFill>
                </w14:textFill>
              </w:rPr>
              <w:t>具体平面布置图详见附图</w:t>
            </w:r>
            <w:r>
              <w:rPr>
                <w:rFonts w:hint="default"/>
                <w:color w:val="000000" w:themeColor="text1"/>
                <w:u w:val="single"/>
                <w:lang w:val="en-US" w:eastAsia="zh-CN"/>
                <w14:textFill>
                  <w14:solidFill>
                    <w14:schemeClr w14:val="tx1"/>
                  </w14:solidFill>
                </w14:textFill>
              </w:rPr>
              <w:t>3</w:t>
            </w:r>
            <w:r>
              <w:rPr>
                <w:rFonts w:hint="eastAsia"/>
                <w:color w:val="000000" w:themeColor="text1"/>
                <w:u w:val="single"/>
                <w:lang w:val="en-US" w:eastAsia="zh-CN"/>
                <w14:textFill>
                  <w14:solidFill>
                    <w14:schemeClr w14:val="tx1"/>
                  </w14:solidFill>
                </w14:textFill>
              </w:rPr>
              <w:t>。</w:t>
            </w:r>
          </w:p>
          <w:p>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color w:val="000000" w:themeColor="text1"/>
                <w:u w:val="single"/>
                <w14:textFill>
                  <w14:solidFill>
                    <w14:schemeClr w14:val="tx1"/>
                  </w14:solidFill>
                </w14:textFill>
              </w:rPr>
            </w:pPr>
            <w:r>
              <w:rPr>
                <w:rFonts w:hint="eastAsia"/>
                <w:color w:val="000000" w:themeColor="text1"/>
                <w:u w:val="single"/>
                <w:lang w:val="en-US" w:eastAsia="zh-CN"/>
                <w14:textFill>
                  <w14:solidFill>
                    <w14:schemeClr w14:val="tx1"/>
                  </w14:solidFill>
                </w14:textFill>
              </w:rPr>
              <w:t>物流出口布设于办公楼和</w:t>
            </w:r>
            <w:r>
              <w:rPr>
                <w:rFonts w:hint="eastAsia"/>
                <w:u w:val="single"/>
                <w:lang w:val="en-US" w:eastAsia="zh-CN"/>
              </w:rPr>
              <w:t>制棒培养房中间南侧，远离居民住宅，减轻车辆出入对居民区的影响。</w:t>
            </w:r>
          </w:p>
          <w:p>
            <w:pPr>
              <w:keepNext w:val="0"/>
              <w:keepLines w:val="0"/>
              <w:pageBreakBefore w:val="0"/>
              <w:kinsoku/>
              <w:wordWrap/>
              <w:overflowPunct/>
              <w:topLinePunct w:val="0"/>
              <w:bidi w:val="0"/>
              <w:snapToGrid/>
              <w:spacing w:line="360" w:lineRule="auto"/>
              <w:ind w:firstLine="480" w:firstLineChars="200"/>
              <w:jc w:val="left"/>
              <w:textAlignment w:val="auto"/>
              <w:rPr>
                <w:rFonts w:ascii="宋体" w:hAnsi="宋体"/>
                <w:color w:val="000000" w:themeColor="text1"/>
                <w:u w:val="single"/>
                <w14:textFill>
                  <w14:solidFill>
                    <w14:schemeClr w14:val="tx1"/>
                  </w14:solidFill>
                </w14:textFill>
              </w:rPr>
            </w:pPr>
            <w:r>
              <w:rPr>
                <w:rFonts w:hint="eastAsia" w:ascii="宋体" w:hAnsi="宋体"/>
                <w:color w:val="000000" w:themeColor="text1"/>
                <w:u w:val="single"/>
                <w14:textFill>
                  <w14:solidFill>
                    <w14:schemeClr w14:val="tx1"/>
                  </w14:solidFill>
                </w14:textFill>
              </w:rPr>
              <w:t>项目布局本着“方便、安全、畅通、配套”的原则布置，力求分区明确，布局合理，使用方便，物流便捷，功能配套，在满足生产工艺、安全防火、卫生采光等要求前提下，适当划分厂区，各区既有明确分区，又保持一定联系，将废气、废水、噪声等污染源影响限制在局部，并在局部合理解决。</w:t>
            </w:r>
          </w:p>
          <w:p>
            <w:pPr>
              <w:keepNext w:val="0"/>
              <w:keepLines w:val="0"/>
              <w:pageBreakBefore w:val="0"/>
              <w:kinsoku/>
              <w:wordWrap/>
              <w:overflowPunct/>
              <w:topLinePunct w:val="0"/>
              <w:bidi w:val="0"/>
              <w:snapToGrid/>
              <w:spacing w:line="360" w:lineRule="auto"/>
              <w:ind w:left="0" w:leftChars="0" w:firstLine="482" w:firstLineChars="200"/>
              <w:textAlignment w:val="auto"/>
              <w:rPr>
                <w:rFonts w:hint="default"/>
                <w:b/>
                <w:bCs/>
                <w:u w:val="none"/>
                <w:lang w:val="en-US" w:eastAsia="zh-CN"/>
              </w:rPr>
            </w:pPr>
            <w:r>
              <w:rPr>
                <w:rFonts w:hint="eastAsia"/>
                <w:b/>
                <w:bCs/>
                <w:u w:val="none"/>
                <w:lang w:val="en-US" w:eastAsia="zh-CN"/>
              </w:rPr>
              <w:t>8、与《湘阴县“十四五”新型城镇化发展规划》符合性分析</w:t>
            </w:r>
          </w:p>
          <w:p>
            <w:pPr>
              <w:keepNext w:val="0"/>
              <w:keepLines w:val="0"/>
              <w:pageBreakBefore w:val="0"/>
              <w:widowControl/>
              <w:suppressLineNumbers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Times New Roman"/>
                <w:color w:val="auto"/>
                <w:kern w:val="2"/>
                <w:sz w:val="24"/>
                <w:szCs w:val="24"/>
                <w:u w:val="none"/>
                <w:lang w:val="en-US" w:eastAsia="zh-CN" w:bidi="ar-SA"/>
              </w:rPr>
              <w:t>根据《湘阴县“十四五”新型城镇化发展规划</w:t>
            </w:r>
            <w:r>
              <w:rPr>
                <w:rFonts w:hint="eastAsia" w:ascii="宋体" w:hAnsi="宋体" w:eastAsia="宋体" w:cs="宋体"/>
                <w:color w:val="000000"/>
                <w:kern w:val="0"/>
                <w:sz w:val="24"/>
                <w:szCs w:val="24"/>
                <w:lang w:val="en-US" w:eastAsia="zh-CN" w:bidi="ar"/>
              </w:rPr>
              <w:t>》要把现代农业发展规划与全域旅游发展规划有机结合，高标准制定好全县农业现代化发展规划，打造品质可信、品牌响亮、品味高雅的“湘阴农产品”，提升农业产业品牌，实现规范化与现代化经营，延伸农业产业链，进一步释放农业和农村的发展活力，真正把湘阴建设成为服务大长沙的放心菜园、有机果园、秀美田园和农业公园。其中特色产业集群要求大力发展杨林寨时鲜蔬菜、食用菌、石塘萝卜、南湖土菜、六塘芝麻、铁香茶叶、兰岭茶叶、湘阴虾田米等特色农产品。“十四五”期间，湘阴将坚持“产业兴旺、生态宜居、乡风文明、治理有效、生活富裕”的二十字方针，统筹推进农村经济、政治、文化、社会、生态文明和党的建设，加快推进乡村治理体系、治理能力和农业农村现代化，打造湖南乡村振兴“湘阴版本”。加强全国绿色食品原料标准化生产基地建设，开展绿色高产高效创建。</w:t>
            </w:r>
          </w:p>
          <w:p>
            <w:pPr>
              <w:keepNext w:val="0"/>
              <w:keepLines w:val="0"/>
              <w:pageBreakBefore w:val="0"/>
              <w:widowControl/>
              <w:suppressLineNumbers w:val="0"/>
              <w:kinsoku/>
              <w:wordWrap/>
              <w:overflowPunct/>
              <w:topLinePunct w:val="0"/>
              <w:bidi w:val="0"/>
              <w:snapToGrid/>
              <w:spacing w:line="360" w:lineRule="auto"/>
              <w:ind w:firstLine="480" w:firstLineChars="200"/>
              <w:jc w:val="left"/>
              <w:textAlignment w:val="auto"/>
              <w:rPr>
                <w:rFonts w:hint="default"/>
                <w:lang w:val="en-US"/>
              </w:rPr>
            </w:pPr>
            <w:r>
              <w:rPr>
                <w:rFonts w:hint="eastAsia" w:ascii="宋体" w:hAnsi="宋体" w:eastAsia="宋体" w:cs="宋体"/>
                <w:color w:val="000000"/>
                <w:kern w:val="0"/>
                <w:sz w:val="24"/>
                <w:szCs w:val="24"/>
                <w:lang w:val="en-US" w:eastAsia="zh-CN" w:bidi="ar"/>
              </w:rPr>
              <w:t>综上，地块位于杨林寨乡，申报用途为菌菇种植，为标准化农产品生产基地，符合</w:t>
            </w:r>
            <w:r>
              <w:rPr>
                <w:rFonts w:hint="eastAsia" w:ascii="宋体" w:hAnsi="宋体" w:eastAsia="宋体" w:cs="Times New Roman"/>
                <w:color w:val="auto"/>
                <w:kern w:val="2"/>
                <w:sz w:val="24"/>
                <w:szCs w:val="24"/>
                <w:u w:val="none"/>
                <w:lang w:val="en-US" w:eastAsia="zh-CN" w:bidi="ar-SA"/>
              </w:rPr>
              <w:t>《湘阴县“十四五”新型城镇化发展规划</w:t>
            </w:r>
            <w:r>
              <w:rPr>
                <w:rFonts w:hint="eastAsia"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outlineLvl w:val="9"/>
              <w:rPr>
                <w:rFonts w:hint="default" w:ascii="宋体" w:hAnsi="宋体" w:eastAsia="宋体" w:cs="宋体"/>
                <w:color w:val="000000"/>
                <w:kern w:val="0"/>
                <w:sz w:val="24"/>
                <w:szCs w:val="24"/>
                <w:lang w:val="en-US" w:eastAsia="zh-CN" w:bidi="ar"/>
              </w:rPr>
            </w:pPr>
            <w:bookmarkStart w:id="9" w:name="_Toc7658"/>
            <w:r>
              <w:rPr>
                <w:rFonts w:hint="eastAsia" w:ascii="Times New Roman" w:hAnsi="Times New Roman" w:cs="Times New Roman"/>
                <w:b/>
                <w:bCs/>
                <w:kern w:val="2"/>
                <w:sz w:val="24"/>
                <w:szCs w:val="24"/>
                <w:u w:val="none"/>
                <w:lang w:val="en-US" w:eastAsia="zh-CN" w:bidi="ar-SA"/>
              </w:rPr>
              <w:t>9</w:t>
            </w:r>
            <w:r>
              <w:rPr>
                <w:rFonts w:hint="eastAsia" w:ascii="Times New Roman" w:hAnsi="Times New Roman" w:eastAsia="宋体" w:cs="Times New Roman"/>
                <w:b/>
                <w:bCs/>
                <w:kern w:val="2"/>
                <w:sz w:val="24"/>
                <w:szCs w:val="24"/>
                <w:u w:val="none"/>
                <w:lang w:val="en-US" w:eastAsia="zh-CN" w:bidi="ar-SA"/>
              </w:rPr>
              <w:t>、与湖南省《“十四五”湖南省种植业发展规划》</w:t>
            </w:r>
            <w:r>
              <w:rPr>
                <w:rFonts w:hint="eastAsia" w:ascii="Times New Roman" w:hAnsi="Times New Roman" w:cs="Times New Roman"/>
                <w:b/>
                <w:bCs/>
                <w:kern w:val="2"/>
                <w:sz w:val="24"/>
                <w:szCs w:val="24"/>
                <w:u w:val="none"/>
                <w:lang w:val="en-US" w:eastAsia="zh-CN" w:bidi="ar-SA"/>
              </w:rPr>
              <w:t>符合性分析</w:t>
            </w:r>
            <w:bookmarkEnd w:id="9"/>
          </w:p>
          <w:p>
            <w:pPr>
              <w:keepNext w:val="0"/>
              <w:keepLines w:val="0"/>
              <w:pageBreakBefore w:val="0"/>
              <w:widowControl/>
              <w:suppressLineNumbers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规划，“十四五”期间，着力优化区域布局和调整产业结构，推进蔬菜标准化、规模化、专业化生产，提高质量安全水平和经济效益。稳定大中城市近郊及周边蔬菜生产，保证城区蔬菜常年供应平衡。推广良种化、水肥一体化，设施蔬菜春提早、秋延后栽培技术，绿色防控技术等。加强高标准生产基地建设，建设一批智能化温室、大棚等设施。打造“湘江源”蔬菜、“湖南辣椒”公用品牌。</w:t>
            </w:r>
          </w:p>
          <w:p>
            <w:pPr>
              <w:keepNext w:val="0"/>
              <w:keepLines w:val="0"/>
              <w:pageBreakBefore w:val="0"/>
              <w:widowControl/>
              <w:suppressLineNumbers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食用菌生产基地。主要发展以秀珍菇、金针菇、平菇、木耳、香菇、杏鲍菇、茶树菇为主的湘中、湘东食用菌生产基地，以羊肚菌、东方灵芝、杏鲍菇、芦苇菇、香菇、茶树菇、平菇、秀珍菇为主的湘北食用菌生产基地，以姬菇、草菇、鹿茸菌、羊肚菌、灵芝、杏鲍菇、双孢白蘑菇、秀珍菇、金针菇、黑木耳、香菇、平菇、茯苓为主的湘南食用菌生产基地，以茯苓、灵芝等为主的湘西食用菌生产基地。</w:t>
            </w:r>
          </w:p>
          <w:p>
            <w:pPr>
              <w:keepNext w:val="0"/>
              <w:keepLines w:val="0"/>
              <w:pageBreakBefore w:val="0"/>
              <w:widowControl/>
              <w:suppressLineNumbers w:val="0"/>
              <w:kinsoku/>
              <w:wordWrap/>
              <w:overflowPunct/>
              <w:topLinePunct w:val="0"/>
              <w:bidi w:val="0"/>
              <w:snapToGrid/>
              <w:spacing w:line="360" w:lineRule="auto"/>
              <w:ind w:firstLine="480" w:firstLineChars="200"/>
              <w:jc w:val="left"/>
              <w:textAlignment w:val="auto"/>
              <w:rPr>
                <w:rFonts w:hint="eastAsia" w:ascii="微软雅黑" w:hAnsi="微软雅黑" w:eastAsia="微软雅黑" w:cs="微软雅黑"/>
                <w:i w:val="0"/>
                <w:iCs w:val="0"/>
                <w:caps w:val="0"/>
                <w:color w:val="333333"/>
                <w:spacing w:val="0"/>
                <w:sz w:val="24"/>
                <w:szCs w:val="24"/>
              </w:rPr>
            </w:pPr>
            <w:r>
              <w:rPr>
                <w:rFonts w:hint="eastAsia" w:ascii="宋体" w:hAnsi="宋体" w:eastAsia="宋体" w:cs="宋体"/>
                <w:color w:val="000000"/>
                <w:kern w:val="0"/>
                <w:sz w:val="24"/>
                <w:szCs w:val="24"/>
                <w:lang w:val="en-US" w:eastAsia="zh-CN" w:bidi="ar"/>
              </w:rPr>
              <w:t>洞庭湖平湖农业区，包括常德市、岳阳市、益阳市三市的部分县市区。“十四五”期间，立足农业资源丰富、生产基础良好，推进农业规模化发展。发展露地蔬菜，并利用设施发展春提早、秋延后蔬菜生产，发展高档食用菌</w:t>
            </w:r>
            <w:r>
              <w:rPr>
                <w:rFonts w:hint="eastAsia" w:ascii="宋体" w:hAnsi="宋体" w:cs="宋体"/>
                <w:color w:val="000000"/>
                <w:kern w:val="0"/>
                <w:sz w:val="24"/>
                <w:szCs w:val="24"/>
                <w:lang w:val="en-US" w:eastAsia="zh-CN" w:bidi="ar"/>
              </w:rPr>
              <w:t>。</w:t>
            </w:r>
          </w:p>
          <w:p>
            <w:pPr>
              <w:keepNext w:val="0"/>
              <w:keepLines w:val="0"/>
              <w:pageBreakBefore w:val="0"/>
              <w:widowControl/>
              <w:suppressLineNumbers w:val="0"/>
              <w:kinsoku/>
              <w:wordWrap/>
              <w:overflowPunct/>
              <w:topLinePunct w:val="0"/>
              <w:bidi w:val="0"/>
              <w:snapToGrid/>
              <w:spacing w:line="360" w:lineRule="auto"/>
              <w:ind w:firstLine="480" w:firstLineChars="200"/>
              <w:jc w:val="left"/>
              <w:textAlignment w:val="auto"/>
              <w:rPr>
                <w:rFonts w:hint="eastAsia" w:ascii="宋体" w:hAnsi="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本项目位于</w:t>
            </w:r>
            <w:r>
              <w:rPr>
                <w:rFonts w:hint="eastAsia" w:ascii="宋体" w:hAnsi="宋体" w:cs="宋体"/>
                <w:color w:val="000000"/>
                <w:kern w:val="0"/>
                <w:sz w:val="24"/>
                <w:szCs w:val="24"/>
                <w:lang w:val="en-US" w:eastAsia="zh-CN" w:bidi="ar"/>
              </w:rPr>
              <w:t>岳阳市湘阴县杨林寨乡，项目为食用菌产业融合示范区，隶属洞庭湖平湖农业区，属于规划中湘北食用菌生产基地，鼓励发展高档食用菌，符合湖南省《“十四五”湖南省种植业发展规划》要求。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outlineLvl w:val="9"/>
              <w:rPr>
                <w:rFonts w:hint="default" w:ascii="宋体" w:hAnsi="宋体" w:cs="宋体"/>
                <w:b/>
                <w:bCs/>
                <w:color w:val="000000"/>
                <w:kern w:val="0"/>
                <w:sz w:val="24"/>
                <w:szCs w:val="24"/>
                <w:lang w:val="en-US" w:eastAsia="zh-CN" w:bidi="ar"/>
              </w:rPr>
            </w:pPr>
            <w:bookmarkStart w:id="10" w:name="_Toc4402"/>
            <w:r>
              <w:rPr>
                <w:rFonts w:hint="eastAsia" w:cs="宋体"/>
                <w:b/>
                <w:bCs/>
                <w:color w:val="000000"/>
                <w:kern w:val="0"/>
                <w:sz w:val="24"/>
                <w:szCs w:val="24"/>
                <w:lang w:val="en-US" w:eastAsia="zh-CN" w:bidi="ar"/>
              </w:rPr>
              <w:t>10、与《湘阴县十四五农业农村发展规划（2021-2025年）》符合性分析</w:t>
            </w:r>
            <w:bookmarkEnd w:id="10"/>
          </w:p>
          <w:p>
            <w:pPr>
              <w:keepNext w:val="0"/>
              <w:keepLines w:val="0"/>
              <w:pageBreakBefore w:val="0"/>
              <w:widowControl/>
              <w:suppressLineNumbers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根据规划，将</w:t>
            </w:r>
            <w:r>
              <w:rPr>
                <w:rFonts w:hint="default" w:ascii="宋体" w:hAnsi="宋体" w:eastAsia="宋体" w:cs="宋体"/>
                <w:color w:val="000000"/>
                <w:kern w:val="0"/>
                <w:sz w:val="24"/>
                <w:szCs w:val="24"/>
                <w:lang w:val="en-US" w:eastAsia="zh-CN" w:bidi="ar"/>
              </w:rPr>
              <w:t>打造“两轴、两核、四区”现代农业农村发展布局，以“特色为先、质量为本、品牌为王、规模为要、科技为核、融合制胜”的高效农业发展思路，打造“一镇一特、一村一品”，主推优质稻订单生产、稻渔综合种养、特色水产养殖特色品牌蔬菜种植等模式，形成优势明显、带动力强、产出高效的现代农业农村发展格局</w:t>
            </w:r>
            <w:r>
              <w:rPr>
                <w:rFonts w:hint="eastAsia" w:ascii="宋体" w:hAnsi="宋体" w:eastAsia="宋体" w:cs="宋体"/>
                <w:color w:val="000000"/>
                <w:kern w:val="0"/>
                <w:sz w:val="24"/>
                <w:szCs w:val="24"/>
                <w:lang w:val="en-US" w:eastAsia="zh-CN" w:bidi="ar"/>
              </w:rPr>
              <w:t>。其中岭北、南湖洲、湘滨、新泉和杨林寨以优质稻、水产和蔬菜为主的万亩连片的西部现代农业示范区。</w:t>
            </w:r>
          </w:p>
          <w:p>
            <w:pPr>
              <w:keepNext w:val="0"/>
              <w:keepLines w:val="0"/>
              <w:pageBreakBefore w:val="0"/>
              <w:widowControl/>
              <w:suppressLineNumbers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强化农业产业化龙头企业扶持和监管引导，在建设高标准产业基地、培育品牌、开拓市场、开展社会化服务等方面发挥引领作用。</w:t>
            </w:r>
          </w:p>
          <w:p>
            <w:pPr>
              <w:keepNext w:val="0"/>
              <w:keepLines w:val="0"/>
              <w:pageBreakBefore w:val="0"/>
              <w:widowControl/>
              <w:suppressLineNumbers w:val="0"/>
              <w:kinsoku/>
              <w:wordWrap/>
              <w:overflowPunct/>
              <w:topLinePunct w:val="0"/>
              <w:bidi w:val="0"/>
              <w:snapToGrid/>
              <w:spacing w:line="360" w:lineRule="auto"/>
              <w:ind w:firstLine="480" w:firstLineChars="200"/>
              <w:jc w:val="left"/>
              <w:textAlignment w:val="auto"/>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培育全产业链龙头企业，重点扶持“种粮大户”、“种养大户”，主推优质稻订单生产稻渔综合种养、特色水产养殖、特色品牌蔬菜种植，鼓励新型农业经营主体积极发展现代农业种养模式。</w:t>
            </w:r>
          </w:p>
          <w:p>
            <w:pPr>
              <w:pStyle w:val="33"/>
              <w:keepNext w:val="0"/>
              <w:keepLines w:val="0"/>
              <w:pageBreakBefore w:val="0"/>
              <w:kinsoku/>
              <w:wordWrap/>
              <w:overflowPunct/>
              <w:topLinePunct w:val="0"/>
              <w:bidi w:val="0"/>
              <w:snapToGrid/>
              <w:spacing w:line="360" w:lineRule="auto"/>
              <w:ind w:firstLine="480" w:firstLineChars="200"/>
              <w:textAlignment w:val="auto"/>
              <w:rPr>
                <w:rFonts w:ascii="宋体" w:hAnsi="宋体"/>
                <w:u w:val="none"/>
              </w:rPr>
            </w:pPr>
            <w:r>
              <w:rPr>
                <w:rFonts w:hint="eastAsia" w:ascii="宋体" w:hAnsi="宋体" w:eastAsia="宋体" w:cs="宋体"/>
                <w:color w:val="000000"/>
                <w:kern w:val="0"/>
                <w:sz w:val="24"/>
                <w:szCs w:val="24"/>
                <w:lang w:val="en-US" w:eastAsia="zh-CN" w:bidi="ar"/>
              </w:rPr>
              <w:t>本项目位于杨林寨乡太和围村，属于规划中西部现代化农业示范区，主要建设高标准菌菇种植基地，符合《湘阴县十四五农业农村发展规划（2021-2025年）》要求。</w:t>
            </w:r>
          </w:p>
        </w:tc>
      </w:tr>
    </w:tbl>
    <w:p>
      <w:pPr>
        <w:ind w:firstLine="600"/>
        <w:rPr>
          <w:rFonts w:eastAsia="黑体"/>
          <w:sz w:val="30"/>
        </w:rPr>
        <w:sectPr>
          <w:headerReference r:id="rId11" w:type="default"/>
          <w:footerReference r:id="rId12" w:type="default"/>
          <w:pgSz w:w="11906" w:h="16838"/>
          <w:pgMar w:top="1701" w:right="1531" w:bottom="1701" w:left="1531" w:header="737" w:footer="1077" w:gutter="0"/>
          <w:pgBorders>
            <w:top w:val="none" w:sz="0" w:space="0"/>
            <w:left w:val="none" w:sz="0" w:space="0"/>
            <w:bottom w:val="none" w:sz="0" w:space="0"/>
            <w:right w:val="none" w:sz="0" w:space="0"/>
          </w:pgBorders>
          <w:pgNumType w:start="1"/>
          <w:cols w:space="720" w:num="1"/>
          <w:docGrid w:linePitch="326" w:charSpace="0"/>
        </w:sectPr>
      </w:pPr>
    </w:p>
    <w:p>
      <w:pPr>
        <w:pStyle w:val="19"/>
        <w:spacing w:line="240" w:lineRule="auto"/>
        <w:ind w:firstLine="0" w:firstLineChars="0"/>
        <w:jc w:val="center"/>
        <w:outlineLvl w:val="0"/>
        <w:rPr>
          <w:rFonts w:ascii="黑体" w:hAnsi="黑体" w:eastAsia="黑体"/>
          <w:snapToGrid w:val="0"/>
          <w:sz w:val="30"/>
          <w:szCs w:val="30"/>
        </w:rPr>
      </w:pPr>
      <w:bookmarkStart w:id="11" w:name="_Toc6478"/>
      <w:bookmarkStart w:id="12" w:name="_Toc17549"/>
      <w:bookmarkStart w:id="13" w:name="_Toc9714"/>
      <w:r>
        <w:rPr>
          <w:rFonts w:hint="eastAsia" w:ascii="黑体" w:hAnsi="黑体" w:eastAsia="黑体"/>
          <w:snapToGrid w:val="0"/>
          <w:sz w:val="30"/>
          <w:szCs w:val="30"/>
        </w:rPr>
        <w:t>二、建设项目工程分析</w:t>
      </w:r>
      <w:bookmarkEnd w:id="11"/>
      <w:bookmarkEnd w:id="12"/>
      <w:bookmarkEnd w:id="13"/>
    </w:p>
    <w:tbl>
      <w:tblPr>
        <w:tblStyle w:val="24"/>
        <w:tblW w:w="90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8"/>
        <w:gridCol w:w="85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208" w:hRule="atLeast"/>
          <w:jc w:val="center"/>
        </w:trPr>
        <w:tc>
          <w:tcPr>
            <w:tcW w:w="508" w:type="dxa"/>
            <w:vAlign w:val="center"/>
          </w:tcPr>
          <w:p>
            <w:pPr>
              <w:pStyle w:val="19"/>
              <w:adjustRightInd w:val="0"/>
              <w:snapToGrid w:val="0"/>
              <w:spacing w:before="0" w:beforeAutospacing="0" w:after="0" w:afterAutospacing="0" w:line="480" w:lineRule="auto"/>
              <w:ind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建设内容</w:t>
            </w:r>
          </w:p>
        </w:tc>
        <w:tc>
          <w:tcPr>
            <w:tcW w:w="8554" w:type="dxa"/>
          </w:tcPr>
          <w:p>
            <w:pPr>
              <w:ind w:firstLine="482"/>
              <w:rPr>
                <w:rFonts w:hint="default" w:ascii="Times New Roman" w:hAnsi="Times New Roman" w:eastAsia="宋体" w:cs="Times New Roman"/>
                <w:b/>
                <w:bCs/>
                <w:color w:val="auto"/>
                <w:u w:val="none"/>
              </w:rPr>
            </w:pPr>
            <w:r>
              <w:rPr>
                <w:rFonts w:hint="default" w:ascii="Times New Roman" w:hAnsi="Times New Roman" w:eastAsia="宋体" w:cs="Times New Roman"/>
                <w:b/>
                <w:bCs/>
                <w:color w:val="auto"/>
                <w:u w:val="none"/>
              </w:rPr>
              <w:t>1、项目由来</w:t>
            </w:r>
          </w:p>
          <w:p>
            <w:pPr>
              <w:ind w:firstLine="480"/>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eastAsia="zh-CN"/>
              </w:rPr>
              <w:t>为巩固脱贫攻坚成效，紧盯目标要求，立足特色优势，强力打造乡村振兴升级版，将杨林寨乡食用菌产业打造成湖南省知名品牌，岳阳市领先的支柱型新产业，一二三产深度融合的现代化农业典范。湘阴县惠丰农业投资开发有限公司</w:t>
            </w:r>
            <w:r>
              <w:rPr>
                <w:rFonts w:hint="default" w:ascii="Times New Roman" w:hAnsi="Times New Roman" w:eastAsia="宋体" w:cs="Times New Roman"/>
                <w:color w:val="auto"/>
                <w:u w:val="none"/>
              </w:rPr>
              <w:t>（企业营业执照见附件</w:t>
            </w:r>
            <w:r>
              <w:rPr>
                <w:rFonts w:hint="eastAsia" w:cs="Times New Roman"/>
                <w:color w:val="auto"/>
                <w:u w:val="none"/>
                <w:lang w:val="en-US" w:eastAsia="zh-CN"/>
              </w:rPr>
              <w:t>2</w:t>
            </w:r>
            <w:r>
              <w:rPr>
                <w:rFonts w:hint="default" w:ascii="Times New Roman" w:hAnsi="Times New Roman" w:eastAsia="宋体" w:cs="Times New Roman"/>
                <w:color w:val="auto"/>
                <w:u w:val="none"/>
              </w:rPr>
              <w:t>）拟投资</w:t>
            </w:r>
            <w:r>
              <w:rPr>
                <w:rFonts w:hint="default" w:ascii="Times New Roman" w:hAnsi="Times New Roman" w:eastAsia="宋体" w:cs="Times New Roman"/>
                <w:color w:val="auto"/>
                <w:u w:val="none"/>
                <w:lang w:val="en-US" w:eastAsia="zh-CN"/>
              </w:rPr>
              <w:t>19675.46万</w:t>
            </w:r>
            <w:r>
              <w:rPr>
                <w:rFonts w:hint="default" w:ascii="Times New Roman" w:hAnsi="Times New Roman" w:eastAsia="宋体" w:cs="Times New Roman"/>
                <w:color w:val="auto"/>
                <w:u w:val="none"/>
              </w:rPr>
              <w:t>元，</w:t>
            </w:r>
            <w:r>
              <w:rPr>
                <w:rFonts w:hint="default" w:ascii="Times New Roman" w:hAnsi="Times New Roman" w:eastAsia="宋体" w:cs="Times New Roman"/>
                <w:color w:val="auto"/>
                <w:u w:val="none"/>
                <w:lang w:eastAsia="zh-CN"/>
              </w:rPr>
              <w:t>充分利用杨林寨乡丰富的养生菌种植经验，将杨林寨养生菌从传统种植方式向数字化、现代化、设施化、工业化发展，打造农业全产业链，</w:t>
            </w:r>
            <w:r>
              <w:rPr>
                <w:rFonts w:hint="default" w:ascii="Times New Roman" w:hAnsi="Times New Roman" w:eastAsia="宋体" w:cs="Times New Roman"/>
                <w:color w:val="auto"/>
                <w:u w:val="none"/>
              </w:rPr>
              <w:t>在</w:t>
            </w:r>
            <w:r>
              <w:rPr>
                <w:rFonts w:hint="default" w:ascii="Times New Roman" w:hAnsi="Times New Roman" w:eastAsia="宋体" w:cs="Times New Roman"/>
                <w:color w:val="auto"/>
                <w:szCs w:val="21"/>
                <w:u w:val="none"/>
                <w:lang w:eastAsia="zh-CN"/>
              </w:rPr>
              <w:t>湘阴县杨林寨乡太和围村</w:t>
            </w:r>
            <w:r>
              <w:rPr>
                <w:rFonts w:hint="default" w:ascii="Times New Roman" w:hAnsi="Times New Roman" w:eastAsia="宋体" w:cs="Times New Roman"/>
                <w:color w:val="auto"/>
                <w:u w:val="none"/>
                <w:lang w:eastAsia="zh-CN"/>
              </w:rPr>
              <w:t>建设湖南省最先进的工厂化菌种培育基地和工厂化珍稀菇出菇基地</w:t>
            </w:r>
            <w:r>
              <w:rPr>
                <w:rFonts w:hint="default" w:ascii="Times New Roman" w:hAnsi="Times New Roman" w:eastAsia="宋体" w:cs="Times New Roman"/>
                <w:color w:val="auto"/>
                <w:u w:val="none"/>
              </w:rPr>
              <w:t>，</w:t>
            </w:r>
            <w:r>
              <w:rPr>
                <w:rFonts w:hint="default" w:ascii="Times New Roman" w:hAnsi="Times New Roman" w:cs="Times New Roman"/>
                <w:color w:val="auto"/>
                <w:u w:val="none"/>
                <w:lang w:eastAsia="zh-CN"/>
              </w:rPr>
              <w:t>总</w:t>
            </w:r>
            <w:r>
              <w:rPr>
                <w:rFonts w:hint="default" w:ascii="Times New Roman" w:hAnsi="Times New Roman" w:eastAsia="宋体" w:cs="Times New Roman"/>
                <w:color w:val="auto"/>
                <w:u w:val="none"/>
              </w:rPr>
              <w:t>面积</w:t>
            </w:r>
            <w:r>
              <w:rPr>
                <w:rFonts w:hint="default" w:ascii="Times New Roman" w:hAnsi="Times New Roman" w:eastAsia="宋体" w:cs="Times New Roman"/>
                <w:color w:val="auto"/>
                <w:u w:val="none"/>
                <w:lang w:val="en-US" w:eastAsia="zh-CN"/>
              </w:rPr>
              <w:t>73333.7</w:t>
            </w:r>
            <w:r>
              <w:rPr>
                <w:rFonts w:hint="default" w:ascii="Times New Roman" w:hAnsi="Times New Roman" w:eastAsia="宋体" w:cs="Times New Roman"/>
                <w:color w:val="auto"/>
                <w:u w:val="none"/>
              </w:rPr>
              <w:t>m</w:t>
            </w:r>
            <w:r>
              <w:rPr>
                <w:rFonts w:hint="default" w:ascii="Times New Roman" w:hAnsi="Times New Roman" w:eastAsia="宋体" w:cs="Times New Roman"/>
                <w:color w:val="auto"/>
                <w:u w:val="none"/>
                <w:vertAlign w:val="superscript"/>
              </w:rPr>
              <w:t>2</w:t>
            </w:r>
            <w:r>
              <w:rPr>
                <w:rFonts w:hint="default" w:ascii="Times New Roman" w:hAnsi="Times New Roman" w:eastAsia="宋体" w:cs="Times New Roman"/>
                <w:color w:val="auto"/>
                <w:u w:val="none"/>
              </w:rPr>
              <w:t>。并新购置全自动瓶栽拌料、装瓶、灭菌、接种、控温、光照、通风、抑制等生产设施设备，实现全程智能化生产，形成</w:t>
            </w:r>
            <w:r>
              <w:rPr>
                <w:rFonts w:hint="default" w:ascii="Times New Roman" w:hAnsi="Times New Roman" w:eastAsia="宋体" w:cs="Times New Roman"/>
                <w:color w:val="auto"/>
                <w:u w:val="none"/>
                <w:lang w:val="en-US" w:eastAsia="zh-CN"/>
              </w:rPr>
              <w:t>日产菌棒3万</w:t>
            </w:r>
            <w:r>
              <w:rPr>
                <w:rFonts w:hint="eastAsia" w:cs="Times New Roman"/>
                <w:color w:val="auto"/>
                <w:u w:val="none"/>
                <w:lang w:val="en-US" w:eastAsia="zh-CN"/>
              </w:rPr>
              <w:t>棒</w:t>
            </w:r>
            <w:r>
              <w:rPr>
                <w:rFonts w:hint="default" w:ascii="Times New Roman" w:hAnsi="Times New Roman" w:eastAsia="宋体" w:cs="Times New Roman"/>
                <w:color w:val="auto"/>
                <w:u w:val="none"/>
                <w:lang w:val="en-US" w:eastAsia="zh-CN"/>
              </w:rPr>
              <w:t>，</w:t>
            </w:r>
            <w:r>
              <w:rPr>
                <w:rFonts w:hint="default" w:ascii="Times New Roman" w:hAnsi="Times New Roman" w:eastAsia="宋体" w:cs="Times New Roman"/>
                <w:color w:val="auto"/>
                <w:u w:val="none"/>
              </w:rPr>
              <w:t>年产</w:t>
            </w:r>
            <w:r>
              <w:rPr>
                <w:rFonts w:hint="default" w:ascii="Times New Roman" w:hAnsi="Times New Roman" w:eastAsia="宋体" w:cs="Times New Roman"/>
                <w:color w:val="auto"/>
                <w:u w:val="none"/>
                <w:lang w:val="en-US" w:eastAsia="zh-CN"/>
              </w:rPr>
              <w:t>1000万棒平菇菌棒</w:t>
            </w:r>
            <w:r>
              <w:rPr>
                <w:rFonts w:hint="default" w:ascii="Times New Roman" w:hAnsi="Times New Roman" w:eastAsia="宋体" w:cs="Times New Roman"/>
                <w:color w:val="auto"/>
                <w:u w:val="none"/>
              </w:rPr>
              <w:t>能力</w:t>
            </w:r>
            <w:r>
              <w:rPr>
                <w:rFonts w:hint="default" w:ascii="Times New Roman" w:hAnsi="Times New Roman" w:eastAsia="宋体" w:cs="Times New Roman"/>
                <w:color w:val="auto"/>
                <w:u w:val="none"/>
                <w:lang w:eastAsia="zh-CN"/>
              </w:rPr>
              <w:t>，</w:t>
            </w:r>
            <w:r>
              <w:rPr>
                <w:rFonts w:hint="default" w:ascii="Times New Roman" w:hAnsi="Times New Roman" w:eastAsia="宋体" w:cs="Times New Roman"/>
                <w:color w:val="auto"/>
                <w:u w:val="none"/>
              </w:rPr>
              <w:t>涉及品种有平菇、秀珍菇、</w:t>
            </w:r>
            <w:r>
              <w:rPr>
                <w:rFonts w:hint="default" w:ascii="Times New Roman" w:hAnsi="Times New Roman" w:eastAsia="宋体" w:cs="Times New Roman"/>
                <w:color w:val="auto"/>
                <w:u w:val="none"/>
                <w:lang w:val="en-US" w:eastAsia="zh-CN"/>
              </w:rPr>
              <w:t>大杯蕈、白松茸</w:t>
            </w:r>
            <w:r>
              <w:rPr>
                <w:rFonts w:hint="default" w:ascii="Times New Roman" w:hAnsi="Times New Roman" w:eastAsia="宋体" w:cs="Times New Roman"/>
                <w:color w:val="auto"/>
                <w:u w:val="none"/>
              </w:rPr>
              <w:t>、黑皮鸡枞等</w:t>
            </w:r>
            <w:r>
              <w:rPr>
                <w:rFonts w:hint="default" w:ascii="Times New Roman" w:hAnsi="Times New Roman" w:eastAsia="宋体" w:cs="Times New Roman"/>
                <w:color w:val="auto"/>
                <w:u w:val="none"/>
                <w:lang w:eastAsia="zh-CN"/>
              </w:rPr>
              <w:t>，</w:t>
            </w:r>
            <w:r>
              <w:rPr>
                <w:rFonts w:hint="default" w:ascii="Times New Roman" w:hAnsi="Times New Roman" w:eastAsia="宋体" w:cs="Times New Roman"/>
                <w:color w:val="auto"/>
                <w:u w:val="none"/>
                <w:lang w:val="en-US" w:eastAsia="zh-CN"/>
              </w:rPr>
              <w:t>年产鲜菇4600吨</w:t>
            </w:r>
            <w:r>
              <w:rPr>
                <w:rFonts w:hint="default" w:ascii="Times New Roman" w:hAnsi="Times New Roman" w:eastAsia="宋体" w:cs="Times New Roman"/>
                <w:color w:val="auto"/>
                <w:u w:val="none"/>
                <w:lang w:eastAsia="zh-CN"/>
              </w:rPr>
              <w:t>。</w:t>
            </w:r>
          </w:p>
          <w:p>
            <w:pPr>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根据国家颁布的有关环境保护法和对建设项目实行环境影响评价制度的要求，对照《建设项目环境影响评价分类管理名录》（2021年版，生态环境部令第16号），见下表。</w:t>
            </w:r>
          </w:p>
          <w:p>
            <w:pPr>
              <w:pStyle w:val="7"/>
              <w:rPr>
                <w:rFonts w:hint="default" w:ascii="Times New Roman" w:hAnsi="Times New Roman" w:eastAsia="宋体" w:cs="Times New Roman"/>
                <w:color w:val="auto"/>
                <w:kern w:val="0"/>
                <w:sz w:val="21"/>
                <w:u w:val="none"/>
              </w:rPr>
            </w:pPr>
            <w:r>
              <w:rPr>
                <w:rFonts w:hint="default" w:ascii="Times New Roman" w:hAnsi="Times New Roman" w:eastAsia="宋体" w:cs="Times New Roman"/>
                <w:color w:val="auto"/>
                <w:kern w:val="0"/>
                <w:sz w:val="21"/>
                <w:u w:val="none"/>
              </w:rPr>
              <w:t>表2-1 建设项目环境影响评价分类管理名录（2021 年版）</w:t>
            </w:r>
          </w:p>
          <w:tbl>
            <w:tblPr>
              <w:tblStyle w:val="24"/>
              <w:tblW w:w="487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462"/>
              <w:gridCol w:w="1449"/>
              <w:gridCol w:w="1590"/>
              <w:gridCol w:w="3470"/>
              <w:gridCol w:w="11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43" w:hRule="atLeast"/>
              </w:trPr>
              <w:tc>
                <w:tcPr>
                  <w:tcW w:w="1175" w:type="pct"/>
                  <w:gridSpan w:val="2"/>
                  <w:vAlign w:val="center"/>
                </w:tcPr>
                <w:p>
                  <w:pPr>
                    <w:spacing w:line="240" w:lineRule="auto"/>
                    <w:ind w:firstLine="0" w:firstLineChars="0"/>
                    <w:jc w:val="center"/>
                    <w:rPr>
                      <w:rFonts w:hint="default" w:ascii="Times New Roman" w:hAnsi="Times New Roman" w:eastAsia="宋体" w:cs="Times New Roman"/>
                      <w:color w:val="auto"/>
                      <w:sz w:val="21"/>
                      <w:szCs w:val="18"/>
                      <w:u w:val="none"/>
                      <w:lang w:eastAsia="en-US"/>
                    </w:rPr>
                  </w:pPr>
                  <w:r>
                    <w:rPr>
                      <w:rFonts w:hint="default" w:ascii="Times New Roman" w:hAnsi="Times New Roman" w:eastAsia="宋体" w:cs="Times New Roman"/>
                      <w:color w:val="auto"/>
                      <w:sz w:val="21"/>
                      <w:szCs w:val="18"/>
                      <w:u w:val="none"/>
                      <w:lang w:eastAsia="en-US"/>
                      <w14:textOutline w14:w="3263" w14:cap="sq" w14:cmpd="sng" w14:algn="ctr">
                        <w14:solidFill>
                          <w14:srgbClr w14:val="000000"/>
                        </w14:solidFill>
                        <w14:prstDash w14:val="solid"/>
                        <w14:bevel/>
                      </w14:textOutline>
                    </w:rPr>
                    <w:t>序号</w:t>
                  </w:r>
                </w:p>
              </w:tc>
              <w:tc>
                <w:tcPr>
                  <w:tcW w:w="978" w:type="pct"/>
                  <w:vAlign w:val="center"/>
                </w:tcPr>
                <w:p>
                  <w:pPr>
                    <w:spacing w:line="240" w:lineRule="auto"/>
                    <w:ind w:firstLine="0" w:firstLineChars="0"/>
                    <w:jc w:val="center"/>
                    <w:rPr>
                      <w:rFonts w:hint="default" w:ascii="Times New Roman" w:hAnsi="Times New Roman" w:eastAsia="宋体" w:cs="Times New Roman"/>
                      <w:color w:val="auto"/>
                      <w:sz w:val="21"/>
                      <w:szCs w:val="18"/>
                      <w:u w:val="none"/>
                      <w:lang w:eastAsia="en-US"/>
                    </w:rPr>
                  </w:pPr>
                  <w:r>
                    <w:rPr>
                      <w:rFonts w:hint="default" w:ascii="Times New Roman" w:hAnsi="Times New Roman" w:eastAsia="宋体" w:cs="Times New Roman"/>
                      <w:color w:val="auto"/>
                      <w:sz w:val="21"/>
                      <w:szCs w:val="18"/>
                      <w:u w:val="none"/>
                      <w:lang w:eastAsia="en-US"/>
                      <w14:textOutline w14:w="3263" w14:cap="sq" w14:cmpd="sng" w14:algn="ctr">
                        <w14:solidFill>
                          <w14:srgbClr w14:val="000000"/>
                        </w14:solidFill>
                        <w14:prstDash w14:val="solid"/>
                        <w14:bevel/>
                      </w14:textOutline>
                    </w:rPr>
                    <w:t>报告书</w:t>
                  </w:r>
                </w:p>
              </w:tc>
              <w:tc>
                <w:tcPr>
                  <w:tcW w:w="2134" w:type="pct"/>
                  <w:vAlign w:val="center"/>
                </w:tcPr>
                <w:p>
                  <w:pPr>
                    <w:spacing w:line="240" w:lineRule="auto"/>
                    <w:ind w:firstLine="0" w:firstLineChars="0"/>
                    <w:jc w:val="center"/>
                    <w:rPr>
                      <w:rFonts w:hint="default" w:ascii="Times New Roman" w:hAnsi="Times New Roman" w:eastAsia="宋体" w:cs="Times New Roman"/>
                      <w:color w:val="auto"/>
                      <w:sz w:val="21"/>
                      <w:szCs w:val="18"/>
                      <w:u w:val="none"/>
                      <w:lang w:eastAsia="en-US"/>
                    </w:rPr>
                  </w:pPr>
                  <w:r>
                    <w:rPr>
                      <w:rFonts w:hint="default" w:ascii="Times New Roman" w:hAnsi="Times New Roman" w:eastAsia="宋体" w:cs="Times New Roman"/>
                      <w:color w:val="auto"/>
                      <w:sz w:val="21"/>
                      <w:szCs w:val="18"/>
                      <w:u w:val="none"/>
                      <w:lang w:eastAsia="en-US"/>
                      <w14:textOutline w14:w="3263" w14:cap="sq" w14:cmpd="sng" w14:algn="ctr">
                        <w14:solidFill>
                          <w14:srgbClr w14:val="000000"/>
                        </w14:solidFill>
                        <w14:prstDash w14:val="solid"/>
                        <w14:bevel/>
                      </w14:textOutline>
                    </w:rPr>
                    <w:t>报告表</w:t>
                  </w:r>
                </w:p>
              </w:tc>
              <w:tc>
                <w:tcPr>
                  <w:tcW w:w="713" w:type="pct"/>
                  <w:vAlign w:val="center"/>
                </w:tcPr>
                <w:p>
                  <w:pPr>
                    <w:spacing w:line="240" w:lineRule="auto"/>
                    <w:ind w:firstLine="0" w:firstLineChars="0"/>
                    <w:jc w:val="center"/>
                    <w:rPr>
                      <w:rFonts w:hint="default" w:ascii="Times New Roman" w:hAnsi="Times New Roman" w:eastAsia="宋体" w:cs="Times New Roman"/>
                      <w:color w:val="auto"/>
                      <w:sz w:val="21"/>
                      <w:szCs w:val="18"/>
                      <w:u w:val="none"/>
                      <w:lang w:eastAsia="en-US"/>
                    </w:rPr>
                  </w:pPr>
                  <w:r>
                    <w:rPr>
                      <w:rFonts w:hint="default" w:ascii="Times New Roman" w:hAnsi="Times New Roman" w:eastAsia="宋体" w:cs="Times New Roman"/>
                      <w:color w:val="auto"/>
                      <w:sz w:val="21"/>
                      <w:szCs w:val="18"/>
                      <w:u w:val="none"/>
                      <w:lang w:eastAsia="en-US"/>
                      <w14:textOutline w14:w="3263" w14:cap="sq" w14:cmpd="sng" w14:algn="ctr">
                        <w14:solidFill>
                          <w14:srgbClr w14:val="000000"/>
                        </w14:solidFill>
                        <w14:prstDash w14:val="solid"/>
                        <w14:bevel/>
                      </w14:textOutline>
                    </w:rPr>
                    <w:t>登记表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37" w:hRule="atLeast"/>
              </w:trPr>
              <w:tc>
                <w:tcPr>
                  <w:tcW w:w="5000" w:type="pct"/>
                  <w:gridSpan w:val="5"/>
                  <w:vAlign w:val="center"/>
                </w:tcPr>
                <w:p>
                  <w:pPr>
                    <w:spacing w:line="240" w:lineRule="auto"/>
                    <w:ind w:firstLine="0" w:firstLineChars="0"/>
                    <w:jc w:val="center"/>
                    <w:rPr>
                      <w:rFonts w:hint="default" w:ascii="Times New Roman" w:hAnsi="Times New Roman" w:eastAsia="宋体" w:cs="Times New Roman"/>
                      <w:color w:val="auto"/>
                      <w:sz w:val="21"/>
                      <w:szCs w:val="18"/>
                      <w:u w:val="none"/>
                      <w:lang w:val="en-US" w:eastAsia="zh-CN"/>
                    </w:rPr>
                  </w:pPr>
                  <w:r>
                    <w:rPr>
                      <w:rFonts w:hint="default" w:ascii="Times New Roman" w:hAnsi="Times New Roman" w:eastAsia="宋体" w:cs="Times New Roman"/>
                      <w:color w:val="auto"/>
                      <w:sz w:val="21"/>
                      <w:szCs w:val="18"/>
                      <w:u w:val="none"/>
                      <w:lang w:val="en-US" w:eastAsia="zh-CN"/>
                    </w:rPr>
                    <w:t>一</w:t>
                  </w:r>
                  <w:r>
                    <w:rPr>
                      <w:rFonts w:hint="default" w:ascii="Times New Roman" w:hAnsi="Times New Roman" w:eastAsia="宋体" w:cs="Times New Roman"/>
                      <w:color w:val="auto"/>
                      <w:sz w:val="21"/>
                      <w:szCs w:val="18"/>
                      <w:u w:val="none"/>
                      <w:lang w:eastAsia="en-US"/>
                    </w:rPr>
                    <w:t>、</w:t>
                  </w:r>
                  <w:r>
                    <w:rPr>
                      <w:rFonts w:hint="default" w:ascii="Times New Roman" w:hAnsi="Times New Roman" w:eastAsia="宋体" w:cs="Times New Roman"/>
                      <w:color w:val="auto"/>
                      <w:sz w:val="21"/>
                      <w:szCs w:val="18"/>
                      <w:u w:val="none"/>
                      <w:lang w:val="en-US" w:eastAsia="zh-CN"/>
                    </w:rPr>
                    <w:t>农业01、林业02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04" w:hRule="atLeast"/>
              </w:trPr>
              <w:tc>
                <w:tcPr>
                  <w:tcW w:w="284" w:type="pct"/>
                  <w:vAlign w:val="center"/>
                </w:tcPr>
                <w:p>
                  <w:pPr>
                    <w:spacing w:line="240" w:lineRule="auto"/>
                    <w:ind w:firstLine="0" w:firstLineChars="0"/>
                    <w:jc w:val="center"/>
                    <w:rPr>
                      <w:rFonts w:hint="default" w:ascii="Times New Roman" w:hAnsi="Times New Roman" w:eastAsia="宋体" w:cs="Times New Roman"/>
                      <w:color w:val="auto"/>
                      <w:sz w:val="21"/>
                      <w:szCs w:val="18"/>
                      <w:u w:val="none"/>
                      <w:lang w:eastAsia="zh-CN"/>
                    </w:rPr>
                  </w:pPr>
                  <w:r>
                    <w:rPr>
                      <w:rFonts w:hint="default" w:ascii="Times New Roman" w:hAnsi="Times New Roman" w:eastAsia="宋体" w:cs="Times New Roman"/>
                      <w:color w:val="auto"/>
                      <w:sz w:val="21"/>
                      <w:szCs w:val="18"/>
                      <w:u w:val="none"/>
                      <w:lang w:val="en-US" w:eastAsia="zh-CN"/>
                    </w:rPr>
                    <w:t>1</w:t>
                  </w:r>
                </w:p>
              </w:tc>
              <w:tc>
                <w:tcPr>
                  <w:tcW w:w="891" w:type="pct"/>
                  <w:vAlign w:val="center"/>
                </w:tcPr>
                <w:p>
                  <w:pPr>
                    <w:spacing w:line="240" w:lineRule="auto"/>
                    <w:ind w:firstLine="0" w:firstLineChars="0"/>
                    <w:jc w:val="center"/>
                    <w:rPr>
                      <w:rFonts w:hint="default" w:ascii="Times New Roman" w:hAnsi="Times New Roman" w:eastAsia="宋体" w:cs="Times New Roman"/>
                      <w:color w:val="auto"/>
                      <w:sz w:val="21"/>
                      <w:szCs w:val="18"/>
                      <w:u w:val="none"/>
                      <w:lang w:val="en-US" w:eastAsia="zh-CN"/>
                    </w:rPr>
                  </w:pPr>
                  <w:r>
                    <w:rPr>
                      <w:rFonts w:hint="default" w:ascii="Times New Roman" w:hAnsi="Times New Roman" w:eastAsia="宋体" w:cs="Times New Roman"/>
                      <w:color w:val="auto"/>
                      <w:sz w:val="21"/>
                      <w:szCs w:val="18"/>
                      <w:u w:val="none"/>
                      <w:lang w:val="en-US" w:eastAsia="zh-CN"/>
                    </w:rPr>
                    <w:t>农产品基地项目（含药材基地）</w:t>
                  </w:r>
                </w:p>
              </w:tc>
              <w:tc>
                <w:tcPr>
                  <w:tcW w:w="978" w:type="pct"/>
                  <w:vAlign w:val="center"/>
                </w:tcPr>
                <w:p>
                  <w:pPr>
                    <w:spacing w:line="240" w:lineRule="auto"/>
                    <w:ind w:firstLine="0" w:firstLineChars="0"/>
                    <w:jc w:val="center"/>
                    <w:rPr>
                      <w:rFonts w:hint="default" w:ascii="Times New Roman" w:hAnsi="Times New Roman" w:eastAsia="宋体" w:cs="Times New Roman"/>
                      <w:color w:val="auto"/>
                      <w:sz w:val="21"/>
                      <w:szCs w:val="18"/>
                      <w:u w:val="none"/>
                      <w:lang w:val="en-US" w:eastAsia="zh-CN"/>
                    </w:rPr>
                  </w:pPr>
                  <w:r>
                    <w:rPr>
                      <w:rFonts w:hint="default" w:ascii="Times New Roman" w:hAnsi="Times New Roman" w:eastAsia="宋体" w:cs="Times New Roman"/>
                      <w:color w:val="auto"/>
                      <w:sz w:val="21"/>
                      <w:szCs w:val="18"/>
                      <w:u w:val="none"/>
                      <w:lang w:val="en-US" w:eastAsia="zh-CN"/>
                    </w:rPr>
                    <w:t>/</w:t>
                  </w:r>
                </w:p>
              </w:tc>
              <w:tc>
                <w:tcPr>
                  <w:tcW w:w="2134" w:type="pct"/>
                  <w:vAlign w:val="center"/>
                </w:tcPr>
                <w:p>
                  <w:pPr>
                    <w:spacing w:line="240" w:lineRule="auto"/>
                    <w:ind w:firstLine="0" w:firstLineChars="0"/>
                    <w:jc w:val="center"/>
                    <w:rPr>
                      <w:rFonts w:hint="default" w:ascii="Times New Roman" w:hAnsi="Times New Roman" w:eastAsia="宋体" w:cs="Times New Roman"/>
                      <w:color w:val="auto"/>
                      <w:sz w:val="21"/>
                      <w:szCs w:val="18"/>
                      <w:u w:val="none"/>
                      <w:lang w:val="en-US" w:eastAsia="zh-CN"/>
                    </w:rPr>
                  </w:pPr>
                  <w:r>
                    <w:rPr>
                      <w:rFonts w:hint="default" w:ascii="Times New Roman" w:hAnsi="Times New Roman" w:eastAsia="宋体" w:cs="Times New Roman"/>
                      <w:color w:val="auto"/>
                      <w:sz w:val="21"/>
                      <w:szCs w:val="18"/>
                      <w:u w:val="none"/>
                      <w:lang w:val="en-US" w:eastAsia="zh-CN"/>
                    </w:rPr>
                    <w:t>涉及环境敏感区</w:t>
                  </w:r>
                </w:p>
              </w:tc>
              <w:tc>
                <w:tcPr>
                  <w:tcW w:w="713" w:type="pct"/>
                  <w:vAlign w:val="center"/>
                </w:tcPr>
                <w:p>
                  <w:pPr>
                    <w:spacing w:line="240" w:lineRule="auto"/>
                    <w:ind w:firstLine="0" w:firstLineChars="0"/>
                    <w:jc w:val="center"/>
                    <w:rPr>
                      <w:rFonts w:hint="default" w:ascii="Times New Roman" w:hAnsi="Times New Roman" w:eastAsia="宋体" w:cs="Times New Roman"/>
                      <w:color w:val="auto"/>
                      <w:sz w:val="21"/>
                      <w:szCs w:val="18"/>
                      <w:u w:val="none"/>
                      <w:lang w:eastAsia="zh-CN"/>
                    </w:rPr>
                  </w:pPr>
                  <w:r>
                    <w:rPr>
                      <w:rFonts w:hint="default" w:ascii="Times New Roman" w:hAnsi="Times New Roman" w:eastAsia="宋体" w:cs="Times New Roman"/>
                      <w:color w:val="auto"/>
                      <w:sz w:val="21"/>
                      <w:szCs w:val="18"/>
                      <w:u w:val="none"/>
                      <w:lang w:val="en-US" w:eastAsia="zh-CN"/>
                    </w:rPr>
                    <w:t>其他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38" w:hRule="atLeast"/>
              </w:trPr>
              <w:tc>
                <w:tcPr>
                  <w:tcW w:w="5000" w:type="pct"/>
                  <w:gridSpan w:val="5"/>
                  <w:vAlign w:val="center"/>
                </w:tcPr>
                <w:p>
                  <w:pPr>
                    <w:spacing w:line="240" w:lineRule="auto"/>
                    <w:ind w:firstLine="0" w:firstLineChars="0"/>
                    <w:jc w:val="center"/>
                    <w:rPr>
                      <w:rFonts w:hint="default" w:ascii="Times New Roman" w:hAnsi="Times New Roman" w:eastAsia="宋体" w:cs="Times New Roman"/>
                      <w:color w:val="auto"/>
                      <w:sz w:val="21"/>
                      <w:szCs w:val="18"/>
                      <w:u w:val="none"/>
                    </w:rPr>
                  </w:pPr>
                  <w:r>
                    <w:rPr>
                      <w:rFonts w:hint="default" w:ascii="Times New Roman" w:hAnsi="Times New Roman" w:eastAsia="宋体" w:cs="Times New Roman"/>
                      <w:color w:val="auto"/>
                      <w:sz w:val="21"/>
                      <w:szCs w:val="18"/>
                      <w:u w:val="none"/>
                    </w:rPr>
                    <w:t>四十一、电力、热力生产和供应业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75" w:hRule="atLeast"/>
              </w:trPr>
              <w:tc>
                <w:tcPr>
                  <w:tcW w:w="284" w:type="pct"/>
                  <w:vAlign w:val="center"/>
                </w:tcPr>
                <w:p>
                  <w:pPr>
                    <w:spacing w:line="240" w:lineRule="auto"/>
                    <w:ind w:firstLine="0" w:firstLineChars="0"/>
                    <w:jc w:val="center"/>
                    <w:rPr>
                      <w:rFonts w:hint="default" w:ascii="Times New Roman" w:hAnsi="Times New Roman" w:eastAsia="宋体" w:cs="Times New Roman"/>
                      <w:color w:val="auto"/>
                      <w:sz w:val="21"/>
                      <w:szCs w:val="18"/>
                      <w:u w:val="none"/>
                      <w:lang w:eastAsia="en-US"/>
                    </w:rPr>
                  </w:pPr>
                  <w:r>
                    <w:rPr>
                      <w:rFonts w:hint="default" w:ascii="Times New Roman" w:hAnsi="Times New Roman" w:eastAsia="宋体" w:cs="Times New Roman"/>
                      <w:color w:val="auto"/>
                      <w:sz w:val="21"/>
                      <w:szCs w:val="18"/>
                      <w:u w:val="none"/>
                      <w:lang w:eastAsia="en-US"/>
                    </w:rPr>
                    <w:t>91</w:t>
                  </w:r>
                </w:p>
              </w:tc>
              <w:tc>
                <w:tcPr>
                  <w:tcW w:w="891" w:type="pct"/>
                  <w:vAlign w:val="center"/>
                </w:tcPr>
                <w:p>
                  <w:pPr>
                    <w:spacing w:line="240" w:lineRule="auto"/>
                    <w:ind w:firstLine="0" w:firstLineChars="0"/>
                    <w:jc w:val="center"/>
                    <w:rPr>
                      <w:rFonts w:hint="default" w:ascii="Times New Roman" w:hAnsi="Times New Roman" w:eastAsia="宋体" w:cs="Times New Roman"/>
                      <w:color w:val="auto"/>
                      <w:sz w:val="21"/>
                      <w:szCs w:val="18"/>
                      <w:u w:val="none"/>
                    </w:rPr>
                  </w:pPr>
                  <w:r>
                    <w:rPr>
                      <w:rFonts w:hint="default" w:ascii="Times New Roman" w:hAnsi="Times New Roman" w:eastAsia="宋体" w:cs="Times New Roman"/>
                      <w:color w:val="auto"/>
                      <w:sz w:val="21"/>
                      <w:szCs w:val="18"/>
                      <w:u w:val="none"/>
                    </w:rPr>
                    <w:t>热力生产和供应工程（包括建设单位自建自用的供热工程）</w:t>
                  </w:r>
                </w:p>
              </w:tc>
              <w:tc>
                <w:tcPr>
                  <w:tcW w:w="978" w:type="pct"/>
                  <w:vAlign w:val="center"/>
                </w:tcPr>
                <w:p>
                  <w:pPr>
                    <w:spacing w:line="240" w:lineRule="auto"/>
                    <w:ind w:firstLine="0" w:firstLineChars="0"/>
                    <w:jc w:val="center"/>
                    <w:rPr>
                      <w:rFonts w:hint="default" w:ascii="Times New Roman" w:hAnsi="Times New Roman" w:eastAsia="宋体" w:cs="Times New Roman"/>
                      <w:color w:val="auto"/>
                      <w:sz w:val="21"/>
                      <w:szCs w:val="18"/>
                      <w:u w:val="none"/>
                    </w:rPr>
                  </w:pPr>
                  <w:r>
                    <w:rPr>
                      <w:rFonts w:hint="default" w:ascii="Times New Roman" w:hAnsi="Times New Roman" w:eastAsia="宋体" w:cs="Times New Roman"/>
                      <w:color w:val="auto"/>
                      <w:sz w:val="21"/>
                      <w:szCs w:val="18"/>
                      <w:u w:val="none"/>
                    </w:rPr>
                    <w:t>燃煤、燃油锅炉总容量65吨/小时（45.5兆瓦）以上的</w:t>
                  </w:r>
                </w:p>
              </w:tc>
              <w:tc>
                <w:tcPr>
                  <w:tcW w:w="2134" w:type="pct"/>
                  <w:vAlign w:val="center"/>
                </w:tcPr>
                <w:p>
                  <w:pPr>
                    <w:spacing w:line="240" w:lineRule="auto"/>
                    <w:ind w:firstLine="0" w:firstLineChars="0"/>
                    <w:jc w:val="center"/>
                    <w:rPr>
                      <w:rFonts w:hint="default" w:ascii="Times New Roman" w:hAnsi="Times New Roman" w:eastAsia="宋体" w:cs="Times New Roman"/>
                      <w:color w:val="auto"/>
                      <w:sz w:val="21"/>
                      <w:szCs w:val="18"/>
                      <w:u w:val="none"/>
                    </w:rPr>
                  </w:pPr>
                  <w:r>
                    <w:rPr>
                      <w:rFonts w:hint="default" w:ascii="Times New Roman" w:hAnsi="Times New Roman" w:eastAsia="宋体" w:cs="Times New Roman"/>
                      <w:color w:val="auto"/>
                      <w:sz w:val="21"/>
                      <w:szCs w:val="18"/>
                      <w:u w:val="none"/>
                    </w:rPr>
                    <w:t>燃煤、燃油锅炉总容量65吨/小时（45.5兆瓦）及以下的；天然气锅炉总容量1吨/小时（0.7兆瓦）以上的；使用其他高污染燃料的（高污染燃料指国环规大气〔2017〕2号《高污染燃料目录》中规定的燃料）</w:t>
                  </w:r>
                </w:p>
              </w:tc>
              <w:tc>
                <w:tcPr>
                  <w:tcW w:w="713" w:type="pct"/>
                  <w:vAlign w:val="center"/>
                </w:tcPr>
                <w:p>
                  <w:pPr>
                    <w:spacing w:line="240" w:lineRule="auto"/>
                    <w:ind w:firstLine="0" w:firstLineChars="0"/>
                    <w:jc w:val="center"/>
                    <w:rPr>
                      <w:rFonts w:hint="default" w:ascii="Times New Roman" w:hAnsi="Times New Roman" w:eastAsia="宋体" w:cs="Times New Roman"/>
                      <w:color w:val="auto"/>
                      <w:sz w:val="21"/>
                      <w:szCs w:val="18"/>
                      <w:u w:val="none"/>
                    </w:rPr>
                  </w:pPr>
                  <w:r>
                    <w:rPr>
                      <w:rFonts w:hint="default" w:ascii="Times New Roman" w:hAnsi="Times New Roman" w:eastAsia="宋体" w:cs="Times New Roman"/>
                      <w:color w:val="auto"/>
                      <w:sz w:val="21"/>
                      <w:szCs w:val="18"/>
                      <w:u w:val="none"/>
                    </w:rPr>
                    <w:t>/</w:t>
                  </w:r>
                </w:p>
              </w:tc>
            </w:tr>
          </w:tbl>
          <w:p>
            <w:pPr>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lang w:eastAsia="zh-CN"/>
              </w:rPr>
              <w:t>湘阴县惠丰农业投资开发有限公司湘阴县食用菌产业融合示范区建设项目</w:t>
            </w:r>
            <w:r>
              <w:rPr>
                <w:rFonts w:hint="default" w:ascii="Times New Roman" w:hAnsi="Times New Roman" w:eastAsia="宋体" w:cs="Times New Roman"/>
                <w:color w:val="auto"/>
                <w:u w:val="none"/>
              </w:rPr>
              <w:t>属于</w:t>
            </w:r>
            <w:r>
              <w:rPr>
                <w:rFonts w:hint="default" w:ascii="Times New Roman" w:hAnsi="Times New Roman" w:eastAsia="宋体" w:cs="Times New Roman"/>
                <w:color w:val="auto"/>
                <w:szCs w:val="21"/>
                <w:u w:val="none"/>
              </w:rPr>
              <w:t>A0142食用菌种植</w:t>
            </w:r>
            <w:r>
              <w:rPr>
                <w:rFonts w:hint="default" w:ascii="Times New Roman" w:hAnsi="Times New Roman" w:eastAsia="宋体" w:cs="Times New Roman"/>
                <w:color w:val="auto"/>
                <w:u w:val="none"/>
              </w:rPr>
              <w:t>。根据《建设项目环境影响评价分类管理名录》中“</w:t>
            </w:r>
            <w:r>
              <w:rPr>
                <w:rFonts w:hint="default" w:ascii="Times New Roman" w:hAnsi="Times New Roman" w:eastAsia="宋体" w:cs="Times New Roman"/>
                <w:color w:val="auto"/>
                <w:u w:val="none"/>
                <w:lang w:val="en-US" w:eastAsia="zh-CN"/>
              </w:rPr>
              <w:t>一</w:t>
            </w:r>
            <w:r>
              <w:rPr>
                <w:rFonts w:hint="default" w:ascii="Times New Roman" w:hAnsi="Times New Roman" w:eastAsia="宋体" w:cs="Times New Roman"/>
                <w:color w:val="auto"/>
                <w:u w:val="none"/>
                <w:lang w:eastAsia="en-US"/>
              </w:rPr>
              <w:t>、</w:t>
            </w:r>
            <w:r>
              <w:rPr>
                <w:rFonts w:hint="default" w:ascii="Times New Roman" w:hAnsi="Times New Roman" w:eastAsia="宋体" w:cs="Times New Roman"/>
                <w:color w:val="auto"/>
                <w:u w:val="none"/>
                <w:lang w:val="en-US" w:eastAsia="zh-CN"/>
              </w:rPr>
              <w:t>农业01、林业02</w:t>
            </w:r>
            <w:r>
              <w:rPr>
                <w:rFonts w:hint="eastAsia" w:cs="Times New Roman"/>
                <w:color w:val="auto"/>
                <w:u w:val="none"/>
                <w:lang w:val="en-US" w:eastAsia="zh-CN"/>
              </w:rPr>
              <w:t>-农产品基地项目</w:t>
            </w:r>
            <w:r>
              <w:rPr>
                <w:rFonts w:hint="default" w:ascii="Times New Roman" w:hAnsi="Times New Roman" w:eastAsia="宋体" w:cs="Times New Roman"/>
                <w:color w:val="auto"/>
                <w:u w:val="none"/>
              </w:rPr>
              <w:t>”，本项目食用菌</w:t>
            </w:r>
            <w:r>
              <w:rPr>
                <w:rFonts w:hint="default" w:ascii="Times New Roman" w:hAnsi="Times New Roman" w:eastAsia="宋体" w:cs="Times New Roman"/>
                <w:color w:val="auto"/>
                <w:u w:val="none"/>
                <w:lang w:val="en-US" w:eastAsia="zh-CN"/>
              </w:rPr>
              <w:t>种植</w:t>
            </w:r>
            <w:r>
              <w:rPr>
                <w:rFonts w:hint="eastAsia" w:cs="Times New Roman"/>
                <w:color w:val="auto"/>
                <w:u w:val="none"/>
                <w:lang w:val="en-US" w:eastAsia="zh-CN"/>
              </w:rPr>
              <w:t>基地，不涉及环境敏感区，</w:t>
            </w:r>
            <w:r>
              <w:rPr>
                <w:rFonts w:hint="default" w:ascii="Times New Roman" w:hAnsi="Times New Roman" w:eastAsia="宋体" w:cs="Times New Roman"/>
                <w:color w:val="auto"/>
                <w:u w:val="none"/>
              </w:rPr>
              <w:t>无需进行环境影响评价；但本项目涉及使用1台</w:t>
            </w:r>
            <w:r>
              <w:rPr>
                <w:rFonts w:hint="eastAsia" w:ascii="宋体" w:hAnsi="宋体" w:cs="宋体"/>
                <w:color w:val="auto"/>
                <w:kern w:val="0"/>
                <w:sz w:val="24"/>
                <w:szCs w:val="24"/>
                <w:u w:val="none"/>
                <w:lang w:val="en-US" w:eastAsia="zh-CN" w:bidi="ar"/>
              </w:rPr>
              <w:t>6t/h</w:t>
            </w:r>
            <w:r>
              <w:rPr>
                <w:rFonts w:hint="eastAsia" w:ascii="宋体" w:hAnsi="宋体" w:eastAsia="宋体" w:cs="宋体"/>
                <w:color w:val="auto"/>
                <w:kern w:val="0"/>
                <w:sz w:val="24"/>
                <w:szCs w:val="24"/>
                <w:u w:val="none"/>
                <w:lang w:val="en-US" w:eastAsia="zh-CN" w:bidi="ar"/>
              </w:rPr>
              <w:t>卧式</w:t>
            </w:r>
            <w:r>
              <w:rPr>
                <w:rFonts w:hint="eastAsia" w:ascii="宋体" w:hAnsi="宋体" w:cs="宋体"/>
                <w:color w:val="auto"/>
                <w:kern w:val="0"/>
                <w:sz w:val="24"/>
                <w:szCs w:val="24"/>
                <w:u w:val="none"/>
                <w:lang w:val="en-US" w:eastAsia="zh-CN" w:bidi="ar"/>
              </w:rPr>
              <w:t>层</w:t>
            </w:r>
            <w:r>
              <w:rPr>
                <w:rFonts w:hint="eastAsia" w:ascii="宋体" w:hAnsi="宋体" w:eastAsia="宋体" w:cs="宋体"/>
                <w:color w:val="auto"/>
                <w:kern w:val="0"/>
                <w:sz w:val="24"/>
                <w:szCs w:val="24"/>
                <w:u w:val="none"/>
                <w:lang w:val="en-US" w:eastAsia="zh-CN" w:bidi="ar"/>
              </w:rPr>
              <w:t>燃</w:t>
            </w:r>
            <w:r>
              <w:rPr>
                <w:rFonts w:hint="eastAsia" w:ascii="宋体" w:hAnsi="宋体" w:cs="宋体"/>
                <w:color w:val="auto"/>
                <w:kern w:val="0"/>
                <w:sz w:val="24"/>
                <w:szCs w:val="24"/>
                <w:u w:val="none"/>
                <w:lang w:val="en-US" w:eastAsia="zh-CN" w:bidi="ar"/>
              </w:rPr>
              <w:t>式</w:t>
            </w:r>
            <w:r>
              <w:rPr>
                <w:rFonts w:hint="eastAsia" w:ascii="宋体" w:hAnsi="宋体" w:eastAsia="宋体" w:cs="宋体"/>
                <w:color w:val="auto"/>
                <w:kern w:val="0"/>
                <w:sz w:val="24"/>
                <w:szCs w:val="24"/>
                <w:u w:val="none"/>
                <w:lang w:val="en-US" w:eastAsia="zh-CN" w:bidi="ar"/>
              </w:rPr>
              <w:t>生物质蒸汽锅炉</w:t>
            </w:r>
            <w:r>
              <w:rPr>
                <w:rFonts w:hint="eastAsia" w:ascii="宋体" w:hAnsi="宋体" w:cs="宋体"/>
                <w:color w:val="auto"/>
                <w:kern w:val="0"/>
                <w:sz w:val="24"/>
                <w:szCs w:val="24"/>
                <w:u w:val="none"/>
                <w:lang w:val="en-US" w:eastAsia="zh-CN" w:bidi="ar"/>
              </w:rPr>
              <w:t>，型号为SZL6-1.25-S</w:t>
            </w:r>
            <w:r>
              <w:rPr>
                <w:rFonts w:hint="default" w:ascii="Times New Roman" w:hAnsi="Times New Roman" w:eastAsia="宋体" w:cs="Times New Roman"/>
                <w:color w:val="auto"/>
                <w:u w:val="none"/>
              </w:rPr>
              <w:t>，属于“四十一、电力、热力生产和供应业-热力生产和供应工程（包括建设单位自建自用的供热工程）中的“燃煤、燃油锅炉总容量65吨/小时（45.5兆瓦）及以下的；天然气锅炉总容量1吨/小时（0.7兆瓦）以上的；使用其他高污染燃料的（高污染燃料指国环规大气〔2017〕2号《高污染燃料目录》中规定的燃料）”。因此确定本项目应编制环境影响报告表。受项目业主单位的委托，本公司承担</w:t>
            </w:r>
            <w:r>
              <w:rPr>
                <w:rFonts w:hint="eastAsia" w:cs="Times New Roman"/>
                <w:color w:val="auto"/>
                <w:u w:val="none"/>
                <w:lang w:val="en-US" w:eastAsia="zh-CN"/>
              </w:rPr>
              <w:t>本</w:t>
            </w:r>
            <w:r>
              <w:rPr>
                <w:rFonts w:hint="default" w:ascii="Times New Roman" w:hAnsi="Times New Roman" w:eastAsia="宋体" w:cs="Times New Roman"/>
                <w:color w:val="auto"/>
                <w:u w:val="none"/>
              </w:rPr>
              <w:t>项目的环境影响评价工作，在现场踏勘、资料收集和调查研究的基础上编写了本项目环境影响报告表。</w:t>
            </w:r>
          </w:p>
          <w:p>
            <w:pPr>
              <w:ind w:firstLine="482"/>
              <w:rPr>
                <w:rFonts w:hint="default" w:ascii="Times New Roman" w:hAnsi="Times New Roman" w:eastAsia="宋体" w:cs="Times New Roman"/>
                <w:b/>
                <w:bCs/>
                <w:color w:val="auto"/>
                <w:u w:val="none"/>
              </w:rPr>
            </w:pPr>
            <w:r>
              <w:rPr>
                <w:rFonts w:hint="default" w:ascii="Times New Roman" w:hAnsi="Times New Roman" w:eastAsia="宋体" w:cs="Times New Roman"/>
                <w:b/>
                <w:bCs/>
                <w:color w:val="auto"/>
                <w:u w:val="none"/>
              </w:rPr>
              <w:t>2、项目概况</w:t>
            </w:r>
          </w:p>
          <w:p>
            <w:pPr>
              <w:ind w:firstLine="480"/>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rPr>
              <w:t>（1）项目名称：</w:t>
            </w:r>
            <w:r>
              <w:rPr>
                <w:rFonts w:hint="default" w:ascii="Times New Roman" w:hAnsi="Times New Roman" w:eastAsia="宋体" w:cs="Times New Roman"/>
                <w:color w:val="auto"/>
                <w:u w:val="none"/>
                <w:lang w:eastAsia="zh-CN"/>
              </w:rPr>
              <w:t>湘阴县食用菌产业融合示范区建设项目</w:t>
            </w:r>
          </w:p>
          <w:p>
            <w:pPr>
              <w:ind w:firstLine="480"/>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rPr>
              <w:t>（2）建设单位：</w:t>
            </w:r>
            <w:r>
              <w:rPr>
                <w:rFonts w:hint="default" w:ascii="Times New Roman" w:hAnsi="Times New Roman" w:eastAsia="宋体" w:cs="Times New Roman"/>
                <w:color w:val="auto"/>
                <w:u w:val="none"/>
                <w:lang w:eastAsia="zh-CN"/>
              </w:rPr>
              <w:t>湘阴县惠丰农业投资开发有限公司</w:t>
            </w:r>
          </w:p>
          <w:p>
            <w:pPr>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（3）建设性质：新建</w:t>
            </w:r>
          </w:p>
          <w:p>
            <w:pPr>
              <w:ind w:firstLine="480"/>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rPr>
              <w:t>（4）建设地点：</w:t>
            </w:r>
            <w:r>
              <w:rPr>
                <w:rFonts w:hint="default" w:ascii="Times New Roman" w:hAnsi="Times New Roman" w:eastAsia="宋体" w:cs="Times New Roman"/>
                <w:color w:val="auto"/>
                <w:szCs w:val="21"/>
                <w:u w:val="none"/>
                <w:lang w:eastAsia="zh-CN"/>
              </w:rPr>
              <w:t>湘阴县杨林寨乡太和围村</w:t>
            </w:r>
          </w:p>
          <w:p>
            <w:pPr>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（5）总投资：</w:t>
            </w:r>
            <w:r>
              <w:rPr>
                <w:rFonts w:hint="default" w:ascii="Times New Roman" w:hAnsi="Times New Roman" w:eastAsia="宋体" w:cs="Times New Roman"/>
                <w:color w:val="auto"/>
                <w:u w:val="none"/>
                <w:lang w:eastAsia="zh-CN"/>
              </w:rPr>
              <w:t>19675.46</w:t>
            </w:r>
            <w:r>
              <w:rPr>
                <w:rFonts w:hint="default" w:ascii="Times New Roman" w:hAnsi="Times New Roman" w:eastAsia="宋体" w:cs="Times New Roman"/>
                <w:color w:val="auto"/>
                <w:u w:val="none"/>
              </w:rPr>
              <w:t>万元</w:t>
            </w:r>
          </w:p>
          <w:p>
            <w:pPr>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（6）工作制度：年生产时间</w:t>
            </w:r>
            <w:r>
              <w:rPr>
                <w:rFonts w:hint="default" w:ascii="Times New Roman" w:hAnsi="Times New Roman" w:eastAsia="宋体" w:cs="Times New Roman"/>
                <w:color w:val="auto"/>
                <w:u w:val="none"/>
                <w:lang w:val="en-US" w:eastAsia="zh-CN"/>
              </w:rPr>
              <w:t>330</w:t>
            </w:r>
            <w:r>
              <w:rPr>
                <w:rFonts w:hint="default" w:ascii="Times New Roman" w:hAnsi="Times New Roman" w:eastAsia="宋体" w:cs="Times New Roman"/>
                <w:color w:val="auto"/>
                <w:u w:val="none"/>
              </w:rPr>
              <w:t>天，工作制度为一班制，8h/班，全年生产时间为</w:t>
            </w:r>
            <w:r>
              <w:rPr>
                <w:rFonts w:hint="default" w:ascii="Times New Roman" w:hAnsi="Times New Roman" w:eastAsia="宋体" w:cs="Times New Roman"/>
                <w:color w:val="auto"/>
                <w:u w:val="none"/>
                <w:lang w:val="en-US" w:eastAsia="zh-CN"/>
              </w:rPr>
              <w:t>2640</w:t>
            </w:r>
            <w:r>
              <w:rPr>
                <w:rFonts w:hint="default" w:ascii="Times New Roman" w:hAnsi="Times New Roman" w:eastAsia="宋体" w:cs="Times New Roman"/>
                <w:color w:val="auto"/>
                <w:u w:val="none"/>
              </w:rPr>
              <w:t>h，项目夜间不生产。</w:t>
            </w:r>
          </w:p>
          <w:p>
            <w:pPr>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（7）主要产品及产能</w:t>
            </w:r>
          </w:p>
          <w:p>
            <w:pPr>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本项目产品方案见下表。</w:t>
            </w:r>
          </w:p>
          <w:p>
            <w:pPr>
              <w:pStyle w:val="7"/>
              <w:rPr>
                <w:rStyle w:val="46"/>
                <w:rFonts w:hint="default" w:ascii="Times New Roman" w:hAnsi="Times New Roman" w:eastAsia="宋体" w:cs="Times New Roman"/>
                <w:b/>
                <w:color w:val="auto"/>
                <w:kern w:val="0"/>
                <w:sz w:val="21"/>
                <w:u w:val="none"/>
              </w:rPr>
            </w:pPr>
            <w:r>
              <w:rPr>
                <w:rFonts w:hint="default" w:ascii="Times New Roman" w:hAnsi="Times New Roman" w:eastAsia="宋体" w:cs="Times New Roman"/>
                <w:color w:val="auto"/>
                <w:kern w:val="0"/>
                <w:sz w:val="21"/>
                <w:u w:val="none"/>
              </w:rPr>
              <w:t>表2-</w:t>
            </w:r>
            <w:r>
              <w:rPr>
                <w:rFonts w:hint="default" w:ascii="Times New Roman" w:hAnsi="Times New Roman" w:eastAsia="宋体" w:cs="Times New Roman"/>
                <w:color w:val="auto"/>
                <w:kern w:val="0"/>
                <w:sz w:val="21"/>
                <w:u w:val="none"/>
                <w:lang w:val="en-US" w:eastAsia="zh-CN"/>
              </w:rPr>
              <w:t>2</w:t>
            </w:r>
            <w:r>
              <w:rPr>
                <w:rStyle w:val="46"/>
                <w:rFonts w:hint="default" w:ascii="Times New Roman" w:hAnsi="Times New Roman" w:eastAsia="宋体" w:cs="Times New Roman"/>
                <w:b/>
                <w:color w:val="auto"/>
                <w:kern w:val="0"/>
                <w:sz w:val="21"/>
                <w:u w:val="none"/>
              </w:rPr>
              <w:t>项目产品规模一览表</w:t>
            </w:r>
          </w:p>
          <w:tbl>
            <w:tblPr>
              <w:tblStyle w:val="25"/>
              <w:tblW w:w="48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2065"/>
              <w:gridCol w:w="1001"/>
              <w:gridCol w:w="1082"/>
              <w:gridCol w:w="1464"/>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54" w:type="pct"/>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序号</w:t>
                  </w:r>
                </w:p>
              </w:tc>
              <w:tc>
                <w:tcPr>
                  <w:tcW w:w="1267" w:type="pct"/>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产品名称</w:t>
                  </w:r>
                </w:p>
              </w:tc>
              <w:tc>
                <w:tcPr>
                  <w:tcW w:w="614" w:type="pct"/>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规格</w:t>
                  </w:r>
                </w:p>
              </w:tc>
              <w:tc>
                <w:tcPr>
                  <w:tcW w:w="664" w:type="pct"/>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日产量</w:t>
                  </w:r>
                </w:p>
              </w:tc>
              <w:tc>
                <w:tcPr>
                  <w:tcW w:w="898" w:type="pct"/>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年产量</w:t>
                  </w:r>
                </w:p>
              </w:tc>
              <w:tc>
                <w:tcPr>
                  <w:tcW w:w="1000" w:type="pct"/>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54" w:type="pct"/>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1</w:t>
                  </w:r>
                </w:p>
              </w:tc>
              <w:tc>
                <w:tcPr>
                  <w:tcW w:w="1267" w:type="pct"/>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平菇菌棒</w:t>
                  </w:r>
                </w:p>
              </w:tc>
              <w:tc>
                <w:tcPr>
                  <w:tcW w:w="614" w:type="pct"/>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棒</w:t>
                  </w:r>
                </w:p>
              </w:tc>
              <w:tc>
                <w:tcPr>
                  <w:tcW w:w="664" w:type="pct"/>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3万</w:t>
                  </w:r>
                </w:p>
              </w:tc>
              <w:tc>
                <w:tcPr>
                  <w:tcW w:w="898" w:type="pct"/>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1000万</w:t>
                  </w:r>
                </w:p>
              </w:tc>
              <w:tc>
                <w:tcPr>
                  <w:tcW w:w="1000" w:type="pct"/>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制棒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54" w:type="pct"/>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2</w:t>
                  </w:r>
                </w:p>
              </w:tc>
              <w:tc>
                <w:tcPr>
                  <w:tcW w:w="1267" w:type="pct"/>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黑皮鸡枞</w:t>
                  </w:r>
                </w:p>
              </w:tc>
              <w:tc>
                <w:tcPr>
                  <w:tcW w:w="614" w:type="pct"/>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吨</w:t>
                  </w:r>
                </w:p>
              </w:tc>
              <w:tc>
                <w:tcPr>
                  <w:tcW w:w="664" w:type="pct"/>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3</w:t>
                  </w:r>
                </w:p>
              </w:tc>
              <w:tc>
                <w:tcPr>
                  <w:tcW w:w="898" w:type="pct"/>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1000</w:t>
                  </w:r>
                </w:p>
              </w:tc>
              <w:tc>
                <w:tcPr>
                  <w:tcW w:w="1000" w:type="pct"/>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工厂化出菇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54" w:type="pct"/>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3</w:t>
                  </w:r>
                </w:p>
              </w:tc>
              <w:tc>
                <w:tcPr>
                  <w:tcW w:w="1267" w:type="pct"/>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大杯蕈</w:t>
                  </w:r>
                </w:p>
              </w:tc>
              <w:tc>
                <w:tcPr>
                  <w:tcW w:w="614" w:type="pct"/>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吨</w:t>
                  </w:r>
                </w:p>
              </w:tc>
              <w:tc>
                <w:tcPr>
                  <w:tcW w:w="664" w:type="pct"/>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2.5</w:t>
                  </w:r>
                </w:p>
              </w:tc>
              <w:tc>
                <w:tcPr>
                  <w:tcW w:w="898" w:type="pct"/>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800</w:t>
                  </w:r>
                </w:p>
              </w:tc>
              <w:tc>
                <w:tcPr>
                  <w:tcW w:w="1000" w:type="pct"/>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lang w:val="en-US" w:eastAsia="zh-CN"/>
                    </w:rPr>
                    <w:t>工厂化出菇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54" w:type="pct"/>
                </w:tcPr>
                <w:p>
                  <w:pPr>
                    <w:pStyle w:val="47"/>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lang w:val="en-US" w:eastAsia="zh-CN"/>
                    </w:rPr>
                    <w:t>4</w:t>
                  </w:r>
                </w:p>
              </w:tc>
              <w:tc>
                <w:tcPr>
                  <w:tcW w:w="1267" w:type="pct"/>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白松茸</w:t>
                  </w:r>
                </w:p>
              </w:tc>
              <w:tc>
                <w:tcPr>
                  <w:tcW w:w="614" w:type="pct"/>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吨</w:t>
                  </w:r>
                </w:p>
              </w:tc>
              <w:tc>
                <w:tcPr>
                  <w:tcW w:w="664" w:type="pct"/>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4</w:t>
                  </w:r>
                </w:p>
              </w:tc>
              <w:tc>
                <w:tcPr>
                  <w:tcW w:w="898" w:type="pct"/>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1300</w:t>
                  </w:r>
                </w:p>
              </w:tc>
              <w:tc>
                <w:tcPr>
                  <w:tcW w:w="1000" w:type="pct"/>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lang w:val="en-US" w:eastAsia="zh-CN"/>
                    </w:rPr>
                    <w:t>工厂化出菇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554" w:type="pct"/>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5</w:t>
                  </w:r>
                </w:p>
              </w:tc>
              <w:tc>
                <w:tcPr>
                  <w:tcW w:w="1267" w:type="pct"/>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秀珍菇</w:t>
                  </w:r>
                </w:p>
              </w:tc>
              <w:tc>
                <w:tcPr>
                  <w:tcW w:w="614" w:type="pct"/>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吨</w:t>
                  </w:r>
                </w:p>
              </w:tc>
              <w:tc>
                <w:tcPr>
                  <w:tcW w:w="664" w:type="pct"/>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5</w:t>
                  </w:r>
                </w:p>
              </w:tc>
              <w:tc>
                <w:tcPr>
                  <w:tcW w:w="898" w:type="pct"/>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1500</w:t>
                  </w:r>
                </w:p>
              </w:tc>
              <w:tc>
                <w:tcPr>
                  <w:tcW w:w="1000" w:type="pct"/>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lang w:val="en-US" w:eastAsia="zh-CN"/>
                    </w:rPr>
                    <w:t>工厂化出菇</w:t>
                  </w:r>
                </w:p>
              </w:tc>
            </w:tr>
          </w:tbl>
          <w:p>
            <w:pPr>
              <w:ind w:firstLine="482"/>
              <w:rPr>
                <w:rFonts w:hint="default" w:ascii="Times New Roman" w:hAnsi="Times New Roman" w:eastAsia="宋体" w:cs="Times New Roman"/>
                <w:b/>
                <w:bCs/>
                <w:color w:val="auto"/>
                <w:u w:val="none"/>
              </w:rPr>
            </w:pPr>
            <w:r>
              <w:rPr>
                <w:rFonts w:hint="default" w:ascii="Times New Roman" w:hAnsi="Times New Roman" w:eastAsia="宋体" w:cs="Times New Roman"/>
                <w:b/>
                <w:bCs/>
                <w:color w:val="auto"/>
                <w:u w:val="none"/>
              </w:rPr>
              <w:t>3、建设内容及规模</w:t>
            </w:r>
          </w:p>
          <w:p>
            <w:pPr>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项目总用地面积73333.70m</w:t>
            </w:r>
            <w:r>
              <w:rPr>
                <w:rFonts w:hint="default" w:ascii="Times New Roman" w:hAnsi="Times New Roman" w:eastAsia="宋体" w:cs="Times New Roman"/>
                <w:color w:val="auto"/>
                <w:u w:val="none"/>
                <w:vertAlign w:val="superscript"/>
                <w:lang w:val="en-US" w:eastAsia="zh-CN"/>
              </w:rPr>
              <w:t>2</w:t>
            </w:r>
            <w:r>
              <w:rPr>
                <w:rFonts w:hint="default" w:ascii="Times New Roman" w:hAnsi="Times New Roman" w:eastAsia="宋体" w:cs="Times New Roman"/>
                <w:color w:val="auto"/>
                <w:u w:val="none"/>
              </w:rPr>
              <w:t>(约110亩)，总建筑面积62860m</w:t>
            </w:r>
            <w:r>
              <w:rPr>
                <w:rFonts w:hint="default" w:ascii="Times New Roman" w:hAnsi="Times New Roman" w:eastAsia="宋体" w:cs="Times New Roman"/>
                <w:color w:val="auto"/>
                <w:u w:val="none"/>
                <w:vertAlign w:val="superscript"/>
                <w:lang w:val="en-US" w:eastAsia="zh-CN"/>
              </w:rPr>
              <w:t>2</w:t>
            </w:r>
            <w:r>
              <w:rPr>
                <w:rFonts w:hint="default" w:ascii="Times New Roman" w:hAnsi="Times New Roman" w:eastAsia="宋体" w:cs="Times New Roman"/>
                <w:color w:val="auto"/>
                <w:u w:val="none"/>
              </w:rPr>
              <w:t>。其中，流转土地 8 亩，建设设施化出菇车间33800m</w:t>
            </w:r>
            <w:r>
              <w:rPr>
                <w:rFonts w:hint="default" w:ascii="Times New Roman" w:hAnsi="Times New Roman" w:eastAsia="宋体" w:cs="Times New Roman"/>
                <w:color w:val="auto"/>
                <w:u w:val="none"/>
                <w:vertAlign w:val="superscript"/>
              </w:rPr>
              <w:t>2</w:t>
            </w:r>
            <w:r>
              <w:rPr>
                <w:rFonts w:hint="default" w:ascii="Times New Roman" w:hAnsi="Times New Roman" w:eastAsia="宋体" w:cs="Times New Roman"/>
                <w:color w:val="auto"/>
                <w:u w:val="none"/>
                <w:lang w:eastAsia="zh-CN"/>
              </w:rPr>
              <w:t>；</w:t>
            </w:r>
            <w:r>
              <w:rPr>
                <w:rFonts w:hint="default" w:ascii="Times New Roman" w:hAnsi="Times New Roman" w:eastAsia="宋体" w:cs="Times New Roman"/>
                <w:color w:val="auto"/>
                <w:u w:val="none"/>
              </w:rPr>
              <w:t>项目建设用地42亩，主要建设内容包括</w:t>
            </w:r>
            <w:r>
              <w:rPr>
                <w:rFonts w:hint="default" w:ascii="Times New Roman" w:hAnsi="Times New Roman" w:eastAsia="宋体" w:cs="Times New Roman"/>
                <w:color w:val="auto"/>
                <w:u w:val="none"/>
                <w:lang w:eastAsia="zh-CN"/>
              </w:rPr>
              <w:t>：</w:t>
            </w:r>
            <w:r>
              <w:rPr>
                <w:rFonts w:hint="default" w:ascii="Times New Roman" w:hAnsi="Times New Roman" w:eastAsia="宋体" w:cs="Times New Roman"/>
                <w:color w:val="auto"/>
                <w:u w:val="none"/>
              </w:rPr>
              <w:t>2栋菌种培育基地</w:t>
            </w:r>
            <w:r>
              <w:rPr>
                <w:rFonts w:hint="default" w:ascii="Times New Roman" w:hAnsi="Times New Roman" w:eastAsia="宋体" w:cs="Times New Roman"/>
                <w:color w:val="auto"/>
                <w:u w:val="none"/>
                <w:lang w:val="en-US" w:eastAsia="zh-CN"/>
              </w:rPr>
              <w:t>11000.12</w:t>
            </w:r>
            <w:r>
              <w:rPr>
                <w:rFonts w:hint="default" w:ascii="Times New Roman" w:hAnsi="Times New Roman" w:eastAsia="宋体" w:cs="Times New Roman"/>
                <w:color w:val="auto"/>
                <w:u w:val="none"/>
              </w:rPr>
              <w:t>m</w:t>
            </w:r>
            <w:r>
              <w:rPr>
                <w:rFonts w:hint="default" w:ascii="Times New Roman" w:hAnsi="Times New Roman" w:eastAsia="宋体" w:cs="Times New Roman"/>
                <w:color w:val="auto"/>
                <w:u w:val="none"/>
                <w:vertAlign w:val="superscript"/>
                <w:lang w:val="en-US" w:eastAsia="zh-CN"/>
              </w:rPr>
              <w:t>2</w:t>
            </w:r>
            <w:r>
              <w:rPr>
                <w:rFonts w:hint="default" w:ascii="Times New Roman" w:hAnsi="Times New Roman" w:eastAsia="宋体" w:cs="Times New Roman"/>
                <w:color w:val="auto"/>
                <w:u w:val="none"/>
              </w:rPr>
              <w:t>，1栋</w:t>
            </w:r>
            <w:r>
              <w:rPr>
                <w:rFonts w:hint="eastAsia" w:cs="Times New Roman"/>
                <w:color w:val="auto"/>
                <w:u w:val="none"/>
                <w:lang w:val="en-US" w:eastAsia="zh-CN"/>
              </w:rPr>
              <w:t>4</w:t>
            </w:r>
            <w:r>
              <w:rPr>
                <w:rFonts w:hint="default" w:ascii="Times New Roman" w:hAnsi="Times New Roman" w:eastAsia="宋体" w:cs="Times New Roman"/>
                <w:color w:val="auto"/>
                <w:u w:val="none"/>
              </w:rPr>
              <w:t>层深加工车间</w:t>
            </w:r>
            <w:r>
              <w:rPr>
                <w:rFonts w:hint="default" w:ascii="Times New Roman" w:hAnsi="Times New Roman" w:eastAsia="宋体" w:cs="Times New Roman"/>
                <w:color w:val="auto"/>
                <w:u w:val="none"/>
                <w:lang w:val="en-US" w:eastAsia="zh-CN"/>
              </w:rPr>
              <w:t>12846.66m</w:t>
            </w:r>
            <w:r>
              <w:rPr>
                <w:rFonts w:hint="default" w:ascii="Times New Roman" w:hAnsi="Times New Roman" w:eastAsia="宋体" w:cs="Times New Roman"/>
                <w:color w:val="auto"/>
                <w:u w:val="none"/>
                <w:vertAlign w:val="superscript"/>
                <w:lang w:val="en-US" w:eastAsia="zh-CN"/>
              </w:rPr>
              <w:t>2</w:t>
            </w:r>
            <w:r>
              <w:rPr>
                <w:rFonts w:hint="default" w:ascii="Times New Roman" w:hAnsi="Times New Roman" w:eastAsia="宋体" w:cs="Times New Roman"/>
                <w:color w:val="auto"/>
                <w:u w:val="none"/>
              </w:rPr>
              <w:t>，1栋</w:t>
            </w:r>
            <w:r>
              <w:rPr>
                <w:rFonts w:hint="eastAsia" w:cs="Times New Roman"/>
                <w:color w:val="auto"/>
                <w:u w:val="none"/>
                <w:lang w:val="en-US" w:eastAsia="zh-CN"/>
              </w:rPr>
              <w:t>1</w:t>
            </w:r>
            <w:r>
              <w:rPr>
                <w:rFonts w:hint="default" w:ascii="Times New Roman" w:hAnsi="Times New Roman" w:eastAsia="宋体" w:cs="Times New Roman"/>
                <w:color w:val="auto"/>
                <w:u w:val="none"/>
              </w:rPr>
              <w:t>层冷藏库房</w:t>
            </w:r>
            <w:r>
              <w:rPr>
                <w:rFonts w:hint="default" w:ascii="Times New Roman" w:hAnsi="Times New Roman" w:eastAsia="宋体" w:cs="Times New Roman"/>
                <w:color w:val="auto"/>
                <w:u w:val="none"/>
                <w:lang w:val="en-US" w:eastAsia="zh-CN"/>
              </w:rPr>
              <w:t>7410</w:t>
            </w:r>
            <w:r>
              <w:rPr>
                <w:rFonts w:hint="default" w:ascii="Times New Roman" w:hAnsi="Times New Roman" w:eastAsia="宋体" w:cs="Times New Roman"/>
                <w:color w:val="auto"/>
                <w:u w:val="none"/>
              </w:rPr>
              <w:t>m</w:t>
            </w:r>
            <w:r>
              <w:rPr>
                <w:rFonts w:hint="default" w:ascii="Times New Roman" w:hAnsi="Times New Roman" w:eastAsia="宋体" w:cs="Times New Roman"/>
                <w:color w:val="auto"/>
                <w:u w:val="none"/>
                <w:vertAlign w:val="superscript"/>
                <w:lang w:val="en-US" w:eastAsia="zh-CN"/>
              </w:rPr>
              <w:t>2</w:t>
            </w:r>
            <w:r>
              <w:rPr>
                <w:rFonts w:hint="default" w:ascii="Times New Roman" w:hAnsi="Times New Roman" w:eastAsia="宋体" w:cs="Times New Roman"/>
                <w:color w:val="auto"/>
                <w:u w:val="none"/>
              </w:rPr>
              <w:t>，1栋4层配套用房1760m</w:t>
            </w:r>
            <w:r>
              <w:rPr>
                <w:rFonts w:hint="default" w:ascii="Times New Roman" w:hAnsi="Times New Roman" w:eastAsia="宋体" w:cs="Times New Roman"/>
                <w:color w:val="auto"/>
                <w:u w:val="none"/>
                <w:vertAlign w:val="superscript"/>
                <w:lang w:val="en-US" w:eastAsia="zh-CN"/>
              </w:rPr>
              <w:t>2</w:t>
            </w:r>
            <w:r>
              <w:rPr>
                <w:rFonts w:hint="default" w:ascii="Times New Roman" w:hAnsi="Times New Roman" w:eastAsia="宋体" w:cs="Times New Roman"/>
                <w:color w:val="auto"/>
                <w:u w:val="none"/>
              </w:rPr>
              <w:t>，建设地面停车位100个，配套建设室外供配电、给排水消防等基础设施。项目工程内容详见下表。</w:t>
            </w:r>
          </w:p>
          <w:p>
            <w:pPr>
              <w:pStyle w:val="47"/>
              <w:spacing w:before="120"/>
              <w:rPr>
                <w:rFonts w:hint="default" w:ascii="Times New Roman" w:hAnsi="Times New Roman" w:eastAsia="宋体" w:cs="Times New Roman"/>
                <w:b/>
                <w:bCs/>
                <w:color w:val="auto"/>
                <w:kern w:val="0"/>
                <w:u w:val="none"/>
              </w:rPr>
            </w:pPr>
          </w:p>
          <w:p>
            <w:pPr>
              <w:pStyle w:val="47"/>
              <w:spacing w:before="120"/>
              <w:rPr>
                <w:rFonts w:hint="default" w:ascii="Times New Roman" w:hAnsi="Times New Roman" w:eastAsia="宋体" w:cs="Times New Roman"/>
                <w:b/>
                <w:bCs/>
                <w:color w:val="auto"/>
                <w:kern w:val="0"/>
                <w:u w:val="none"/>
              </w:rPr>
            </w:pPr>
          </w:p>
          <w:p>
            <w:pPr>
              <w:pStyle w:val="47"/>
              <w:spacing w:before="120"/>
              <w:rPr>
                <w:rFonts w:hint="default" w:ascii="Times New Roman" w:hAnsi="Times New Roman" w:eastAsia="宋体" w:cs="Times New Roman"/>
                <w:b/>
                <w:bCs/>
                <w:color w:val="auto"/>
                <w:kern w:val="0"/>
                <w:szCs w:val="21"/>
                <w:u w:val="none"/>
              </w:rPr>
            </w:pPr>
            <w:r>
              <w:rPr>
                <w:rFonts w:hint="default" w:ascii="Times New Roman" w:hAnsi="Times New Roman" w:eastAsia="宋体" w:cs="Times New Roman"/>
                <w:b/>
                <w:bCs/>
                <w:color w:val="auto"/>
                <w:kern w:val="0"/>
                <w:u w:val="none"/>
              </w:rPr>
              <w:t>表2-</w:t>
            </w:r>
            <w:r>
              <w:rPr>
                <w:rFonts w:hint="default" w:ascii="Times New Roman" w:hAnsi="Times New Roman" w:eastAsia="宋体" w:cs="Times New Roman"/>
                <w:b/>
                <w:bCs/>
                <w:color w:val="auto"/>
                <w:kern w:val="0"/>
                <w:u w:val="none"/>
                <w:lang w:val="en-US" w:eastAsia="zh-CN"/>
              </w:rPr>
              <w:t>3</w:t>
            </w:r>
            <w:r>
              <w:rPr>
                <w:rFonts w:hint="default" w:ascii="Times New Roman" w:hAnsi="Times New Roman" w:eastAsia="宋体" w:cs="Times New Roman"/>
                <w:b/>
                <w:bCs/>
                <w:color w:val="auto"/>
                <w:kern w:val="0"/>
                <w:szCs w:val="21"/>
                <w:u w:val="none"/>
              </w:rPr>
              <w:t>项目工程组成一览表</w:t>
            </w:r>
          </w:p>
          <w:tbl>
            <w:tblPr>
              <w:tblStyle w:val="24"/>
              <w:tblW w:w="48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912"/>
              <w:gridCol w:w="3708"/>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63" w:type="pc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类别</w:t>
                  </w:r>
                </w:p>
              </w:tc>
              <w:tc>
                <w:tcPr>
                  <w:tcW w:w="1189" w:type="pc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工程名称</w:t>
                  </w:r>
                </w:p>
              </w:tc>
              <w:tc>
                <w:tcPr>
                  <w:tcW w:w="2306" w:type="pc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建设内容与规模</w:t>
                  </w:r>
                </w:p>
              </w:tc>
              <w:tc>
                <w:tcPr>
                  <w:tcW w:w="840" w:type="pc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663" w:type="pct"/>
                  <w:vMerge w:val="restar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主体工程</w:t>
                  </w:r>
                </w:p>
              </w:tc>
              <w:tc>
                <w:tcPr>
                  <w:tcW w:w="1189" w:type="pct"/>
                  <w:vAlign w:val="center"/>
                </w:tcPr>
                <w:p>
                  <w:pPr>
                    <w:keepNext w:val="0"/>
                    <w:keepLines w:val="0"/>
                    <w:widowControl/>
                    <w:suppressLineNumbers w:val="0"/>
                    <w:ind w:firstLine="0" w:firstLineChars="0"/>
                    <w:jc w:val="center"/>
                    <w:rPr>
                      <w:rFonts w:hint="default" w:ascii="Times New Roman" w:hAnsi="Times New Roman" w:eastAsia="宋体" w:cs="Times New Roman"/>
                      <w:color w:val="auto"/>
                      <w:kern w:val="2"/>
                      <w:sz w:val="21"/>
                      <w:szCs w:val="28"/>
                      <w:u w:val="none"/>
                      <w:lang w:val="en-US" w:eastAsia="zh-CN" w:bidi="ar-SA"/>
                    </w:rPr>
                  </w:pPr>
                  <w:r>
                    <w:rPr>
                      <w:rFonts w:hint="default" w:ascii="Times New Roman" w:hAnsi="Times New Roman" w:eastAsia="宋体" w:cs="Times New Roman"/>
                      <w:color w:val="auto"/>
                      <w:kern w:val="2"/>
                      <w:sz w:val="21"/>
                      <w:szCs w:val="28"/>
                      <w:u w:val="none"/>
                      <w:lang w:val="en-US" w:eastAsia="zh-CN" w:bidi="ar-SA"/>
                    </w:rPr>
                    <w:t>菌种培育基地</w:t>
                  </w:r>
                </w:p>
              </w:tc>
              <w:tc>
                <w:tcPr>
                  <w:tcW w:w="2306" w:type="pct"/>
                  <w:vAlign w:val="center"/>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szCs w:val="21"/>
                      <w:u w:val="none"/>
                      <w:vertAlign w:val="baseline"/>
                      <w:lang w:val="en-US" w:eastAsia="zh-CN"/>
                    </w:rPr>
                    <w:t>3#分拣培养房（</w:t>
                  </w:r>
                  <w:r>
                    <w:rPr>
                      <w:rFonts w:hint="default" w:ascii="Times New Roman" w:hAnsi="Times New Roman" w:eastAsia="宋体" w:cs="Times New Roman"/>
                      <w:color w:val="auto"/>
                      <w:kern w:val="2"/>
                      <w:sz w:val="21"/>
                      <w:szCs w:val="28"/>
                      <w:u w:val="none"/>
                      <w:lang w:val="en-US" w:eastAsia="zh-CN" w:bidi="ar-SA"/>
                    </w:rPr>
                    <w:t>4F</w:t>
                  </w:r>
                  <w:r>
                    <w:rPr>
                      <w:rFonts w:hint="default" w:ascii="Times New Roman" w:hAnsi="Times New Roman" w:eastAsia="宋体" w:cs="Times New Roman"/>
                      <w:color w:val="auto"/>
                      <w:szCs w:val="21"/>
                      <w:u w:val="none"/>
                      <w:vertAlign w:val="baseline"/>
                      <w:lang w:val="en-US" w:eastAsia="zh-CN"/>
                    </w:rPr>
                    <w:t>）</w:t>
                  </w:r>
                  <w:r>
                    <w:rPr>
                      <w:rFonts w:hint="default" w:ascii="Times New Roman" w:hAnsi="Times New Roman" w:eastAsia="宋体" w:cs="Times New Roman"/>
                      <w:color w:val="auto"/>
                      <w:u w:val="none"/>
                    </w:rPr>
                    <w:t>建筑面积</w:t>
                  </w:r>
                  <w:r>
                    <w:rPr>
                      <w:rFonts w:hint="default" w:ascii="Times New Roman" w:hAnsi="Times New Roman" w:eastAsia="宋体" w:cs="Times New Roman"/>
                      <w:color w:val="auto"/>
                      <w:u w:val="none"/>
                      <w:lang w:val="en-US" w:eastAsia="zh-CN"/>
                    </w:rPr>
                    <w:t>6390.92</w:t>
                  </w:r>
                  <w:r>
                    <w:rPr>
                      <w:rFonts w:hint="default" w:ascii="Times New Roman" w:hAnsi="Times New Roman" w:eastAsia="宋体" w:cs="Times New Roman"/>
                      <w:color w:val="auto"/>
                      <w:szCs w:val="21"/>
                      <w:u w:val="none"/>
                    </w:rPr>
                    <w:t>m</w:t>
                  </w:r>
                  <w:r>
                    <w:rPr>
                      <w:rFonts w:hint="default" w:ascii="Times New Roman" w:hAnsi="Times New Roman" w:eastAsia="宋体" w:cs="Times New Roman"/>
                      <w:color w:val="auto"/>
                      <w:szCs w:val="21"/>
                      <w:u w:val="none"/>
                      <w:vertAlign w:val="superscript"/>
                    </w:rPr>
                    <w:t>2</w:t>
                  </w:r>
                  <w:r>
                    <w:rPr>
                      <w:rFonts w:hint="default" w:ascii="Times New Roman" w:hAnsi="Times New Roman" w:eastAsia="宋体" w:cs="Times New Roman"/>
                      <w:color w:val="auto"/>
                      <w:szCs w:val="21"/>
                      <w:u w:val="none"/>
                      <w:vertAlign w:val="baseline"/>
                      <w:lang w:eastAsia="zh-CN"/>
                    </w:rPr>
                    <w:t>，</w:t>
                  </w:r>
                  <w:r>
                    <w:rPr>
                      <w:rFonts w:hint="default" w:ascii="Times New Roman" w:hAnsi="Times New Roman" w:eastAsia="宋体" w:cs="Times New Roman"/>
                      <w:color w:val="auto"/>
                      <w:szCs w:val="21"/>
                      <w:u w:val="none"/>
                      <w:vertAlign w:val="baseline"/>
                      <w:lang w:val="en-US" w:eastAsia="zh-CN"/>
                    </w:rPr>
                    <w:t>4#</w:t>
                  </w:r>
                  <w:r>
                    <w:rPr>
                      <w:rFonts w:hint="default" w:ascii="Times New Roman" w:hAnsi="Times New Roman" w:eastAsia="宋体" w:cs="Times New Roman"/>
                      <w:color w:val="auto"/>
                      <w:u w:val="none"/>
                      <w:lang w:val="en-US" w:eastAsia="zh-CN"/>
                    </w:rPr>
                    <w:t>出菇房（2F）</w:t>
                  </w:r>
                  <w:r>
                    <w:rPr>
                      <w:rFonts w:hint="default" w:ascii="Times New Roman" w:hAnsi="Times New Roman" w:eastAsia="宋体" w:cs="Times New Roman"/>
                      <w:color w:val="auto"/>
                      <w:u w:val="none"/>
                    </w:rPr>
                    <w:t>建筑面积</w:t>
                  </w:r>
                  <w:r>
                    <w:rPr>
                      <w:rFonts w:hint="default" w:ascii="Times New Roman" w:hAnsi="Times New Roman" w:eastAsia="宋体" w:cs="Times New Roman"/>
                      <w:color w:val="auto"/>
                      <w:u w:val="none"/>
                      <w:lang w:val="en-US" w:eastAsia="zh-CN"/>
                    </w:rPr>
                    <w:t>4609.2</w:t>
                  </w:r>
                  <w:r>
                    <w:rPr>
                      <w:rFonts w:hint="default" w:ascii="Times New Roman" w:hAnsi="Times New Roman" w:eastAsia="宋体" w:cs="Times New Roman"/>
                      <w:color w:val="auto"/>
                      <w:szCs w:val="21"/>
                      <w:u w:val="none"/>
                    </w:rPr>
                    <w:t>m</w:t>
                  </w:r>
                  <w:r>
                    <w:rPr>
                      <w:rFonts w:hint="default" w:ascii="Times New Roman" w:hAnsi="Times New Roman" w:eastAsia="宋体" w:cs="Times New Roman"/>
                      <w:color w:val="auto"/>
                      <w:szCs w:val="21"/>
                      <w:u w:val="none"/>
                      <w:vertAlign w:val="superscript"/>
                    </w:rPr>
                    <w:t>2</w:t>
                  </w:r>
                </w:p>
              </w:tc>
              <w:tc>
                <w:tcPr>
                  <w:tcW w:w="840" w:type="pct"/>
                  <w:vAlign w:val="center"/>
                </w:tcPr>
                <w:p>
                  <w:pPr>
                    <w:keepNext w:val="0"/>
                    <w:keepLines w:val="0"/>
                    <w:widowControl/>
                    <w:suppressLineNumbers w:val="0"/>
                    <w:jc w:val="left"/>
                    <w:rPr>
                      <w:rFonts w:hint="default" w:ascii="Times New Roman" w:hAnsi="Times New Roman" w:eastAsia="宋体" w:cs="Times New Roman"/>
                      <w:color w:val="auto"/>
                      <w:kern w:val="2"/>
                      <w:sz w:val="21"/>
                      <w:szCs w:val="28"/>
                      <w:u w:val="none"/>
                      <w:lang w:val="en-US" w:eastAsia="zh-CN" w:bidi="ar-SA"/>
                    </w:rPr>
                  </w:pPr>
                  <w:r>
                    <w:rPr>
                      <w:rFonts w:hint="default" w:ascii="Times New Roman" w:hAnsi="Times New Roman" w:eastAsia="宋体" w:cs="Times New Roman"/>
                      <w:color w:val="auto"/>
                      <w:kern w:val="2"/>
                      <w:sz w:val="21"/>
                      <w:szCs w:val="28"/>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63" w:type="pct"/>
                  <w:vMerge w:val="continue"/>
                  <w:vAlign w:val="center"/>
                </w:tcPr>
                <w:p>
                  <w:pPr>
                    <w:pStyle w:val="47"/>
                    <w:rPr>
                      <w:rFonts w:hint="default" w:ascii="Times New Roman" w:hAnsi="Times New Roman" w:eastAsia="宋体" w:cs="Times New Roman"/>
                      <w:color w:val="auto"/>
                      <w:u w:val="none"/>
                    </w:rPr>
                  </w:pPr>
                </w:p>
              </w:tc>
              <w:tc>
                <w:tcPr>
                  <w:tcW w:w="1189" w:type="pct"/>
                  <w:vAlign w:val="center"/>
                </w:tcPr>
                <w:p>
                  <w:pPr>
                    <w:keepNext w:val="0"/>
                    <w:keepLines w:val="0"/>
                    <w:widowControl/>
                    <w:suppressLineNumbers w:val="0"/>
                    <w:ind w:firstLine="0" w:firstLineChars="0"/>
                    <w:jc w:val="center"/>
                    <w:rPr>
                      <w:rFonts w:hint="default" w:ascii="Times New Roman" w:hAnsi="Times New Roman" w:eastAsia="宋体" w:cs="Times New Roman"/>
                      <w:color w:val="auto"/>
                      <w:kern w:val="2"/>
                      <w:sz w:val="21"/>
                      <w:szCs w:val="28"/>
                      <w:u w:val="none"/>
                      <w:lang w:val="en-US" w:eastAsia="zh-CN" w:bidi="ar-SA"/>
                    </w:rPr>
                  </w:pPr>
                  <w:r>
                    <w:rPr>
                      <w:rFonts w:hint="default" w:ascii="Times New Roman" w:hAnsi="Times New Roman" w:eastAsia="宋体" w:cs="Times New Roman"/>
                      <w:color w:val="auto"/>
                      <w:kern w:val="2"/>
                      <w:sz w:val="21"/>
                      <w:szCs w:val="28"/>
                      <w:u w:val="none"/>
                      <w:lang w:val="en-US" w:eastAsia="zh-CN" w:bidi="ar-SA"/>
                    </w:rPr>
                    <w:t>深加工车间</w:t>
                  </w:r>
                </w:p>
              </w:tc>
              <w:tc>
                <w:tcPr>
                  <w:tcW w:w="2306" w:type="pc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lang w:val="en-US" w:eastAsia="zh-CN"/>
                    </w:rPr>
                    <w:t>2#栋制棒、培养房（</w:t>
                  </w:r>
                  <w:r>
                    <w:rPr>
                      <w:rFonts w:hint="default" w:ascii="Times New Roman" w:hAnsi="Times New Roman" w:eastAsia="宋体" w:cs="Times New Roman"/>
                      <w:color w:val="auto"/>
                      <w:kern w:val="2"/>
                      <w:sz w:val="21"/>
                      <w:szCs w:val="28"/>
                      <w:u w:val="none"/>
                      <w:lang w:val="en-US" w:eastAsia="zh-CN" w:bidi="ar-SA"/>
                    </w:rPr>
                    <w:t>4F</w:t>
                  </w:r>
                  <w:r>
                    <w:rPr>
                      <w:rFonts w:hint="default" w:ascii="Times New Roman" w:hAnsi="Times New Roman" w:eastAsia="宋体" w:cs="Times New Roman"/>
                      <w:color w:val="auto"/>
                      <w:u w:val="none"/>
                      <w:lang w:val="en-US" w:eastAsia="zh-CN"/>
                    </w:rPr>
                    <w:t>）</w:t>
                  </w:r>
                  <w:r>
                    <w:rPr>
                      <w:rFonts w:hint="default" w:ascii="Times New Roman" w:hAnsi="Times New Roman" w:eastAsia="宋体" w:cs="Times New Roman"/>
                      <w:color w:val="auto"/>
                      <w:u w:val="none"/>
                    </w:rPr>
                    <w:t>建筑面积</w:t>
                  </w:r>
                  <w:r>
                    <w:rPr>
                      <w:rFonts w:hint="default" w:ascii="Times New Roman" w:hAnsi="Times New Roman" w:eastAsia="宋体" w:cs="Times New Roman"/>
                      <w:color w:val="auto"/>
                      <w:u w:val="none"/>
                      <w:lang w:val="en-US" w:eastAsia="zh-CN"/>
                    </w:rPr>
                    <w:t>12846.66</w:t>
                  </w:r>
                  <w:r>
                    <w:rPr>
                      <w:rFonts w:hint="default" w:ascii="Times New Roman" w:hAnsi="Times New Roman" w:eastAsia="宋体" w:cs="Times New Roman"/>
                      <w:color w:val="auto"/>
                      <w:szCs w:val="21"/>
                      <w:u w:val="none"/>
                    </w:rPr>
                    <w:t>m</w:t>
                  </w:r>
                  <w:r>
                    <w:rPr>
                      <w:rFonts w:hint="default" w:ascii="Times New Roman" w:hAnsi="Times New Roman" w:eastAsia="宋体" w:cs="Times New Roman"/>
                      <w:color w:val="auto"/>
                      <w:szCs w:val="21"/>
                      <w:u w:val="none"/>
                      <w:vertAlign w:val="superscript"/>
                    </w:rPr>
                    <w:t>2</w:t>
                  </w:r>
                </w:p>
              </w:tc>
              <w:tc>
                <w:tcPr>
                  <w:tcW w:w="840" w:type="pct"/>
                  <w:vAlign w:val="center"/>
                </w:tcPr>
                <w:p>
                  <w:pPr>
                    <w:keepNext w:val="0"/>
                    <w:keepLines w:val="0"/>
                    <w:widowControl/>
                    <w:suppressLineNumbers w:val="0"/>
                    <w:jc w:val="left"/>
                    <w:rPr>
                      <w:rFonts w:hint="default" w:ascii="Times New Roman" w:hAnsi="Times New Roman" w:eastAsia="宋体" w:cs="Times New Roman"/>
                      <w:color w:val="auto"/>
                      <w:kern w:val="2"/>
                      <w:sz w:val="21"/>
                      <w:szCs w:val="28"/>
                      <w:u w:val="none"/>
                      <w:lang w:val="en-US" w:eastAsia="zh-CN" w:bidi="ar-SA"/>
                    </w:rPr>
                  </w:pPr>
                  <w:r>
                    <w:rPr>
                      <w:rFonts w:hint="default" w:ascii="Times New Roman" w:hAnsi="Times New Roman" w:eastAsia="宋体" w:cs="Times New Roman"/>
                      <w:color w:val="auto"/>
                      <w:kern w:val="2"/>
                      <w:sz w:val="21"/>
                      <w:szCs w:val="28"/>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63" w:type="pct"/>
                  <w:vMerge w:val="continue"/>
                  <w:vAlign w:val="center"/>
                </w:tcPr>
                <w:p>
                  <w:pPr>
                    <w:pStyle w:val="47"/>
                    <w:rPr>
                      <w:rFonts w:hint="default" w:ascii="Times New Roman" w:hAnsi="Times New Roman" w:eastAsia="宋体" w:cs="Times New Roman"/>
                      <w:color w:val="auto"/>
                      <w:u w:val="none"/>
                    </w:rPr>
                  </w:pPr>
                </w:p>
              </w:tc>
              <w:tc>
                <w:tcPr>
                  <w:tcW w:w="1189" w:type="pct"/>
                  <w:vAlign w:val="center"/>
                </w:tcPr>
                <w:p>
                  <w:pPr>
                    <w:keepNext w:val="0"/>
                    <w:keepLines w:val="0"/>
                    <w:widowControl/>
                    <w:suppressLineNumbers w:val="0"/>
                    <w:jc w:val="left"/>
                    <w:rPr>
                      <w:rFonts w:hint="default" w:ascii="Times New Roman" w:hAnsi="Times New Roman" w:eastAsia="宋体" w:cs="Times New Roman"/>
                      <w:color w:val="auto"/>
                      <w:kern w:val="2"/>
                      <w:sz w:val="21"/>
                      <w:szCs w:val="28"/>
                      <w:u w:val="none"/>
                      <w:lang w:val="en-US" w:eastAsia="zh-CN" w:bidi="ar-SA"/>
                    </w:rPr>
                  </w:pPr>
                  <w:r>
                    <w:rPr>
                      <w:rFonts w:hint="default" w:ascii="Times New Roman" w:hAnsi="Times New Roman" w:eastAsia="宋体" w:cs="Times New Roman"/>
                      <w:color w:val="auto"/>
                      <w:kern w:val="2"/>
                      <w:sz w:val="21"/>
                      <w:szCs w:val="28"/>
                      <w:u w:val="none"/>
                      <w:lang w:val="en-US" w:eastAsia="zh-CN" w:bidi="ar-SA"/>
                    </w:rPr>
                    <w:t>冷藏库房</w:t>
                  </w:r>
                </w:p>
              </w:tc>
              <w:tc>
                <w:tcPr>
                  <w:tcW w:w="2306" w:type="pc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养菌冷库；建筑面积7410</w:t>
                  </w:r>
                  <w:r>
                    <w:rPr>
                      <w:rFonts w:hint="default" w:ascii="Times New Roman" w:hAnsi="Times New Roman" w:eastAsia="宋体" w:cs="Times New Roman"/>
                      <w:color w:val="auto"/>
                      <w:szCs w:val="21"/>
                      <w:u w:val="none"/>
                    </w:rPr>
                    <w:t>m</w:t>
                  </w:r>
                  <w:r>
                    <w:rPr>
                      <w:rFonts w:hint="default" w:ascii="Times New Roman" w:hAnsi="Times New Roman" w:eastAsia="宋体" w:cs="Times New Roman"/>
                      <w:color w:val="auto"/>
                      <w:szCs w:val="21"/>
                      <w:u w:val="none"/>
                      <w:vertAlign w:val="superscript"/>
                    </w:rPr>
                    <w:t>2</w:t>
                  </w:r>
                </w:p>
              </w:tc>
              <w:tc>
                <w:tcPr>
                  <w:tcW w:w="840" w:type="pct"/>
                  <w:vAlign w:val="center"/>
                </w:tcPr>
                <w:p>
                  <w:pPr>
                    <w:keepNext w:val="0"/>
                    <w:keepLines w:val="0"/>
                    <w:widowControl/>
                    <w:suppressLineNumbers w:val="0"/>
                    <w:jc w:val="left"/>
                    <w:rPr>
                      <w:rFonts w:hint="default" w:ascii="Times New Roman" w:hAnsi="Times New Roman" w:eastAsia="宋体" w:cs="Times New Roman"/>
                      <w:color w:val="auto"/>
                      <w:kern w:val="2"/>
                      <w:sz w:val="21"/>
                      <w:szCs w:val="28"/>
                      <w:u w:val="none"/>
                      <w:lang w:val="en-US" w:eastAsia="zh-CN" w:bidi="ar-SA"/>
                    </w:rPr>
                  </w:pPr>
                  <w:r>
                    <w:rPr>
                      <w:rFonts w:hint="default" w:ascii="Times New Roman" w:hAnsi="Times New Roman" w:eastAsia="宋体" w:cs="Times New Roman"/>
                      <w:color w:val="auto"/>
                      <w:kern w:val="2"/>
                      <w:sz w:val="21"/>
                      <w:szCs w:val="28"/>
                      <w:u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63" w:type="pct"/>
                  <w:vMerge w:val="continue"/>
                  <w:vAlign w:val="center"/>
                </w:tcPr>
                <w:p>
                  <w:pPr>
                    <w:pStyle w:val="47"/>
                    <w:rPr>
                      <w:rFonts w:hint="default" w:ascii="Times New Roman" w:hAnsi="Times New Roman" w:eastAsia="宋体" w:cs="Times New Roman"/>
                      <w:color w:val="auto"/>
                      <w:u w:val="none"/>
                    </w:rPr>
                  </w:pPr>
                </w:p>
              </w:tc>
              <w:tc>
                <w:tcPr>
                  <w:tcW w:w="1189" w:type="pct"/>
                  <w:vAlign w:val="center"/>
                </w:tcPr>
                <w:p>
                  <w:pPr>
                    <w:pStyle w:val="47"/>
                    <w:rPr>
                      <w:rFonts w:hint="default" w:ascii="Times New Roman" w:hAnsi="Times New Roman" w:eastAsia="宋体" w:cs="Times New Roman"/>
                      <w:color w:val="auto"/>
                      <w:kern w:val="2"/>
                      <w:sz w:val="21"/>
                      <w:szCs w:val="28"/>
                      <w:u w:val="none"/>
                      <w:lang w:val="en-US" w:eastAsia="zh-CN" w:bidi="ar-SA"/>
                    </w:rPr>
                  </w:pPr>
                  <w:r>
                    <w:rPr>
                      <w:rFonts w:hint="default" w:ascii="Times New Roman" w:hAnsi="Times New Roman" w:eastAsia="宋体" w:cs="Times New Roman"/>
                      <w:color w:val="auto"/>
                      <w:kern w:val="2"/>
                      <w:sz w:val="21"/>
                      <w:szCs w:val="28"/>
                      <w:u w:val="none"/>
                      <w:lang w:val="en-US" w:eastAsia="zh-CN" w:bidi="ar-SA"/>
                    </w:rPr>
                    <w:t>锅炉房</w:t>
                  </w:r>
                </w:p>
              </w:tc>
              <w:tc>
                <w:tcPr>
                  <w:tcW w:w="2306" w:type="pct"/>
                  <w:vAlign w:val="center"/>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rPr>
                    <w:t>新建</w:t>
                  </w:r>
                  <w:r>
                    <w:rPr>
                      <w:rFonts w:hint="eastAsia" w:cs="Times New Roman"/>
                      <w:color w:val="auto"/>
                      <w:u w:val="none"/>
                      <w:lang w:val="en-US" w:eastAsia="zh-CN"/>
                    </w:rPr>
                    <w:t>6</w:t>
                  </w:r>
                  <w:r>
                    <w:rPr>
                      <w:rFonts w:hint="default" w:ascii="Times New Roman" w:hAnsi="Times New Roman" w:eastAsia="宋体" w:cs="Times New Roman"/>
                      <w:color w:val="auto"/>
                      <w:u w:val="none"/>
                      <w:lang w:val="en-US" w:eastAsia="zh-CN"/>
                    </w:rPr>
                    <w:t>t</w:t>
                  </w:r>
                  <w:r>
                    <w:rPr>
                      <w:rFonts w:hint="default" w:ascii="Times New Roman" w:hAnsi="Times New Roman" w:eastAsia="宋体" w:cs="Times New Roman"/>
                      <w:color w:val="auto"/>
                      <w:u w:val="none"/>
                    </w:rPr>
                    <w:t>/h</w:t>
                  </w:r>
                  <w:r>
                    <w:rPr>
                      <w:rFonts w:hint="default" w:ascii="Times New Roman" w:hAnsi="Times New Roman" w:eastAsia="宋体" w:cs="Times New Roman"/>
                      <w:color w:val="auto"/>
                      <w:u w:val="none"/>
                      <w:lang w:val="en-US" w:eastAsia="zh-CN"/>
                    </w:rPr>
                    <w:t>生物质蒸汽锅炉 180.63m</w:t>
                  </w:r>
                  <w:r>
                    <w:rPr>
                      <w:rFonts w:hint="default" w:ascii="Times New Roman" w:hAnsi="Times New Roman" w:eastAsia="宋体" w:cs="Times New Roman"/>
                      <w:color w:val="auto"/>
                      <w:u w:val="none"/>
                      <w:vertAlign w:val="superscript"/>
                      <w:lang w:val="en-US" w:eastAsia="zh-CN"/>
                    </w:rPr>
                    <w:t>2</w:t>
                  </w:r>
                </w:p>
              </w:tc>
              <w:tc>
                <w:tcPr>
                  <w:tcW w:w="840" w:type="pc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63" w:type="pct"/>
                  <w:vMerge w:val="restar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辅助工程</w:t>
                  </w:r>
                </w:p>
              </w:tc>
              <w:tc>
                <w:tcPr>
                  <w:tcW w:w="1189" w:type="pct"/>
                  <w:vAlign w:val="center"/>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rPr>
                    <w:t>食堂</w:t>
                  </w:r>
                  <w:r>
                    <w:rPr>
                      <w:rFonts w:hint="default" w:ascii="Times New Roman" w:hAnsi="Times New Roman" w:eastAsia="宋体" w:cs="Times New Roman"/>
                      <w:color w:val="auto"/>
                      <w:u w:val="none"/>
                      <w:lang w:eastAsia="zh-CN"/>
                    </w:rPr>
                    <w:t>、</w:t>
                  </w:r>
                  <w:r>
                    <w:rPr>
                      <w:rFonts w:hint="default" w:ascii="Times New Roman" w:hAnsi="Times New Roman" w:eastAsia="宋体" w:cs="Times New Roman"/>
                      <w:color w:val="auto"/>
                      <w:u w:val="none"/>
                      <w:lang w:val="en-US" w:eastAsia="zh-CN"/>
                    </w:rPr>
                    <w:t>办公楼</w:t>
                  </w:r>
                </w:p>
              </w:tc>
              <w:tc>
                <w:tcPr>
                  <w:tcW w:w="2306" w:type="pc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lang w:val="en-US" w:eastAsia="zh-CN"/>
                    </w:rPr>
                    <w:t>1#栋，</w:t>
                  </w:r>
                  <w:r>
                    <w:rPr>
                      <w:rFonts w:hint="default" w:ascii="Times New Roman" w:hAnsi="Times New Roman" w:eastAsia="宋体" w:cs="Times New Roman"/>
                      <w:color w:val="auto"/>
                      <w:u w:val="none"/>
                    </w:rPr>
                    <w:t>建筑面积</w:t>
                  </w:r>
                  <w:r>
                    <w:rPr>
                      <w:rFonts w:hint="default" w:ascii="Times New Roman" w:hAnsi="Times New Roman" w:eastAsia="宋体" w:cs="Times New Roman"/>
                      <w:color w:val="auto"/>
                      <w:u w:val="none"/>
                      <w:lang w:val="en-US" w:eastAsia="zh-CN"/>
                    </w:rPr>
                    <w:t>1734.52</w:t>
                  </w:r>
                  <w:r>
                    <w:rPr>
                      <w:rFonts w:hint="default" w:ascii="Times New Roman" w:hAnsi="Times New Roman" w:eastAsia="宋体" w:cs="Times New Roman"/>
                      <w:color w:val="auto"/>
                      <w:u w:val="none"/>
                    </w:rPr>
                    <w:t>m</w:t>
                  </w:r>
                  <w:r>
                    <w:rPr>
                      <w:rFonts w:hint="default" w:ascii="Times New Roman" w:hAnsi="Times New Roman" w:eastAsia="宋体" w:cs="Times New Roman"/>
                      <w:color w:val="auto"/>
                      <w:u w:val="none"/>
                      <w:vertAlign w:val="superscript"/>
                    </w:rPr>
                    <w:t>2</w:t>
                  </w:r>
                </w:p>
              </w:tc>
              <w:tc>
                <w:tcPr>
                  <w:tcW w:w="840" w:type="pct"/>
                  <w:vAlign w:val="center"/>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4F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63" w:type="pct"/>
                  <w:vMerge w:val="continue"/>
                  <w:vAlign w:val="center"/>
                </w:tcPr>
                <w:p>
                  <w:pPr>
                    <w:pStyle w:val="47"/>
                    <w:rPr>
                      <w:rFonts w:hint="default" w:ascii="Times New Roman" w:hAnsi="Times New Roman" w:eastAsia="宋体" w:cs="Times New Roman"/>
                      <w:color w:val="auto"/>
                      <w:u w:val="none"/>
                    </w:rPr>
                  </w:pPr>
                </w:p>
              </w:tc>
              <w:tc>
                <w:tcPr>
                  <w:tcW w:w="1189" w:type="pct"/>
                  <w:vAlign w:val="center"/>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垃圾站</w:t>
                  </w:r>
                </w:p>
              </w:tc>
              <w:tc>
                <w:tcPr>
                  <w:tcW w:w="2306" w:type="pct"/>
                  <w:vAlign w:val="center"/>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72m</w:t>
                  </w:r>
                  <w:r>
                    <w:rPr>
                      <w:rFonts w:hint="default" w:ascii="Times New Roman" w:hAnsi="Times New Roman" w:eastAsia="宋体" w:cs="Times New Roman"/>
                      <w:color w:val="auto"/>
                      <w:u w:val="none"/>
                      <w:vertAlign w:val="superscript"/>
                      <w:lang w:val="en-US" w:eastAsia="zh-CN"/>
                    </w:rPr>
                    <w:t>2</w:t>
                  </w:r>
                </w:p>
              </w:tc>
              <w:tc>
                <w:tcPr>
                  <w:tcW w:w="840" w:type="pct"/>
                  <w:vAlign w:val="center"/>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63" w:type="pct"/>
                  <w:vMerge w:val="continue"/>
                  <w:vAlign w:val="center"/>
                </w:tcPr>
                <w:p>
                  <w:pPr>
                    <w:pStyle w:val="47"/>
                    <w:rPr>
                      <w:rFonts w:hint="default" w:ascii="Times New Roman" w:hAnsi="Times New Roman" w:eastAsia="宋体" w:cs="Times New Roman"/>
                      <w:color w:val="auto"/>
                      <w:u w:val="none"/>
                    </w:rPr>
                  </w:pPr>
                </w:p>
              </w:tc>
              <w:tc>
                <w:tcPr>
                  <w:tcW w:w="1189" w:type="pct"/>
                  <w:vAlign w:val="center"/>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门卫</w:t>
                  </w:r>
                </w:p>
              </w:tc>
              <w:tc>
                <w:tcPr>
                  <w:tcW w:w="2306" w:type="pct"/>
                  <w:vAlign w:val="center"/>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40m</w:t>
                  </w:r>
                  <w:r>
                    <w:rPr>
                      <w:rFonts w:hint="default" w:ascii="Times New Roman" w:hAnsi="Times New Roman" w:eastAsia="宋体" w:cs="Times New Roman"/>
                      <w:color w:val="auto"/>
                      <w:u w:val="none"/>
                      <w:vertAlign w:val="superscript"/>
                      <w:lang w:val="en-US" w:eastAsia="zh-CN"/>
                    </w:rPr>
                    <w:t>2</w:t>
                  </w:r>
                </w:p>
              </w:tc>
              <w:tc>
                <w:tcPr>
                  <w:tcW w:w="840" w:type="pct"/>
                  <w:vAlign w:val="center"/>
                </w:tcPr>
                <w:p>
                  <w:pPr>
                    <w:pStyle w:val="47"/>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63" w:type="pct"/>
                  <w:vMerge w:val="restar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公用工程</w:t>
                  </w:r>
                </w:p>
              </w:tc>
              <w:tc>
                <w:tcPr>
                  <w:tcW w:w="1189" w:type="pc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排水</w:t>
                  </w:r>
                </w:p>
              </w:tc>
              <w:tc>
                <w:tcPr>
                  <w:tcW w:w="2306" w:type="pc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雨污分流系统</w:t>
                  </w:r>
                </w:p>
              </w:tc>
              <w:tc>
                <w:tcPr>
                  <w:tcW w:w="840" w:type="pc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63" w:type="pct"/>
                  <w:vMerge w:val="continue"/>
                  <w:vAlign w:val="center"/>
                </w:tcPr>
                <w:p>
                  <w:pPr>
                    <w:pStyle w:val="47"/>
                    <w:rPr>
                      <w:rFonts w:hint="default" w:ascii="Times New Roman" w:hAnsi="Times New Roman" w:eastAsia="宋体" w:cs="Times New Roman"/>
                      <w:color w:val="auto"/>
                      <w:u w:val="none"/>
                    </w:rPr>
                  </w:pPr>
                </w:p>
              </w:tc>
              <w:tc>
                <w:tcPr>
                  <w:tcW w:w="1189" w:type="pc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给水</w:t>
                  </w:r>
                </w:p>
              </w:tc>
              <w:tc>
                <w:tcPr>
                  <w:tcW w:w="2306" w:type="pc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市政供水管网</w:t>
                  </w:r>
                </w:p>
              </w:tc>
              <w:tc>
                <w:tcPr>
                  <w:tcW w:w="840" w:type="pc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63" w:type="pct"/>
                  <w:vMerge w:val="continue"/>
                  <w:vAlign w:val="center"/>
                </w:tcPr>
                <w:p>
                  <w:pPr>
                    <w:pStyle w:val="47"/>
                    <w:rPr>
                      <w:rFonts w:hint="default" w:ascii="Times New Roman" w:hAnsi="Times New Roman" w:eastAsia="宋体" w:cs="Times New Roman"/>
                      <w:color w:val="auto"/>
                      <w:u w:val="none"/>
                    </w:rPr>
                  </w:pPr>
                </w:p>
              </w:tc>
              <w:tc>
                <w:tcPr>
                  <w:tcW w:w="1189" w:type="pc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供电</w:t>
                  </w:r>
                </w:p>
              </w:tc>
              <w:tc>
                <w:tcPr>
                  <w:tcW w:w="2306" w:type="pc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市政电网提供电源</w:t>
                  </w:r>
                </w:p>
              </w:tc>
              <w:tc>
                <w:tcPr>
                  <w:tcW w:w="840" w:type="pc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663" w:type="pct"/>
                  <w:vMerge w:val="restar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环保工程</w:t>
                  </w:r>
                </w:p>
              </w:tc>
              <w:tc>
                <w:tcPr>
                  <w:tcW w:w="1189" w:type="pc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废水</w:t>
                  </w:r>
                </w:p>
              </w:tc>
              <w:tc>
                <w:tcPr>
                  <w:tcW w:w="3147" w:type="pct"/>
                  <w:gridSpan w:val="2"/>
                  <w:vAlign w:val="center"/>
                </w:tcPr>
                <w:p>
                  <w:pPr>
                    <w:pStyle w:val="47"/>
                    <w:jc w:val="left"/>
                    <w:rPr>
                      <w:rFonts w:hint="default" w:ascii="Times New Roman" w:hAnsi="Times New Roman" w:eastAsia="宋体" w:cs="Times New Roman"/>
                      <w:color w:val="auto"/>
                      <w:u w:val="none"/>
                    </w:rPr>
                  </w:pPr>
                  <w:r>
                    <w:rPr>
                      <w:rFonts w:hint="eastAsia" w:cs="Times New Roman"/>
                      <w:color w:val="auto"/>
                      <w:u w:val="none"/>
                      <w:lang w:val="en-US" w:eastAsia="zh-CN"/>
                    </w:rPr>
                    <w:t>锅炉排污水</w:t>
                  </w:r>
                  <w:r>
                    <w:rPr>
                      <w:rFonts w:hint="default" w:ascii="Times New Roman" w:hAnsi="Times New Roman" w:eastAsia="宋体" w:cs="Times New Roman"/>
                      <w:color w:val="auto"/>
                      <w:u w:val="none"/>
                      <w:lang w:val="en-US" w:eastAsia="zh-CN"/>
                    </w:rPr>
                    <w:t>、软水制备废水收集进入厂区沉淀池处理后直接用于主料预湿工序，不外排</w:t>
                  </w:r>
                  <w:r>
                    <w:rPr>
                      <w:rFonts w:hint="default" w:ascii="Times New Roman" w:hAnsi="Times New Roman" w:eastAsia="宋体" w:cs="Times New Roman"/>
                      <w:color w:val="auto"/>
                      <w:u w:val="none"/>
                    </w:rPr>
                    <w:t>；</w:t>
                  </w:r>
                </w:p>
                <w:p>
                  <w:pPr>
                    <w:pStyle w:val="47"/>
                    <w:jc w:val="left"/>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rPr>
                    <w:t>生活污水经过化粪池处理</w:t>
                  </w:r>
                  <w:r>
                    <w:rPr>
                      <w:rFonts w:hint="default" w:ascii="Times New Roman" w:hAnsi="Times New Roman" w:eastAsia="宋体" w:cs="Times New Roman"/>
                      <w:color w:val="auto"/>
                      <w:u w:val="none"/>
                      <w:lang w:eastAsia="zh-CN"/>
                    </w:rPr>
                    <w:t>，</w:t>
                  </w:r>
                  <w:r>
                    <w:rPr>
                      <w:rFonts w:hint="default" w:ascii="Times New Roman" w:hAnsi="Times New Roman" w:eastAsia="宋体" w:cs="Times New Roman"/>
                      <w:color w:val="auto"/>
                      <w:u w:val="none"/>
                    </w:rPr>
                    <w:t>食堂用水经过隔油池处理后</w:t>
                  </w:r>
                  <w:r>
                    <w:rPr>
                      <w:rFonts w:hint="eastAsia" w:cs="Times New Roman"/>
                      <w:color w:val="auto"/>
                      <w:u w:val="none"/>
                      <w:lang w:val="en-US" w:eastAsia="zh-CN"/>
                    </w:rPr>
                    <w:t>经自建一体化污水处理设备处理达标后给周边农田做农灌水用</w:t>
                  </w:r>
                  <w:r>
                    <w:rPr>
                      <w:rFonts w:hint="default" w:ascii="Times New Roman" w:hAnsi="Times New Roman" w:eastAsia="宋体" w:cs="Times New Roman"/>
                      <w:color w:val="auto"/>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663" w:type="pct"/>
                  <w:vMerge w:val="continue"/>
                  <w:vAlign w:val="center"/>
                </w:tcPr>
                <w:p>
                  <w:pPr>
                    <w:pStyle w:val="47"/>
                    <w:rPr>
                      <w:rFonts w:hint="default" w:ascii="Times New Roman" w:hAnsi="Times New Roman" w:eastAsia="宋体" w:cs="Times New Roman"/>
                      <w:color w:val="auto"/>
                      <w:u w:val="none"/>
                    </w:rPr>
                  </w:pPr>
                </w:p>
              </w:tc>
              <w:tc>
                <w:tcPr>
                  <w:tcW w:w="1189" w:type="pc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废气</w:t>
                  </w:r>
                </w:p>
              </w:tc>
              <w:tc>
                <w:tcPr>
                  <w:tcW w:w="3147" w:type="pct"/>
                  <w:gridSpan w:val="2"/>
                  <w:vAlign w:val="center"/>
                </w:tcPr>
                <w:p>
                  <w:pPr>
                    <w:pStyle w:val="47"/>
                    <w:jc w:val="left"/>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锅炉燃烧废气经</w:t>
                  </w:r>
                  <w:r>
                    <w:rPr>
                      <w:rFonts w:hint="eastAsia" w:cs="Times New Roman"/>
                      <w:color w:val="auto"/>
                      <w:u w:val="none"/>
                      <w:lang w:val="en-US" w:eastAsia="zh-CN"/>
                    </w:rPr>
                    <w:t>多管</w:t>
                  </w:r>
                  <w:r>
                    <w:rPr>
                      <w:rFonts w:hint="default" w:ascii="Times New Roman" w:hAnsi="Times New Roman" w:eastAsia="宋体" w:cs="Times New Roman"/>
                      <w:color w:val="auto"/>
                      <w:u w:val="none"/>
                      <w:lang w:val="en-US" w:eastAsia="zh-CN"/>
                    </w:rPr>
                    <w:t>+布袋除尘器处理后经</w:t>
                  </w:r>
                  <w:r>
                    <w:rPr>
                      <w:rFonts w:hint="default" w:ascii="Times New Roman" w:hAnsi="Times New Roman" w:eastAsia="宋体" w:cs="Times New Roman"/>
                      <w:color w:val="auto"/>
                      <w:u w:val="none"/>
                    </w:rPr>
                    <w:t>1根</w:t>
                  </w:r>
                  <w:r>
                    <w:rPr>
                      <w:rFonts w:hint="default" w:ascii="Times New Roman" w:hAnsi="Times New Roman" w:eastAsia="宋体" w:cs="Times New Roman"/>
                      <w:color w:val="auto"/>
                      <w:u w:val="none"/>
                      <w:lang w:val="en-US" w:eastAsia="zh-CN"/>
                    </w:rPr>
                    <w:t>35m</w:t>
                  </w:r>
                  <w:r>
                    <w:rPr>
                      <w:rFonts w:hint="default" w:ascii="Times New Roman" w:hAnsi="Times New Roman" w:eastAsia="宋体" w:cs="Times New Roman"/>
                      <w:color w:val="auto"/>
                      <w:u w:val="none"/>
                    </w:rPr>
                    <w:t>排气筒（DA001）排放；</w:t>
                  </w:r>
                </w:p>
                <w:p>
                  <w:pPr>
                    <w:pStyle w:val="47"/>
                    <w:jc w:val="left"/>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rPr>
                    <w:t>食堂油烟经油烟净化装置处理后经</w:t>
                  </w:r>
                  <w:r>
                    <w:rPr>
                      <w:rFonts w:hint="default" w:ascii="Times New Roman" w:hAnsi="Times New Roman" w:eastAsia="宋体" w:cs="Times New Roman"/>
                      <w:color w:val="auto"/>
                      <w:u w:val="none"/>
                      <w:lang w:val="en-US" w:eastAsia="zh-CN"/>
                    </w:rPr>
                    <w:t>屋顶排烟管道</w:t>
                  </w:r>
                  <w:r>
                    <w:rPr>
                      <w:rFonts w:hint="default" w:ascii="Times New Roman" w:hAnsi="Times New Roman" w:eastAsia="宋体" w:cs="Times New Roman"/>
                      <w:color w:val="auto"/>
                      <w:u w:val="none"/>
                    </w:rPr>
                    <w:t>排放</w:t>
                  </w:r>
                  <w:r>
                    <w:rPr>
                      <w:rFonts w:hint="default" w:ascii="Times New Roman" w:hAnsi="Times New Roman" w:eastAsia="宋体" w:cs="Times New Roman"/>
                      <w:color w:val="auto"/>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663" w:type="pct"/>
                  <w:vMerge w:val="continue"/>
                  <w:vAlign w:val="center"/>
                </w:tcPr>
                <w:p>
                  <w:pPr>
                    <w:pStyle w:val="47"/>
                    <w:rPr>
                      <w:rFonts w:hint="default" w:ascii="Times New Roman" w:hAnsi="Times New Roman" w:eastAsia="宋体" w:cs="Times New Roman"/>
                      <w:color w:val="auto"/>
                      <w:u w:val="none"/>
                    </w:rPr>
                  </w:pPr>
                </w:p>
              </w:tc>
              <w:tc>
                <w:tcPr>
                  <w:tcW w:w="1189" w:type="pc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固废</w:t>
                  </w:r>
                </w:p>
              </w:tc>
              <w:tc>
                <w:tcPr>
                  <w:tcW w:w="3147" w:type="pct"/>
                  <w:gridSpan w:val="2"/>
                  <w:vAlign w:val="center"/>
                </w:tcPr>
                <w:p>
                  <w:pPr>
                    <w:pStyle w:val="47"/>
                    <w:jc w:val="left"/>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除尘器收集粉尘、废包装材料、沉淀池</w:t>
                  </w:r>
                  <w:r>
                    <w:rPr>
                      <w:rFonts w:hint="eastAsia" w:cs="Times New Roman"/>
                      <w:color w:val="auto"/>
                      <w:u w:val="none"/>
                      <w:lang w:val="en-US" w:eastAsia="zh-CN"/>
                    </w:rPr>
                    <w:t>污泥</w:t>
                  </w:r>
                  <w:r>
                    <w:rPr>
                      <w:rFonts w:hint="default" w:ascii="Times New Roman" w:hAnsi="Times New Roman" w:eastAsia="宋体" w:cs="Times New Roman"/>
                      <w:color w:val="auto"/>
                      <w:u w:val="none"/>
                      <w:lang w:val="en-US" w:eastAsia="zh-CN"/>
                    </w:rPr>
                    <w:t>、废离子交换树脂、废塑料膜、废基料暂存于一般工业固体废物暂存间，定期外售</w:t>
                  </w:r>
                </w:p>
                <w:p>
                  <w:pPr>
                    <w:pStyle w:val="47"/>
                    <w:jc w:val="left"/>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废机油含油废物、含油抹布和手套</w:t>
                  </w:r>
                  <w:r>
                    <w:rPr>
                      <w:rFonts w:hint="default" w:ascii="Times New Roman" w:hAnsi="Times New Roman" w:cs="Times New Roman"/>
                      <w:b w:val="0"/>
                      <w:bCs w:val="0"/>
                      <w:color w:val="auto"/>
                      <w:sz w:val="21"/>
                      <w:szCs w:val="21"/>
                      <w:u w:val="none"/>
                      <w:lang w:val="en-US" w:eastAsia="zh-CN"/>
                    </w:rPr>
                    <w:t>暂存在危险废物暂存间，定期交于有相关危险废物处理资质单位处置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63" w:type="pct"/>
                  <w:vMerge w:val="continue"/>
                  <w:vAlign w:val="center"/>
                </w:tcPr>
                <w:p>
                  <w:pPr>
                    <w:pStyle w:val="47"/>
                    <w:rPr>
                      <w:rFonts w:hint="default" w:ascii="Times New Roman" w:hAnsi="Times New Roman" w:eastAsia="宋体" w:cs="Times New Roman"/>
                      <w:color w:val="auto"/>
                      <w:u w:val="none"/>
                    </w:rPr>
                  </w:pPr>
                </w:p>
              </w:tc>
              <w:tc>
                <w:tcPr>
                  <w:tcW w:w="1189" w:type="pc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噪声</w:t>
                  </w:r>
                </w:p>
              </w:tc>
              <w:tc>
                <w:tcPr>
                  <w:tcW w:w="3147" w:type="pct"/>
                  <w:gridSpan w:val="2"/>
                  <w:vAlign w:val="center"/>
                </w:tcPr>
                <w:p>
                  <w:pPr>
                    <w:pStyle w:val="47"/>
                    <w:jc w:val="left"/>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优选低噪设备，合理布局、基础减振，隔声、距离衰减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63" w:type="pct"/>
                  <w:vMerge w:val="continue"/>
                  <w:vAlign w:val="center"/>
                </w:tcPr>
                <w:p>
                  <w:pPr>
                    <w:pStyle w:val="47"/>
                    <w:rPr>
                      <w:rFonts w:hint="default" w:ascii="Times New Roman" w:hAnsi="Times New Roman" w:eastAsia="宋体" w:cs="Times New Roman"/>
                      <w:color w:val="auto"/>
                      <w:u w:val="none"/>
                    </w:rPr>
                  </w:pPr>
                </w:p>
              </w:tc>
              <w:tc>
                <w:tcPr>
                  <w:tcW w:w="1189" w:type="pct"/>
                  <w:vAlign w:val="center"/>
                </w:tcPr>
                <w:p>
                  <w:pPr>
                    <w:pStyle w:val="47"/>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lang w:val="en-US" w:eastAsia="zh-CN"/>
                    </w:rPr>
                    <w:t>地下水、土壤防渗</w:t>
                  </w:r>
                </w:p>
              </w:tc>
              <w:tc>
                <w:tcPr>
                  <w:tcW w:w="3147" w:type="pct"/>
                  <w:gridSpan w:val="2"/>
                  <w:vAlign w:val="center"/>
                </w:tcPr>
                <w:p>
                  <w:pPr>
                    <w:pStyle w:val="47"/>
                    <w:jc w:val="left"/>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除绿化区域外，全场简单防渗</w:t>
                  </w:r>
                </w:p>
              </w:tc>
            </w:tr>
          </w:tbl>
          <w:p>
            <w:pPr>
              <w:ind w:firstLine="482"/>
              <w:rPr>
                <w:rFonts w:hint="default" w:ascii="Times New Roman" w:hAnsi="Times New Roman" w:eastAsia="宋体" w:cs="Times New Roman"/>
                <w:b/>
                <w:bCs/>
                <w:color w:val="auto"/>
                <w:u w:val="none"/>
              </w:rPr>
            </w:pPr>
            <w:r>
              <w:rPr>
                <w:rFonts w:hint="default" w:ascii="Times New Roman" w:hAnsi="Times New Roman" w:eastAsia="宋体" w:cs="Times New Roman"/>
                <w:b/>
                <w:bCs/>
                <w:color w:val="auto"/>
                <w:u w:val="none"/>
              </w:rPr>
              <w:t>4、公用系统及依托可行性分析</w:t>
            </w:r>
          </w:p>
          <w:p>
            <w:pPr>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（1）给水系统</w:t>
            </w:r>
          </w:p>
          <w:p>
            <w:pPr>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本项目用水由市政给水管网供水，办公室生活用水，接入点给水水压能满足各单元用水压力条件。</w:t>
            </w:r>
          </w:p>
          <w:p>
            <w:pPr>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①生活用水：本项目定员</w:t>
            </w:r>
            <w:r>
              <w:rPr>
                <w:rFonts w:hint="default" w:ascii="Times New Roman" w:hAnsi="Times New Roman" w:eastAsia="宋体" w:cs="Times New Roman"/>
                <w:color w:val="auto"/>
                <w:u w:val="none"/>
                <w:lang w:val="en-US" w:eastAsia="zh-CN"/>
              </w:rPr>
              <w:t>130</w:t>
            </w:r>
            <w:r>
              <w:rPr>
                <w:rFonts w:hint="default" w:ascii="Times New Roman" w:hAnsi="Times New Roman" w:eastAsia="宋体" w:cs="Times New Roman"/>
                <w:color w:val="auto"/>
                <w:u w:val="none"/>
              </w:rPr>
              <w:t>人，年工作</w:t>
            </w:r>
            <w:r>
              <w:rPr>
                <w:rFonts w:hint="default" w:ascii="Times New Roman" w:hAnsi="Times New Roman" w:eastAsia="宋体" w:cs="Times New Roman"/>
                <w:color w:val="auto"/>
                <w:u w:val="none"/>
                <w:lang w:val="en-US" w:eastAsia="zh-CN"/>
              </w:rPr>
              <w:t>330</w:t>
            </w:r>
            <w:r>
              <w:rPr>
                <w:rFonts w:hint="default" w:ascii="Times New Roman" w:hAnsi="Times New Roman" w:eastAsia="宋体" w:cs="Times New Roman"/>
                <w:color w:val="auto"/>
                <w:u w:val="none"/>
              </w:rPr>
              <w:t>天，每天工作8小时，</w:t>
            </w:r>
            <w:r>
              <w:rPr>
                <w:rFonts w:hint="default" w:ascii="Times New Roman" w:hAnsi="Times New Roman" w:eastAsia="宋体" w:cs="Times New Roman"/>
                <w:color w:val="auto"/>
                <w:u w:val="none"/>
                <w:lang w:val="en-US" w:eastAsia="zh-CN"/>
              </w:rPr>
              <w:t>不在厂内住宿，</w:t>
            </w:r>
            <w:r>
              <w:rPr>
                <w:rFonts w:hint="default" w:ascii="Times New Roman" w:hAnsi="Times New Roman" w:eastAsia="宋体" w:cs="Times New Roman"/>
                <w:color w:val="auto"/>
                <w:u w:val="single"/>
              </w:rPr>
              <w:t>根据湖南省地方标准《用水定额》（DB43/T388-2020）</w:t>
            </w:r>
            <w:r>
              <w:rPr>
                <w:rFonts w:hint="eastAsia" w:cs="Times New Roman"/>
                <w:color w:val="auto"/>
                <w:u w:val="single"/>
                <w:lang w:val="en-US" w:eastAsia="zh-CN"/>
              </w:rPr>
              <w:t>表31公共事业及公共建筑用水定额，办公楼用水括办公室、食堂、浴室、锅炉、空调、集体宿舍和绿化等与机关服务相关的用水量，不包括对外服务的政务大厅等用水量，通用定额为38m</w:t>
            </w:r>
            <w:r>
              <w:rPr>
                <w:rFonts w:hint="eastAsia" w:cs="Times New Roman"/>
                <w:color w:val="auto"/>
                <w:sz w:val="24"/>
                <w:u w:val="single"/>
                <w:vertAlign w:val="superscript"/>
                <w:lang w:val="en-US" w:eastAsia="zh-CN"/>
              </w:rPr>
              <w:t>3</w:t>
            </w:r>
            <w:r>
              <w:rPr>
                <w:rFonts w:hint="eastAsia" w:cs="Times New Roman"/>
                <w:color w:val="auto"/>
                <w:u w:val="single"/>
                <w:lang w:val="en-US" w:eastAsia="zh-CN"/>
              </w:rPr>
              <w:t>/人</w:t>
            </w:r>
            <w:r>
              <w:rPr>
                <w:rFonts w:hint="default" w:ascii="Times New Roman" w:hAnsi="Times New Roman" w:eastAsia="宋体" w:cs="Times New Roman"/>
                <w:color w:val="auto"/>
                <w:u w:val="single"/>
              </w:rPr>
              <w:t>·</w:t>
            </w:r>
            <w:r>
              <w:rPr>
                <w:rFonts w:hint="eastAsia" w:cs="Times New Roman"/>
                <w:color w:val="auto"/>
                <w:u w:val="single"/>
                <w:lang w:val="en-US" w:eastAsia="zh-CN"/>
              </w:rPr>
              <w:t>a</w:t>
            </w:r>
            <w:r>
              <w:rPr>
                <w:rFonts w:hint="eastAsia" w:cs="Times New Roman"/>
                <w:color w:val="auto"/>
                <w:u w:val="single"/>
                <w:lang w:eastAsia="zh-CN"/>
              </w:rPr>
              <w:t>。</w:t>
            </w:r>
            <w:r>
              <w:rPr>
                <w:rFonts w:hint="eastAsia" w:cs="Times New Roman"/>
                <w:color w:val="auto"/>
                <w:u w:val="single"/>
                <w:lang w:val="en-US" w:eastAsia="zh-CN"/>
              </w:rPr>
              <w:t>考虑本工程职工不在厂内住宿，其</w:t>
            </w:r>
            <w:r>
              <w:rPr>
                <w:rFonts w:hint="default" w:ascii="Times New Roman" w:hAnsi="Times New Roman" w:eastAsia="宋体" w:cs="Times New Roman"/>
                <w:color w:val="auto"/>
                <w:u w:val="single"/>
              </w:rPr>
              <w:t>生活用水量</w:t>
            </w:r>
            <w:r>
              <w:rPr>
                <w:rFonts w:hint="eastAsia" w:cs="Times New Roman"/>
                <w:color w:val="auto"/>
                <w:u w:val="single"/>
                <w:lang w:val="en-US" w:eastAsia="zh-CN"/>
              </w:rPr>
              <w:t>参考办公楼用水定额</w:t>
            </w:r>
            <w:r>
              <w:rPr>
                <w:rFonts w:hint="default" w:ascii="Times New Roman" w:hAnsi="Times New Roman" w:eastAsia="宋体" w:cs="Times New Roman"/>
                <w:color w:val="auto"/>
                <w:u w:val="single"/>
                <w:lang w:val="en-US" w:eastAsia="zh-CN"/>
              </w:rPr>
              <w:t>38</w:t>
            </w:r>
            <w:r>
              <w:rPr>
                <w:rFonts w:hint="eastAsia" w:cs="Times New Roman"/>
                <w:color w:val="auto"/>
                <w:u w:val="single"/>
                <w:lang w:val="en-US" w:eastAsia="zh-CN"/>
              </w:rPr>
              <w:t>m</w:t>
            </w:r>
            <w:r>
              <w:rPr>
                <w:rFonts w:hint="eastAsia" w:cs="Times New Roman"/>
                <w:color w:val="auto"/>
                <w:sz w:val="24"/>
                <w:u w:val="single"/>
                <w:vertAlign w:val="superscript"/>
                <w:lang w:val="en-US" w:eastAsia="zh-CN"/>
              </w:rPr>
              <w:t>3</w:t>
            </w:r>
            <w:r>
              <w:rPr>
                <w:rFonts w:hint="default" w:ascii="Times New Roman" w:hAnsi="Times New Roman" w:eastAsia="宋体" w:cs="Times New Roman"/>
                <w:color w:val="auto"/>
                <w:u w:val="single"/>
              </w:rPr>
              <w:t>/（人·</w:t>
            </w:r>
            <w:r>
              <w:rPr>
                <w:rFonts w:hint="eastAsia" w:cs="Times New Roman"/>
                <w:color w:val="auto"/>
                <w:u w:val="single"/>
                <w:lang w:val="en-US" w:eastAsia="zh-CN"/>
              </w:rPr>
              <w:t>a</w:t>
            </w:r>
            <w:r>
              <w:rPr>
                <w:rFonts w:hint="default" w:ascii="Times New Roman" w:hAnsi="Times New Roman" w:eastAsia="宋体" w:cs="Times New Roman"/>
                <w:color w:val="auto"/>
                <w:u w:val="single"/>
              </w:rPr>
              <w:t>）</w:t>
            </w:r>
            <w:r>
              <w:rPr>
                <w:rFonts w:hint="eastAsia" w:cs="Times New Roman"/>
                <w:color w:val="auto"/>
                <w:u w:val="single"/>
                <w:lang w:val="en-US" w:eastAsia="zh-CN"/>
              </w:rPr>
              <w:t>计算</w:t>
            </w:r>
            <w:r>
              <w:rPr>
                <w:rFonts w:hint="default" w:ascii="Times New Roman" w:hAnsi="Times New Roman" w:eastAsia="宋体" w:cs="Times New Roman"/>
                <w:color w:val="auto"/>
                <w:u w:val="single"/>
              </w:rPr>
              <w:t>，</w:t>
            </w:r>
            <w:r>
              <w:rPr>
                <w:rFonts w:hint="default" w:ascii="Times New Roman" w:hAnsi="Times New Roman" w:eastAsia="宋体" w:cs="Times New Roman"/>
                <w:color w:val="auto"/>
                <w:u w:val="none"/>
              </w:rPr>
              <w:t>本项目营运期生活用水量为</w:t>
            </w:r>
            <w:r>
              <w:rPr>
                <w:rFonts w:hint="eastAsia" w:cs="Times New Roman"/>
                <w:color w:val="auto"/>
                <w:u w:val="none"/>
                <w:lang w:val="en-US" w:eastAsia="zh-CN"/>
              </w:rPr>
              <w:t>4940</w:t>
            </w:r>
            <w:r>
              <w:rPr>
                <w:rFonts w:hint="default" w:ascii="Times New Roman" w:hAnsi="Times New Roman" w:eastAsia="宋体" w:cs="Times New Roman"/>
                <w:color w:val="auto"/>
                <w:u w:val="none"/>
              </w:rPr>
              <w:t>m</w:t>
            </w:r>
            <w:r>
              <w:rPr>
                <w:rFonts w:hint="default" w:ascii="Times New Roman" w:hAnsi="Times New Roman" w:eastAsia="宋体" w:cs="Times New Roman"/>
                <w:color w:val="auto"/>
                <w:u w:val="none"/>
                <w:vertAlign w:val="superscript"/>
              </w:rPr>
              <w:t>3</w:t>
            </w:r>
            <w:r>
              <w:rPr>
                <w:rFonts w:hint="default" w:ascii="Times New Roman" w:hAnsi="Times New Roman" w:eastAsia="宋体" w:cs="Times New Roman"/>
                <w:color w:val="auto"/>
                <w:u w:val="none"/>
              </w:rPr>
              <w:t>/a。排水系数按用水量的80%计算，生活污水</w:t>
            </w:r>
            <w:r>
              <w:rPr>
                <w:rFonts w:hint="eastAsia" w:cs="Times New Roman"/>
                <w:color w:val="auto"/>
                <w:u w:val="none"/>
                <w:lang w:val="en-US" w:eastAsia="zh-CN"/>
              </w:rPr>
              <w:t>排放</w:t>
            </w:r>
            <w:r>
              <w:rPr>
                <w:rFonts w:hint="default" w:ascii="Times New Roman" w:hAnsi="Times New Roman" w:eastAsia="宋体" w:cs="Times New Roman"/>
                <w:color w:val="auto"/>
                <w:u w:val="none"/>
              </w:rPr>
              <w:t>量为</w:t>
            </w:r>
            <w:r>
              <w:rPr>
                <w:rFonts w:hint="eastAsia" w:cs="Times New Roman"/>
                <w:color w:val="auto"/>
                <w:u w:val="none"/>
                <w:lang w:val="en-US" w:eastAsia="zh-CN"/>
              </w:rPr>
              <w:t>3952</w:t>
            </w:r>
            <w:r>
              <w:rPr>
                <w:rFonts w:hint="default" w:ascii="Times New Roman" w:hAnsi="Times New Roman" w:eastAsia="宋体" w:cs="Times New Roman"/>
                <w:color w:val="auto"/>
                <w:u w:val="none"/>
              </w:rPr>
              <w:t>m</w:t>
            </w:r>
            <w:r>
              <w:rPr>
                <w:rFonts w:hint="default" w:ascii="Times New Roman" w:hAnsi="Times New Roman" w:eastAsia="宋体" w:cs="Times New Roman"/>
                <w:color w:val="auto"/>
                <w:u w:val="none"/>
                <w:vertAlign w:val="superscript"/>
              </w:rPr>
              <w:t>3</w:t>
            </w:r>
            <w:r>
              <w:rPr>
                <w:rFonts w:hint="default" w:ascii="Times New Roman" w:hAnsi="Times New Roman" w:eastAsia="宋体" w:cs="Times New Roman"/>
                <w:color w:val="auto"/>
                <w:u w:val="none"/>
              </w:rPr>
              <w:t>/a。</w:t>
            </w:r>
          </w:p>
          <w:p>
            <w:pPr>
              <w:ind w:firstLine="480"/>
              <w:rPr>
                <w:rFonts w:hint="default" w:ascii="Times New Roman" w:hAnsi="Times New Roman" w:eastAsia="宋体" w:cs="Times New Roman"/>
                <w:color w:val="auto"/>
                <w:u w:val="none"/>
                <w:lang w:val="en-US"/>
              </w:rPr>
            </w:pPr>
            <w:r>
              <w:rPr>
                <w:rFonts w:hint="default" w:ascii="Times New Roman" w:hAnsi="Times New Roman" w:eastAsia="宋体" w:cs="Times New Roman"/>
                <w:color w:val="auto"/>
                <w:u w:val="none"/>
              </w:rPr>
              <w:t>②锅炉用水：本项目配套</w:t>
            </w:r>
            <w:r>
              <w:rPr>
                <w:rFonts w:hint="default" w:ascii="Times New Roman" w:hAnsi="Times New Roman" w:eastAsia="宋体" w:cs="Times New Roman"/>
                <w:color w:val="auto"/>
                <w:u w:val="none"/>
                <w:lang w:val="en-US" w:eastAsia="zh-CN"/>
              </w:rPr>
              <w:t>生物质</w:t>
            </w:r>
            <w:r>
              <w:rPr>
                <w:rFonts w:hint="default" w:ascii="Times New Roman" w:hAnsi="Times New Roman" w:eastAsia="宋体" w:cs="Times New Roman"/>
                <w:color w:val="auto"/>
                <w:u w:val="none"/>
              </w:rPr>
              <w:t>蒸汽锅炉1台，</w:t>
            </w:r>
            <w:r>
              <w:rPr>
                <w:rFonts w:hint="eastAsia" w:ascii="宋体" w:hAnsi="宋体" w:cs="宋体"/>
                <w:color w:val="auto"/>
                <w:kern w:val="0"/>
                <w:sz w:val="24"/>
                <w:szCs w:val="24"/>
                <w:u w:val="none"/>
                <w:lang w:val="en-US" w:eastAsia="zh-CN" w:bidi="ar"/>
              </w:rPr>
              <w:t>型号为SZL6-1.25-S，</w:t>
            </w:r>
            <w:r>
              <w:rPr>
                <w:rFonts w:hint="default" w:ascii="Times New Roman" w:hAnsi="Times New Roman" w:eastAsia="宋体" w:cs="Times New Roman"/>
                <w:color w:val="auto"/>
                <w:u w:val="none"/>
              </w:rPr>
              <w:t>额定蒸发量为</w:t>
            </w:r>
            <w:r>
              <w:rPr>
                <w:rFonts w:hint="eastAsia" w:cs="Times New Roman"/>
                <w:color w:val="auto"/>
                <w:u w:val="none"/>
                <w:lang w:val="en-US" w:eastAsia="zh-CN"/>
              </w:rPr>
              <w:t>6</w:t>
            </w:r>
            <w:r>
              <w:rPr>
                <w:rFonts w:hint="default" w:ascii="Times New Roman" w:hAnsi="Times New Roman" w:eastAsia="宋体" w:cs="Times New Roman"/>
                <w:color w:val="auto"/>
                <w:u w:val="none"/>
              </w:rPr>
              <w:t>t/h。锅炉年运行时间为3</w:t>
            </w:r>
            <w:r>
              <w:rPr>
                <w:rFonts w:hint="default" w:ascii="Times New Roman" w:hAnsi="Times New Roman" w:eastAsia="宋体" w:cs="Times New Roman"/>
                <w:color w:val="auto"/>
                <w:u w:val="none"/>
                <w:lang w:val="en-US" w:eastAsia="zh-CN"/>
              </w:rPr>
              <w:t>3</w:t>
            </w:r>
            <w:r>
              <w:rPr>
                <w:rFonts w:hint="default" w:ascii="Times New Roman" w:hAnsi="Times New Roman" w:eastAsia="宋体" w:cs="Times New Roman"/>
                <w:color w:val="auto"/>
                <w:u w:val="none"/>
              </w:rPr>
              <w:t>0天，每天满负荷运行约6小时，则生产蒸汽用水量为</w:t>
            </w:r>
            <w:r>
              <w:rPr>
                <w:rFonts w:hint="eastAsia" w:cs="Times New Roman"/>
                <w:color w:val="auto"/>
                <w:u w:val="none"/>
                <w:lang w:val="en-US" w:eastAsia="zh-CN"/>
              </w:rPr>
              <w:t>36</w:t>
            </w:r>
            <w:r>
              <w:rPr>
                <w:rFonts w:hint="default" w:ascii="Times New Roman" w:hAnsi="Times New Roman" w:eastAsia="宋体" w:cs="Times New Roman"/>
                <w:color w:val="auto"/>
                <w:u w:val="none"/>
              </w:rPr>
              <w:t>m³/d（</w:t>
            </w:r>
            <w:r>
              <w:rPr>
                <w:rFonts w:hint="eastAsia" w:cs="Times New Roman"/>
                <w:color w:val="auto"/>
                <w:u w:val="none"/>
                <w:lang w:val="en-US" w:eastAsia="zh-CN"/>
              </w:rPr>
              <w:t>11880</w:t>
            </w:r>
            <w:r>
              <w:rPr>
                <w:rFonts w:hint="default" w:ascii="Times New Roman" w:hAnsi="Times New Roman" w:eastAsia="宋体" w:cs="Times New Roman"/>
                <w:color w:val="auto"/>
                <w:u w:val="none"/>
              </w:rPr>
              <w:t>m³/a）</w:t>
            </w:r>
            <w:r>
              <w:rPr>
                <w:rFonts w:hint="default" w:ascii="Times New Roman" w:hAnsi="Times New Roman" w:eastAsia="宋体" w:cs="Times New Roman"/>
                <w:color w:val="auto"/>
                <w:u w:val="none"/>
                <w:lang w:val="en-US" w:eastAsia="zh-CN"/>
              </w:rPr>
              <w:t>。</w:t>
            </w:r>
            <w:r>
              <w:rPr>
                <w:rFonts w:hint="default" w:ascii="Times New Roman" w:hAnsi="Times New Roman" w:eastAsia="宋体" w:cs="Times New Roman"/>
                <w:color w:val="auto"/>
                <w:u w:val="none"/>
              </w:rPr>
              <w:t>根据文献《锅炉蒸汽冷凝水回收利用方法》（作者李长林、张文品；来源：科学论坛）可知锅炉蒸汽冷凝水回收利用率至少为60％，最高可达到80％。本项目锅炉蒸汽冷凝水回收率取平均值，回收率按70％计算，则</w:t>
            </w:r>
            <w:r>
              <w:rPr>
                <w:rFonts w:hint="eastAsia" w:cs="Times New Roman"/>
                <w:color w:val="auto"/>
                <w:u w:val="none"/>
                <w:lang w:val="en-US" w:eastAsia="zh-CN"/>
              </w:rPr>
              <w:t>回收</w:t>
            </w:r>
            <w:r>
              <w:rPr>
                <w:rFonts w:hint="default" w:ascii="Times New Roman" w:hAnsi="Times New Roman" w:eastAsia="宋体" w:cs="Times New Roman"/>
                <w:color w:val="auto"/>
                <w:u w:val="none"/>
              </w:rPr>
              <w:t>水量为</w:t>
            </w:r>
            <w:r>
              <w:rPr>
                <w:rFonts w:hint="eastAsia" w:cs="Times New Roman"/>
                <w:color w:val="auto"/>
                <w:u w:val="none"/>
                <w:lang w:val="en-US" w:eastAsia="zh-CN"/>
              </w:rPr>
              <w:t>25.2</w:t>
            </w:r>
            <w:r>
              <w:rPr>
                <w:rFonts w:hint="default" w:ascii="Times New Roman" w:hAnsi="Times New Roman" w:eastAsia="宋体" w:cs="Times New Roman"/>
                <w:color w:val="auto"/>
                <w:u w:val="none"/>
              </w:rPr>
              <w:t>m³/d（</w:t>
            </w:r>
            <w:r>
              <w:rPr>
                <w:rFonts w:hint="eastAsia" w:cs="Times New Roman"/>
                <w:color w:val="auto"/>
                <w:u w:val="none"/>
                <w:lang w:val="en-US" w:eastAsia="zh-CN"/>
              </w:rPr>
              <w:t>8316</w:t>
            </w:r>
            <w:r>
              <w:rPr>
                <w:rFonts w:hint="default" w:ascii="Times New Roman" w:hAnsi="Times New Roman" w:eastAsia="宋体" w:cs="Times New Roman"/>
                <w:color w:val="auto"/>
                <w:u w:val="none"/>
              </w:rPr>
              <w:t>m³/a），损耗水量（蒸发损耗）为</w:t>
            </w:r>
            <w:r>
              <w:rPr>
                <w:rFonts w:hint="eastAsia" w:cs="Times New Roman"/>
                <w:color w:val="auto"/>
                <w:u w:val="none"/>
                <w:lang w:val="en-US" w:eastAsia="zh-CN"/>
              </w:rPr>
              <w:t>10.8</w:t>
            </w:r>
            <w:r>
              <w:rPr>
                <w:rFonts w:hint="default" w:ascii="Times New Roman" w:hAnsi="Times New Roman" w:eastAsia="宋体" w:cs="Times New Roman"/>
                <w:color w:val="auto"/>
                <w:u w:val="none"/>
              </w:rPr>
              <w:t>m³/d（</w:t>
            </w:r>
            <w:r>
              <w:rPr>
                <w:rFonts w:hint="eastAsia" w:cs="Times New Roman"/>
                <w:color w:val="auto"/>
                <w:u w:val="none"/>
                <w:lang w:val="en-US" w:eastAsia="zh-CN"/>
              </w:rPr>
              <w:t>3564</w:t>
            </w:r>
            <w:r>
              <w:rPr>
                <w:rFonts w:hint="default" w:ascii="Times New Roman" w:hAnsi="Times New Roman" w:eastAsia="宋体" w:cs="Times New Roman"/>
                <w:color w:val="auto"/>
                <w:u w:val="none"/>
              </w:rPr>
              <w:t>m³/a），需补充的锅炉新鲜水量为</w:t>
            </w:r>
            <w:r>
              <w:rPr>
                <w:rFonts w:hint="eastAsia" w:cs="Times New Roman"/>
                <w:color w:val="auto"/>
                <w:u w:val="none"/>
                <w:lang w:val="en-US" w:eastAsia="zh-CN"/>
              </w:rPr>
              <w:t>12.8</w:t>
            </w:r>
            <w:r>
              <w:rPr>
                <w:rFonts w:hint="default" w:ascii="Times New Roman" w:hAnsi="Times New Roman" w:eastAsia="宋体" w:cs="Times New Roman"/>
                <w:color w:val="auto"/>
                <w:u w:val="none"/>
              </w:rPr>
              <w:t>m³/d（</w:t>
            </w:r>
            <w:r>
              <w:rPr>
                <w:rFonts w:hint="eastAsia" w:cs="Times New Roman"/>
                <w:color w:val="auto"/>
                <w:u w:val="none"/>
                <w:lang w:val="en-US" w:eastAsia="zh-CN"/>
              </w:rPr>
              <w:t>4224.77</w:t>
            </w:r>
            <w:r>
              <w:rPr>
                <w:rFonts w:hint="default" w:ascii="Times New Roman" w:hAnsi="Times New Roman" w:eastAsia="宋体" w:cs="Times New Roman"/>
                <w:color w:val="auto"/>
                <w:u w:val="none"/>
              </w:rPr>
              <w:t>m³/a）</w:t>
            </w:r>
            <w:r>
              <w:rPr>
                <w:rFonts w:hint="default" w:ascii="Times New Roman" w:hAnsi="Times New Roman" w:eastAsia="宋体" w:cs="Times New Roman"/>
                <w:color w:val="auto"/>
                <w:u w:val="none"/>
                <w:lang w:val="en-US" w:eastAsia="zh-CN"/>
              </w:rPr>
              <w:t>。</w:t>
            </w:r>
          </w:p>
          <w:p>
            <w:pPr>
              <w:keepNext w:val="0"/>
              <w:keepLines w:val="0"/>
              <w:widowControl/>
              <w:suppressLineNumbers w:val="0"/>
              <w:jc w:val="left"/>
              <w:rPr>
                <w:rFonts w:hint="default" w:ascii="宋体" w:hAnsi="宋体" w:eastAsia="宋体" w:cs="宋体"/>
                <w:color w:val="auto"/>
                <w:u w:val="single" w:color="auto"/>
                <w:lang w:val="en-US" w:eastAsia="zh-CN"/>
              </w:rPr>
            </w:pPr>
            <w:r>
              <w:rPr>
                <w:rFonts w:hint="default" w:ascii="Times New Roman" w:hAnsi="Times New Roman" w:eastAsia="宋体" w:cs="Times New Roman"/>
                <w:color w:val="auto"/>
                <w:u w:val="single" w:color="auto"/>
              </w:rPr>
              <w:t>③</w:t>
            </w:r>
            <w:r>
              <w:rPr>
                <w:rFonts w:hint="eastAsia" w:ascii="Times New Roman" w:hAnsi="Times New Roman" w:eastAsia="宋体" w:cs="Times New Roman"/>
                <w:color w:val="auto"/>
                <w:kern w:val="0"/>
                <w:sz w:val="24"/>
                <w:szCs w:val="24"/>
                <w:u w:val="single" w:color="auto"/>
                <w:lang w:val="en-US" w:eastAsia="zh-CN" w:bidi="ar"/>
              </w:rPr>
              <w:t>锅炉</w:t>
            </w:r>
            <w:r>
              <w:rPr>
                <w:rFonts w:hint="eastAsia" w:cs="Times New Roman"/>
                <w:color w:val="auto"/>
                <w:kern w:val="0"/>
                <w:sz w:val="24"/>
                <w:szCs w:val="24"/>
                <w:u w:val="single" w:color="auto"/>
                <w:lang w:val="en-US" w:eastAsia="zh-CN" w:bidi="ar"/>
              </w:rPr>
              <w:t>排污水</w:t>
            </w:r>
            <w:r>
              <w:rPr>
                <w:rFonts w:hint="eastAsia" w:ascii="Times New Roman" w:hAnsi="Times New Roman" w:eastAsia="宋体" w:cs="Times New Roman"/>
                <w:color w:val="auto"/>
                <w:kern w:val="0"/>
                <w:sz w:val="24"/>
                <w:szCs w:val="24"/>
                <w:u w:val="single" w:color="auto"/>
                <w:lang w:val="en-US" w:eastAsia="zh-CN" w:bidi="ar"/>
              </w:rPr>
              <w:t>：</w:t>
            </w:r>
            <w:r>
              <w:rPr>
                <w:rFonts w:hint="default" w:ascii="Times New Roman" w:hAnsi="Times New Roman" w:cs="Times New Roman"/>
                <w:color w:val="auto"/>
                <w:sz w:val="24"/>
                <w:u w:val="single" w:color="auto"/>
                <w:lang w:val="en-GB"/>
              </w:rPr>
              <w:t>锅炉排污水</w:t>
            </w:r>
            <w:r>
              <w:rPr>
                <w:rFonts w:hint="eastAsia" w:ascii="Times New Roman" w:hAnsi="Times New Roman" w:cs="Times New Roman"/>
                <w:color w:val="auto"/>
                <w:sz w:val="24"/>
                <w:u w:val="single" w:color="auto"/>
                <w:lang w:val="en-US" w:eastAsia="zh-CN"/>
              </w:rPr>
              <w:t>是指通过向锅炉内投入一定数量的软水剂，使锅炉给水中的结垢物质转变成泥垢</w:t>
            </w:r>
            <w:r>
              <w:rPr>
                <w:rFonts w:hint="eastAsia" w:cs="Times New Roman"/>
                <w:color w:val="auto"/>
                <w:sz w:val="24"/>
                <w:u w:val="single" w:color="auto"/>
                <w:lang w:val="en-US" w:eastAsia="zh-CN"/>
              </w:rPr>
              <w:t>，</w:t>
            </w:r>
            <w:r>
              <w:rPr>
                <w:rFonts w:hint="eastAsia" w:ascii="Times New Roman" w:hAnsi="Times New Roman" w:cs="Times New Roman"/>
                <w:color w:val="auto"/>
                <w:sz w:val="24"/>
                <w:u w:val="single" w:color="auto"/>
                <w:lang w:val="en-US" w:eastAsia="zh-CN"/>
              </w:rPr>
              <w:t>然后通过锅炉排污将沉渣排出锅炉</w:t>
            </w:r>
            <w:r>
              <w:rPr>
                <w:rFonts w:hint="eastAsia" w:cs="Times New Roman"/>
                <w:color w:val="auto"/>
                <w:sz w:val="24"/>
                <w:u w:val="single" w:color="auto"/>
                <w:lang w:val="en-US" w:eastAsia="zh-CN"/>
              </w:rPr>
              <w:t>，</w:t>
            </w:r>
            <w:r>
              <w:rPr>
                <w:rFonts w:hint="eastAsia" w:ascii="Times New Roman" w:hAnsi="Times New Roman" w:cs="Times New Roman"/>
                <w:color w:val="auto"/>
                <w:sz w:val="24"/>
                <w:u w:val="single" w:color="auto"/>
                <w:lang w:val="en-US" w:eastAsia="zh-CN"/>
              </w:rPr>
              <w:t>从而达到减缓或防止水垢结生的目的</w:t>
            </w:r>
            <w:r>
              <w:rPr>
                <w:rFonts w:hint="eastAsia" w:cs="Times New Roman"/>
                <w:color w:val="auto"/>
                <w:sz w:val="24"/>
                <w:u w:val="single" w:color="auto"/>
                <w:lang w:val="en-US" w:eastAsia="zh-CN"/>
              </w:rPr>
              <w:t>。</w:t>
            </w:r>
            <w:r>
              <w:rPr>
                <w:rFonts w:hint="default" w:ascii="Times New Roman" w:hAnsi="Times New Roman" w:eastAsia="宋体" w:cs="Times New Roman"/>
                <w:color w:val="auto"/>
                <w:kern w:val="0"/>
                <w:sz w:val="24"/>
                <w:szCs w:val="24"/>
                <w:u w:val="single" w:color="auto"/>
                <w:lang w:val="en-US" w:eastAsia="zh-CN" w:bidi="ar"/>
              </w:rPr>
              <w:t>根据《排放源统计调查产排污核算方法和系数手册》(生态环境部公告2021第24号)中“锅炉产排污量核算系数手册，4430工业锅炉(热力生产和供应行业)产污系数表-工业废水量和</w:t>
            </w:r>
            <w:r>
              <w:rPr>
                <w:rFonts w:hint="default" w:ascii="Times New Roman" w:hAnsi="Times New Roman" w:eastAsia="宋体" w:cs="Times New Roman"/>
                <w:color w:val="auto"/>
                <w:kern w:val="0"/>
                <w:sz w:val="24"/>
                <w:szCs w:val="24"/>
                <w:u w:val="single" w:color="auto"/>
                <w:lang w:val="en-GB" w:eastAsia="zh-CN" w:bidi="ar"/>
              </w:rPr>
              <w:t>化学需氧量</w:t>
            </w:r>
            <w:r>
              <w:rPr>
                <w:rFonts w:hint="default" w:ascii="Times New Roman" w:hAnsi="Times New Roman" w:cs="Times New Roman"/>
                <w:color w:val="auto"/>
                <w:sz w:val="24"/>
                <w:u w:val="single" w:color="auto"/>
                <w:lang w:val="en-GB"/>
              </w:rPr>
              <w:t>”中燃生物质燃料锅炉</w:t>
            </w:r>
            <w:r>
              <w:rPr>
                <w:rFonts w:hint="default" w:ascii="Times New Roman" w:hAnsi="Times New Roman" w:cs="Times New Roman"/>
                <w:color w:val="auto"/>
                <w:sz w:val="24"/>
                <w:u w:val="single" w:color="auto"/>
                <w:lang w:val="en-GB" w:eastAsia="zh-CN"/>
              </w:rPr>
              <w:t>(</w:t>
            </w:r>
            <w:r>
              <w:rPr>
                <w:rFonts w:hint="default" w:ascii="Times New Roman" w:hAnsi="Times New Roman" w:cs="Times New Roman"/>
                <w:color w:val="auto"/>
                <w:sz w:val="24"/>
                <w:u w:val="single" w:color="auto"/>
                <w:lang w:val="en-GB"/>
              </w:rPr>
              <w:t>锅</w:t>
            </w:r>
            <w:r>
              <w:rPr>
                <w:rFonts w:hint="eastAsia" w:cs="Times New Roman"/>
                <w:color w:val="auto"/>
                <w:sz w:val="24"/>
                <w:u w:val="single" w:color="auto"/>
                <w:lang w:val="en-US" w:eastAsia="zh-CN"/>
              </w:rPr>
              <w:t>内</w:t>
            </w:r>
            <w:r>
              <w:rPr>
                <w:rFonts w:hint="default" w:ascii="Times New Roman" w:hAnsi="Times New Roman" w:cs="Times New Roman"/>
                <w:color w:val="auto"/>
                <w:sz w:val="24"/>
                <w:u w:val="single" w:color="auto"/>
                <w:lang w:val="en-GB"/>
              </w:rPr>
              <w:t>水处理</w:t>
            </w:r>
            <w:r>
              <w:rPr>
                <w:rFonts w:hint="default" w:ascii="Times New Roman" w:hAnsi="Times New Roman" w:cs="Times New Roman"/>
                <w:color w:val="auto"/>
                <w:sz w:val="24"/>
                <w:u w:val="single" w:color="auto"/>
                <w:lang w:val="en-GB" w:eastAsia="zh-CN"/>
              </w:rPr>
              <w:t>)</w:t>
            </w:r>
            <w:r>
              <w:rPr>
                <w:rFonts w:hint="default" w:ascii="Times New Roman" w:hAnsi="Times New Roman" w:cs="Times New Roman"/>
                <w:color w:val="auto"/>
                <w:sz w:val="24"/>
                <w:u w:val="single" w:color="auto"/>
                <w:lang w:val="en-GB"/>
              </w:rPr>
              <w:t>工业废水量产污系数为</w:t>
            </w:r>
            <w:r>
              <w:rPr>
                <w:rFonts w:hint="eastAsia" w:cs="Times New Roman"/>
                <w:color w:val="auto"/>
                <w:sz w:val="24"/>
                <w:u w:val="single" w:color="auto"/>
                <w:lang w:val="en-US" w:eastAsia="zh-CN"/>
              </w:rPr>
              <w:t>0.259</w:t>
            </w:r>
            <w:r>
              <w:rPr>
                <w:rFonts w:hint="default" w:ascii="Times New Roman" w:hAnsi="Times New Roman" w:cs="Times New Roman"/>
                <w:color w:val="auto"/>
                <w:sz w:val="24"/>
                <w:u w:val="single" w:color="auto"/>
                <w:lang w:val="en-GB"/>
              </w:rPr>
              <w:t>吨/吨-原料</w:t>
            </w:r>
            <w:r>
              <w:rPr>
                <w:rFonts w:hint="default" w:ascii="Times New Roman" w:hAnsi="Times New Roman" w:cs="Times New Roman"/>
                <w:color w:val="auto"/>
                <w:sz w:val="24"/>
                <w:u w:val="single" w:color="auto"/>
                <w:lang w:val="en-GB" w:eastAsia="zh-CN"/>
              </w:rPr>
              <w:t>(</w:t>
            </w:r>
            <w:r>
              <w:rPr>
                <w:rFonts w:hint="default" w:ascii="Times New Roman" w:hAnsi="Times New Roman" w:cs="Times New Roman"/>
                <w:color w:val="auto"/>
                <w:sz w:val="24"/>
                <w:u w:val="single" w:color="auto"/>
                <w:lang w:val="en-GB"/>
              </w:rPr>
              <w:t>锅炉排污水</w:t>
            </w:r>
            <w:r>
              <w:rPr>
                <w:rFonts w:hint="default" w:ascii="Times New Roman" w:hAnsi="Times New Roman" w:cs="Times New Roman"/>
                <w:color w:val="auto"/>
                <w:sz w:val="24"/>
                <w:u w:val="single" w:color="auto"/>
                <w:lang w:val="en-GB" w:eastAsia="zh-CN"/>
              </w:rPr>
              <w:t>)</w:t>
            </w:r>
            <w:r>
              <w:rPr>
                <w:rFonts w:hint="eastAsia" w:ascii="Times New Roman" w:hAnsi="Times New Roman" w:cs="Times New Roman"/>
                <w:color w:val="auto"/>
                <w:sz w:val="24"/>
                <w:u w:val="single" w:color="auto"/>
                <w:lang w:val="en-US" w:eastAsia="zh-CN"/>
              </w:rPr>
              <w:t>。锅内水处理只有锅炉排污水产生</w:t>
            </w:r>
            <w:r>
              <w:rPr>
                <w:rFonts w:hint="eastAsia" w:cs="Times New Roman"/>
                <w:color w:val="auto"/>
                <w:sz w:val="24"/>
                <w:u w:val="single" w:color="auto"/>
                <w:lang w:val="en-US" w:eastAsia="zh-CN"/>
              </w:rPr>
              <w:t>，</w:t>
            </w:r>
            <w:r>
              <w:rPr>
                <w:rFonts w:hint="default" w:ascii="Times New Roman" w:hAnsi="Times New Roman" w:cs="Times New Roman"/>
                <w:color w:val="auto"/>
                <w:sz w:val="24"/>
                <w:u w:val="single" w:color="auto"/>
                <w:lang w:val="en-GB"/>
              </w:rPr>
              <w:t>本项目生物质燃料用量为</w:t>
            </w:r>
            <w:r>
              <w:rPr>
                <w:rFonts w:hint="eastAsia" w:cs="Times New Roman"/>
                <w:color w:val="auto"/>
                <w:sz w:val="24"/>
                <w:u w:val="single" w:color="auto"/>
                <w:lang w:val="en-US" w:eastAsia="zh-CN"/>
              </w:rPr>
              <w:t>2551.24</w:t>
            </w:r>
            <w:r>
              <w:rPr>
                <w:rFonts w:hint="eastAsia" w:cs="Times New Roman"/>
                <w:color w:val="auto"/>
                <w:kern w:val="0"/>
                <w:sz w:val="24"/>
                <w:szCs w:val="24"/>
                <w:u w:val="single" w:color="auto"/>
                <w:lang w:val="en-US" w:eastAsia="zh-CN" w:bidi="ar"/>
              </w:rPr>
              <w:t>t</w:t>
            </w:r>
            <w:r>
              <w:rPr>
                <w:rFonts w:hint="default" w:ascii="Times New Roman" w:hAnsi="Times New Roman" w:cs="Times New Roman"/>
                <w:color w:val="auto"/>
                <w:sz w:val="24"/>
                <w:u w:val="single" w:color="auto"/>
                <w:lang w:val="en-GB"/>
              </w:rPr>
              <w:t>/a，则锅炉排污水产生量为</w:t>
            </w:r>
            <w:r>
              <w:rPr>
                <w:rFonts w:hint="eastAsia" w:cs="Times New Roman"/>
                <w:color w:val="auto"/>
                <w:sz w:val="24"/>
                <w:u w:val="single" w:color="auto"/>
                <w:lang w:val="en-US" w:eastAsia="zh-CN"/>
              </w:rPr>
              <w:t>660.77</w:t>
            </w:r>
            <w:r>
              <w:rPr>
                <w:rFonts w:hint="eastAsia" w:cs="Times New Roman"/>
                <w:color w:val="auto"/>
                <w:kern w:val="0"/>
                <w:sz w:val="24"/>
                <w:szCs w:val="24"/>
                <w:u w:val="single" w:color="auto"/>
                <w:lang w:val="en-US" w:eastAsia="zh-CN" w:bidi="ar"/>
              </w:rPr>
              <w:t>t</w:t>
            </w:r>
            <w:r>
              <w:rPr>
                <w:rFonts w:hint="default" w:ascii="Times New Roman" w:hAnsi="Times New Roman" w:cs="Times New Roman"/>
                <w:color w:val="auto"/>
                <w:sz w:val="24"/>
                <w:u w:val="single" w:color="auto"/>
                <w:lang w:val="en-GB"/>
              </w:rPr>
              <w:t>/a</w:t>
            </w:r>
            <w:r>
              <w:rPr>
                <w:rFonts w:hint="default" w:ascii="Times New Roman" w:hAnsi="Times New Roman" w:cs="Times New Roman"/>
                <w:color w:val="auto"/>
                <w:sz w:val="24"/>
                <w:u w:val="single" w:color="auto"/>
                <w:lang w:val="en-GB" w:eastAsia="zh-CN"/>
              </w:rPr>
              <w:t>(</w:t>
            </w:r>
            <w:r>
              <w:rPr>
                <w:rFonts w:hint="eastAsia" w:cs="Times New Roman"/>
                <w:color w:val="auto"/>
                <w:sz w:val="24"/>
                <w:u w:val="single" w:color="auto"/>
                <w:lang w:val="en-US" w:eastAsia="zh-CN"/>
              </w:rPr>
              <w:t>2.0</w:t>
            </w:r>
            <w:r>
              <w:rPr>
                <w:rFonts w:hint="eastAsia" w:cs="Times New Roman"/>
                <w:color w:val="auto"/>
                <w:kern w:val="0"/>
                <w:sz w:val="24"/>
                <w:szCs w:val="24"/>
                <w:u w:val="single" w:color="auto"/>
                <w:lang w:val="en-US" w:eastAsia="zh-CN" w:bidi="ar"/>
              </w:rPr>
              <w:t>t</w:t>
            </w:r>
            <w:r>
              <w:rPr>
                <w:rFonts w:hint="default" w:ascii="Times New Roman" w:hAnsi="Times New Roman" w:cs="Times New Roman"/>
                <w:color w:val="auto"/>
                <w:sz w:val="24"/>
                <w:u w:val="single" w:color="auto"/>
                <w:lang w:val="en-GB"/>
              </w:rPr>
              <w:t>/d</w:t>
            </w:r>
            <w:r>
              <w:rPr>
                <w:rFonts w:hint="default" w:ascii="Times New Roman" w:hAnsi="Times New Roman" w:cs="Times New Roman"/>
                <w:color w:val="auto"/>
                <w:sz w:val="24"/>
                <w:u w:val="single" w:color="auto"/>
                <w:lang w:val="en-GB" w:eastAsia="zh-CN"/>
              </w:rPr>
              <w:t>)</w:t>
            </w:r>
            <w:r>
              <w:rPr>
                <w:rFonts w:hint="eastAsia" w:cs="Times New Roman"/>
                <w:color w:val="auto"/>
                <w:sz w:val="24"/>
                <w:u w:val="single" w:color="auto"/>
                <w:lang w:val="en-GB" w:eastAsia="zh-CN"/>
              </w:rPr>
              <w:t>，</w:t>
            </w:r>
            <w:r>
              <w:rPr>
                <w:rFonts w:hint="default" w:ascii="Times New Roman" w:hAnsi="Times New Roman" w:eastAsia="宋体" w:cs="Times New Roman"/>
                <w:color w:val="auto"/>
                <w:u w:val="single" w:color="auto"/>
                <w:lang w:val="en-US" w:eastAsia="zh-CN"/>
              </w:rPr>
              <w:t>废水进入沉淀池沉淀后回用于主料预湿工序。</w:t>
            </w:r>
          </w:p>
          <w:p>
            <w:pPr>
              <w:keepNext w:val="0"/>
              <w:keepLines w:val="0"/>
              <w:widowControl/>
              <w:suppressLineNumbers w:val="0"/>
              <w:jc w:val="left"/>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④软水机再生树脂用水：</w:t>
            </w:r>
            <w:r>
              <w:rPr>
                <w:rFonts w:hint="default" w:ascii="Times New Roman" w:hAnsi="Times New Roman" w:eastAsia="宋体" w:cs="Times New Roman"/>
                <w:color w:val="auto"/>
                <w:kern w:val="0"/>
                <w:sz w:val="24"/>
                <w:szCs w:val="24"/>
                <w:lang w:val="en-US" w:eastAsia="zh-CN" w:bidi="ar"/>
              </w:rPr>
              <w:t>本项目锅炉使用软水，厂区设置软水制备设施，根据供应商提供的资料，自来水经交换器处理后约75%为纯水，25%为软水制备废水，厂区软水用量为</w:t>
            </w:r>
            <w:r>
              <w:rPr>
                <w:rFonts w:hint="eastAsia" w:cs="Times New Roman"/>
                <w:color w:val="auto"/>
                <w:u w:val="none"/>
                <w:lang w:val="en-US" w:eastAsia="zh-CN"/>
              </w:rPr>
              <w:t>17.07</w:t>
            </w:r>
            <w:r>
              <w:rPr>
                <w:rFonts w:hint="default" w:ascii="Times New Roman" w:hAnsi="Times New Roman" w:eastAsia="宋体" w:cs="Times New Roman"/>
                <w:color w:val="auto"/>
                <w:u w:val="none"/>
              </w:rPr>
              <w:t>m³/d（</w:t>
            </w:r>
            <w:r>
              <w:rPr>
                <w:rFonts w:hint="eastAsia" w:cs="Times New Roman"/>
                <w:color w:val="auto"/>
                <w:u w:val="none"/>
                <w:lang w:val="en-US" w:eastAsia="zh-CN"/>
              </w:rPr>
              <w:t>5633.03</w:t>
            </w:r>
            <w:r>
              <w:rPr>
                <w:rFonts w:hint="default" w:ascii="Times New Roman" w:hAnsi="Times New Roman" w:eastAsia="宋体" w:cs="Times New Roman"/>
                <w:color w:val="auto"/>
                <w:u w:val="none"/>
              </w:rPr>
              <w:t>m³/a）</w:t>
            </w:r>
            <w:r>
              <w:rPr>
                <w:rFonts w:hint="default" w:ascii="Times New Roman" w:hAnsi="Times New Roman" w:eastAsia="宋体" w:cs="Times New Roman"/>
                <w:color w:val="auto"/>
                <w:kern w:val="0"/>
                <w:sz w:val="24"/>
                <w:szCs w:val="24"/>
                <w:lang w:val="en-US" w:eastAsia="zh-CN" w:bidi="ar"/>
              </w:rPr>
              <w:t>，则自来水用量为</w:t>
            </w:r>
            <w:r>
              <w:rPr>
                <w:rFonts w:hint="eastAsia" w:cs="Times New Roman"/>
                <w:color w:val="auto"/>
                <w:kern w:val="0"/>
                <w:sz w:val="24"/>
                <w:szCs w:val="24"/>
                <w:lang w:val="en-US" w:eastAsia="zh-CN" w:bidi="ar"/>
              </w:rPr>
              <w:t>4224.77</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/a（</w:t>
            </w:r>
            <w:r>
              <w:rPr>
                <w:rFonts w:hint="eastAsia" w:cs="Times New Roman"/>
                <w:color w:val="auto"/>
                <w:kern w:val="0"/>
                <w:sz w:val="24"/>
                <w:szCs w:val="24"/>
                <w:lang w:val="en-US" w:eastAsia="zh-CN" w:bidi="ar"/>
              </w:rPr>
              <w:t>12.8</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/d），软水制备废水量为</w:t>
            </w:r>
            <w:r>
              <w:rPr>
                <w:rFonts w:hint="eastAsia" w:cs="Times New Roman"/>
                <w:color w:val="auto"/>
                <w:kern w:val="0"/>
                <w:sz w:val="24"/>
                <w:szCs w:val="24"/>
                <w:lang w:val="en-US" w:eastAsia="zh-CN" w:bidi="ar"/>
              </w:rPr>
              <w:t>1408.26</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/a（</w:t>
            </w:r>
            <w:r>
              <w:rPr>
                <w:rFonts w:hint="eastAsia" w:cs="Times New Roman"/>
                <w:color w:val="auto"/>
                <w:kern w:val="0"/>
                <w:sz w:val="24"/>
                <w:szCs w:val="24"/>
                <w:lang w:val="en-US" w:eastAsia="zh-CN" w:bidi="ar"/>
              </w:rPr>
              <w:t>4.27</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/d）。软水制备废水进入沉淀池沉淀后回用于主料预湿工序。</w:t>
            </w:r>
          </w:p>
          <w:p>
            <w:pPr>
              <w:keepNext w:val="0"/>
              <w:keepLines w:val="0"/>
              <w:widowControl/>
              <w:suppressLineNumbers w:val="0"/>
              <w:jc w:val="left"/>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kern w:val="0"/>
                <w:sz w:val="24"/>
                <w:szCs w:val="24"/>
                <w:lang w:val="en-US" w:eastAsia="zh-CN" w:bidi="ar"/>
              </w:rPr>
              <w:t>⑤</w:t>
            </w:r>
            <w:r>
              <w:rPr>
                <w:rFonts w:hint="default" w:ascii="Times New Roman" w:hAnsi="Times New Roman" w:eastAsia="宋体" w:cs="Times New Roman"/>
                <w:color w:val="auto"/>
                <w:kern w:val="0"/>
                <w:sz w:val="24"/>
                <w:szCs w:val="24"/>
                <w:lang w:val="en-US" w:eastAsia="zh-CN" w:bidi="ar"/>
              </w:rPr>
              <w:t>生产用水</w:t>
            </w:r>
            <w:r>
              <w:rPr>
                <w:rFonts w:hint="default" w:ascii="Times New Roman" w:hAnsi="Times New Roman" w:eastAsia="宋体" w:cs="Times New Roman"/>
                <w:color w:val="auto"/>
                <w:u w:val="none"/>
              </w:rPr>
              <w:t>：</w:t>
            </w:r>
            <w:r>
              <w:rPr>
                <w:rFonts w:hint="default" w:ascii="Times New Roman" w:hAnsi="Times New Roman" w:eastAsia="宋体" w:cs="Times New Roman"/>
                <w:color w:val="auto"/>
                <w:u w:val="none"/>
                <w:lang w:val="en-US" w:eastAsia="zh-CN"/>
              </w:rPr>
              <w:t>项目物料进场时含水率约38.9%，根据建设单位提供的资料，含水率不合格的原料需经过喷水预湿处理，</w:t>
            </w:r>
            <w:r>
              <w:rPr>
                <w:rFonts w:hint="default" w:ascii="Times New Roman" w:hAnsi="Times New Roman" w:eastAsia="宋体" w:cs="Times New Roman"/>
                <w:color w:val="auto"/>
              </w:rPr>
              <w:t>根据企业提供资料及类比同类型行业用水量分析，拌料装瓶每日用水30t；养菌冷库、出菌冷库加湿每日用水</w:t>
            </w:r>
            <w:r>
              <w:rPr>
                <w:rFonts w:hint="eastAsia" w:cs="Times New Roman"/>
                <w:color w:val="auto"/>
                <w:lang w:val="en-US" w:eastAsia="zh-CN"/>
              </w:rPr>
              <w:t>共</w:t>
            </w:r>
            <w:r>
              <w:rPr>
                <w:rFonts w:hint="default" w:ascii="Times New Roman" w:hAnsi="Times New Roman" w:eastAsia="宋体" w:cs="Times New Roman"/>
                <w:color w:val="auto"/>
              </w:rPr>
              <w:t>10t</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年用水</w:t>
            </w:r>
            <w:r>
              <w:rPr>
                <w:rFonts w:hint="default" w:ascii="Times New Roman" w:hAnsi="Times New Roman" w:eastAsia="宋体" w:cs="Times New Roman"/>
                <w:color w:val="auto"/>
                <w:lang w:val="en-US" w:eastAsia="zh-CN"/>
              </w:rPr>
              <w:t>13200</w:t>
            </w:r>
            <w:r>
              <w:rPr>
                <w:rFonts w:hint="default" w:ascii="Times New Roman" w:hAnsi="Times New Roman" w:eastAsia="宋体" w:cs="Times New Roman"/>
                <w:color w:val="auto"/>
              </w:rPr>
              <w:t>t</w:t>
            </w:r>
            <w:r>
              <w:rPr>
                <w:rFonts w:hint="default" w:ascii="Times New Roman" w:hAnsi="Times New Roman" w:eastAsia="宋体" w:cs="Times New Roman"/>
                <w:color w:val="auto"/>
                <w:u w:val="none"/>
                <w:lang w:val="en-US" w:eastAsia="zh-CN"/>
              </w:rPr>
              <w:t>。</w:t>
            </w:r>
          </w:p>
          <w:p>
            <w:pPr>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（2）排水系统</w:t>
            </w:r>
          </w:p>
          <w:p>
            <w:pPr>
              <w:keepNext w:val="0"/>
              <w:keepLines w:val="0"/>
              <w:widowControl/>
              <w:suppressLineNumbers w:val="0"/>
              <w:jc w:val="left"/>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u w:val="none"/>
              </w:rPr>
              <w:t>本项目采用雨污分流制。雨水排入</w:t>
            </w:r>
            <w:r>
              <w:rPr>
                <w:rFonts w:hint="default" w:ascii="Times New Roman" w:hAnsi="Times New Roman" w:eastAsia="宋体" w:cs="Times New Roman"/>
                <w:color w:val="auto"/>
                <w:u w:val="none"/>
                <w:lang w:val="en-US" w:eastAsia="zh-CN"/>
              </w:rPr>
              <w:t>南侧</w:t>
            </w:r>
            <w:r>
              <w:rPr>
                <w:rFonts w:hint="default" w:ascii="Times New Roman" w:hAnsi="Times New Roman" w:eastAsia="宋体" w:cs="Times New Roman"/>
                <w:color w:val="auto"/>
                <w:u w:val="none"/>
              </w:rPr>
              <w:t>水</w:t>
            </w:r>
            <w:r>
              <w:rPr>
                <w:rFonts w:hint="default" w:ascii="Times New Roman" w:hAnsi="Times New Roman" w:eastAsia="宋体" w:cs="Times New Roman"/>
                <w:color w:val="auto"/>
                <w:u w:val="none"/>
                <w:lang w:val="en-US" w:eastAsia="zh-CN"/>
              </w:rPr>
              <w:t>沟</w:t>
            </w:r>
            <w:r>
              <w:rPr>
                <w:rFonts w:hint="default" w:ascii="Times New Roman" w:hAnsi="Times New Roman" w:eastAsia="宋体" w:cs="Times New Roman"/>
                <w:color w:val="auto"/>
                <w:u w:val="none"/>
              </w:rPr>
              <w:t>；</w:t>
            </w:r>
            <w:r>
              <w:rPr>
                <w:rFonts w:hint="eastAsia" w:cs="Times New Roman"/>
                <w:color w:val="auto"/>
                <w:u w:val="none"/>
                <w:lang w:val="en-US" w:eastAsia="zh-CN"/>
              </w:rPr>
              <w:t>锅炉排污水</w:t>
            </w:r>
            <w:r>
              <w:rPr>
                <w:rFonts w:hint="default" w:ascii="Times New Roman" w:hAnsi="Times New Roman" w:eastAsia="宋体" w:cs="Times New Roman"/>
                <w:color w:val="auto"/>
                <w:u w:val="none"/>
                <w:lang w:val="en-US" w:eastAsia="zh-CN"/>
              </w:rPr>
              <w:t>、软水制备废水收集进入厂区沉淀池处理后直接用于主料预湿工序，不外排</w:t>
            </w:r>
            <w:r>
              <w:rPr>
                <w:rFonts w:hint="default" w:ascii="Times New Roman" w:hAnsi="Times New Roman" w:eastAsia="宋体" w:cs="Times New Roman"/>
                <w:color w:val="auto"/>
                <w:u w:val="none"/>
              </w:rPr>
              <w:t>；生活污水经过</w:t>
            </w:r>
            <w:r>
              <w:rPr>
                <w:rFonts w:hint="eastAsia" w:cs="Times New Roman"/>
                <w:color w:val="auto"/>
                <w:u w:val="none"/>
                <w:lang w:val="en-US" w:eastAsia="zh-CN"/>
              </w:rPr>
              <w:t>化粪池预处理</w:t>
            </w:r>
            <w:r>
              <w:rPr>
                <w:rFonts w:hint="default" w:ascii="Times New Roman" w:hAnsi="Times New Roman" w:eastAsia="宋体" w:cs="Times New Roman"/>
                <w:color w:val="auto"/>
                <w:u w:val="none"/>
                <w:lang w:eastAsia="zh-CN"/>
              </w:rPr>
              <w:t>，</w:t>
            </w:r>
            <w:r>
              <w:rPr>
                <w:rFonts w:hint="default" w:ascii="Times New Roman" w:hAnsi="Times New Roman" w:eastAsia="宋体" w:cs="Times New Roman"/>
                <w:color w:val="auto"/>
                <w:u w:val="none"/>
              </w:rPr>
              <w:t>食堂</w:t>
            </w:r>
            <w:r>
              <w:rPr>
                <w:rFonts w:hint="eastAsia" w:cs="Times New Roman"/>
                <w:color w:val="auto"/>
                <w:u w:val="none"/>
                <w:lang w:val="en-US" w:eastAsia="zh-CN"/>
              </w:rPr>
              <w:t>废水</w:t>
            </w:r>
            <w:r>
              <w:rPr>
                <w:rFonts w:hint="default" w:ascii="Times New Roman" w:hAnsi="Times New Roman" w:eastAsia="宋体" w:cs="Times New Roman"/>
                <w:color w:val="auto"/>
                <w:u w:val="none"/>
              </w:rPr>
              <w:t>经过隔油池处理后</w:t>
            </w:r>
            <w:r>
              <w:rPr>
                <w:rFonts w:hint="default" w:ascii="Times New Roman" w:hAnsi="Times New Roman" w:eastAsia="宋体" w:cs="Times New Roman"/>
                <w:color w:val="auto"/>
                <w:u w:val="none"/>
                <w:lang w:val="en-US" w:eastAsia="zh-CN"/>
              </w:rPr>
              <w:t>经</w:t>
            </w:r>
            <w:r>
              <w:rPr>
                <w:rFonts w:hint="eastAsia" w:cs="Times New Roman"/>
                <w:color w:val="auto"/>
                <w:u w:val="none"/>
                <w:lang w:val="en-US" w:eastAsia="zh-CN"/>
              </w:rPr>
              <w:t>厂区自建一体化污水处理设备处理达到《农田灌溉水质标准》</w:t>
            </w:r>
            <w:r>
              <w:rPr>
                <w:rFonts w:hint="eastAsia" w:ascii="Times New Roman" w:hAnsi="Times New Roman" w:eastAsia="宋体" w:cs="Times New Roman"/>
                <w:color w:val="auto"/>
                <w:sz w:val="24"/>
                <w:szCs w:val="24"/>
                <w:highlight w:val="none"/>
                <w:u w:val="single"/>
                <w:lang w:val="en-US" w:eastAsia="zh-CN"/>
              </w:rPr>
              <w:t>（</w:t>
            </w:r>
            <w:r>
              <w:rPr>
                <w:rFonts w:hint="default" w:ascii="Times New Roman" w:hAnsi="Times New Roman" w:eastAsia="宋体" w:cs="Times New Roman"/>
                <w:color w:val="auto"/>
                <w:sz w:val="24"/>
                <w:szCs w:val="24"/>
                <w:highlight w:val="none"/>
                <w:u w:val="single"/>
                <w:lang w:val="en-US" w:eastAsia="zh-CN"/>
              </w:rPr>
              <w:t>GB</w:t>
            </w:r>
            <w:r>
              <w:rPr>
                <w:rFonts w:hint="eastAsia" w:ascii="Times New Roman" w:hAnsi="Times New Roman" w:eastAsia="宋体" w:cs="Times New Roman"/>
                <w:color w:val="auto"/>
                <w:sz w:val="24"/>
                <w:szCs w:val="24"/>
                <w:highlight w:val="none"/>
                <w:u w:val="single"/>
                <w:lang w:val="en-US" w:eastAsia="zh-CN"/>
              </w:rPr>
              <w:t>5084</w:t>
            </w:r>
            <w:r>
              <w:rPr>
                <w:rFonts w:hint="eastAsia" w:cs="Times New Roman"/>
                <w:color w:val="auto"/>
                <w:sz w:val="24"/>
                <w:szCs w:val="24"/>
                <w:highlight w:val="none"/>
                <w:u w:val="single"/>
                <w:lang w:val="en-US" w:eastAsia="zh-CN"/>
              </w:rPr>
              <w:t>-</w:t>
            </w:r>
            <w:r>
              <w:rPr>
                <w:rFonts w:hint="eastAsia" w:ascii="Times New Roman" w:hAnsi="Times New Roman" w:eastAsia="宋体" w:cs="Times New Roman"/>
                <w:color w:val="auto"/>
                <w:sz w:val="24"/>
                <w:szCs w:val="24"/>
                <w:highlight w:val="none"/>
                <w:u w:val="single"/>
                <w:lang w:val="en-US" w:eastAsia="zh-CN"/>
              </w:rPr>
              <w:t>2021）</w:t>
            </w:r>
            <w:r>
              <w:rPr>
                <w:rFonts w:hint="eastAsia" w:cs="Times New Roman"/>
                <w:color w:val="auto"/>
                <w:sz w:val="24"/>
                <w:szCs w:val="24"/>
                <w:highlight w:val="none"/>
                <w:u w:val="single"/>
                <w:lang w:val="en-US" w:eastAsia="zh-CN"/>
              </w:rPr>
              <w:t>蔬菜作物</w:t>
            </w:r>
            <w:r>
              <w:rPr>
                <w:rFonts w:hint="eastAsia" w:ascii="Times New Roman" w:hAnsi="Times New Roman" w:eastAsia="宋体" w:cs="Times New Roman"/>
                <w:color w:val="auto"/>
                <w:sz w:val="24"/>
                <w:szCs w:val="24"/>
                <w:highlight w:val="none"/>
                <w:u w:val="single"/>
                <w:lang w:val="en-US" w:eastAsia="zh-CN"/>
              </w:rPr>
              <w:t>标准</w:t>
            </w:r>
            <w:r>
              <w:rPr>
                <w:rFonts w:hint="eastAsia" w:cs="Times New Roman"/>
                <w:color w:val="auto"/>
                <w:sz w:val="24"/>
                <w:szCs w:val="24"/>
                <w:highlight w:val="none"/>
                <w:u w:val="single"/>
                <w:lang w:val="en-US" w:eastAsia="zh-CN"/>
              </w:rPr>
              <w:t>后给周边菜地做农肥使用</w:t>
            </w:r>
            <w:r>
              <w:rPr>
                <w:rFonts w:hint="default" w:ascii="Times New Roman" w:hAnsi="Times New Roman" w:eastAsia="宋体" w:cs="Times New Roman"/>
                <w:color w:val="auto"/>
                <w:u w:val="none"/>
                <w:lang w:val="en-US" w:eastAsia="zh-CN"/>
              </w:rPr>
              <w:t>。</w:t>
            </w:r>
          </w:p>
          <w:p>
            <w:pPr>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（3）供电系统</w:t>
            </w:r>
          </w:p>
          <w:p>
            <w:pPr>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本项目用电由市政电网提供，供本项目生产和生活用电。</w:t>
            </w:r>
          </w:p>
          <w:p>
            <w:pPr>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（4）消防系统</w:t>
            </w:r>
          </w:p>
          <w:p>
            <w:pPr>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设置消防安全通道，室内消防按规范要求设置灭火器。厂区生产车间均配置有消防通道和灭火器。</w:t>
            </w:r>
          </w:p>
          <w:p>
            <w:pPr>
              <w:ind w:firstLine="482"/>
              <w:rPr>
                <w:rFonts w:hint="default" w:ascii="Times New Roman" w:hAnsi="Times New Roman" w:eastAsia="宋体" w:cs="Times New Roman"/>
                <w:b/>
                <w:bCs/>
                <w:color w:val="auto"/>
                <w:u w:val="none"/>
              </w:rPr>
            </w:pPr>
            <w:r>
              <w:rPr>
                <w:rFonts w:hint="default" w:ascii="Times New Roman" w:hAnsi="Times New Roman" w:eastAsia="宋体" w:cs="Times New Roman"/>
                <w:b/>
                <w:bCs/>
                <w:color w:val="auto"/>
                <w:u w:val="none"/>
              </w:rPr>
              <w:t>5、项目原辅材料</w:t>
            </w:r>
          </w:p>
          <w:p>
            <w:pPr>
              <w:ind w:firstLine="480"/>
              <w:rPr>
                <w:rFonts w:hint="default" w:ascii="Times New Roman" w:hAnsi="Times New Roman" w:eastAsia="宋体" w:cs="Times New Roman"/>
                <w:color w:val="auto"/>
                <w:kern w:val="0"/>
                <w:sz w:val="21"/>
                <w:u w:val="none"/>
              </w:rPr>
            </w:pPr>
            <w:r>
              <w:rPr>
                <w:rFonts w:hint="default" w:ascii="Times New Roman" w:hAnsi="Times New Roman" w:eastAsia="宋体" w:cs="Times New Roman"/>
                <w:color w:val="auto"/>
                <w:u w:val="none"/>
              </w:rPr>
              <w:t>本项目主要原辅材料见下表。</w:t>
            </w:r>
          </w:p>
          <w:p>
            <w:pPr>
              <w:pStyle w:val="7"/>
              <w:rPr>
                <w:rFonts w:hint="default" w:ascii="Times New Roman" w:hAnsi="Times New Roman" w:eastAsia="宋体" w:cs="Times New Roman"/>
                <w:color w:val="auto"/>
                <w:kern w:val="0"/>
                <w:sz w:val="21"/>
                <w:u w:val="none"/>
              </w:rPr>
            </w:pPr>
            <w:r>
              <w:rPr>
                <w:rFonts w:hint="default" w:ascii="Times New Roman" w:hAnsi="Times New Roman" w:eastAsia="宋体" w:cs="Times New Roman"/>
                <w:color w:val="auto"/>
                <w:kern w:val="0"/>
                <w:sz w:val="21"/>
                <w:u w:val="none"/>
              </w:rPr>
              <w:t>表2-</w:t>
            </w:r>
            <w:r>
              <w:rPr>
                <w:rFonts w:hint="default" w:ascii="Times New Roman" w:hAnsi="Times New Roman" w:eastAsia="宋体" w:cs="Times New Roman"/>
                <w:color w:val="auto"/>
                <w:kern w:val="0"/>
                <w:sz w:val="21"/>
                <w:u w:val="none"/>
                <w:lang w:val="en-US" w:eastAsia="zh-CN"/>
              </w:rPr>
              <w:t>4</w:t>
            </w:r>
            <w:r>
              <w:rPr>
                <w:rFonts w:hint="default" w:ascii="Times New Roman" w:hAnsi="Times New Roman" w:eastAsia="宋体" w:cs="Times New Roman"/>
                <w:color w:val="auto"/>
                <w:kern w:val="0"/>
                <w:sz w:val="21"/>
                <w:u w:val="none"/>
              </w:rPr>
              <w:t>主要原辅材料一览表</w:t>
            </w:r>
          </w:p>
          <w:tbl>
            <w:tblPr>
              <w:tblStyle w:val="24"/>
              <w:tblW w:w="49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2030"/>
              <w:gridCol w:w="1173"/>
              <w:gridCol w:w="830"/>
              <w:gridCol w:w="1250"/>
              <w:gridCol w:w="1279"/>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序号</w:t>
                  </w:r>
                </w:p>
              </w:tc>
              <w:tc>
                <w:tcPr>
                  <w:tcW w:w="122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原辅材料名称</w:t>
                  </w:r>
                </w:p>
              </w:tc>
              <w:tc>
                <w:tcPr>
                  <w:tcW w:w="7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年用量</w:t>
                  </w:r>
                </w:p>
              </w:tc>
              <w:tc>
                <w:tcPr>
                  <w:tcW w:w="50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单位</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储存方式</w:t>
                  </w:r>
                </w:p>
              </w:tc>
              <w:tc>
                <w:tcPr>
                  <w:tcW w:w="7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来源</w:t>
                  </w:r>
                </w:p>
              </w:tc>
              <w:tc>
                <w:tcPr>
                  <w:tcW w:w="7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w:t>
                  </w:r>
                </w:p>
              </w:tc>
              <w:tc>
                <w:tcPr>
                  <w:tcW w:w="122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木屑</w:t>
                  </w:r>
                </w:p>
              </w:tc>
              <w:tc>
                <w:tcPr>
                  <w:tcW w:w="7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lang w:val="en-US" w:eastAsia="zh-CN"/>
                    </w:rPr>
                    <w:t>4000</w:t>
                  </w:r>
                </w:p>
              </w:tc>
              <w:tc>
                <w:tcPr>
                  <w:tcW w:w="50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吨</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袋装</w:t>
                  </w:r>
                </w:p>
              </w:tc>
              <w:tc>
                <w:tcPr>
                  <w:tcW w:w="7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lang w:val="en-US" w:eastAsia="zh-CN"/>
                    </w:rPr>
                    <w:t>怀化供应商采购</w:t>
                  </w:r>
                </w:p>
              </w:tc>
              <w:tc>
                <w:tcPr>
                  <w:tcW w:w="7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w:t>
                  </w:r>
                </w:p>
              </w:tc>
              <w:tc>
                <w:tcPr>
                  <w:tcW w:w="122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芦苇</w:t>
                  </w:r>
                </w:p>
              </w:tc>
              <w:tc>
                <w:tcPr>
                  <w:tcW w:w="7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lang w:val="en-US" w:eastAsia="zh-CN"/>
                    </w:rPr>
                    <w:t>2000</w:t>
                  </w:r>
                </w:p>
              </w:tc>
              <w:tc>
                <w:tcPr>
                  <w:tcW w:w="501"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吨</w:t>
                  </w:r>
                </w:p>
              </w:tc>
              <w:tc>
                <w:tcPr>
                  <w:tcW w:w="755"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袋装</w:t>
                  </w:r>
                </w:p>
              </w:tc>
              <w:tc>
                <w:tcPr>
                  <w:tcW w:w="7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lang w:val="en-US" w:eastAsia="zh-CN"/>
                    </w:rPr>
                    <w:t>本地采购</w:t>
                  </w:r>
                </w:p>
              </w:tc>
              <w:tc>
                <w:tcPr>
                  <w:tcW w:w="7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3</w:t>
                  </w:r>
                </w:p>
              </w:tc>
              <w:tc>
                <w:tcPr>
                  <w:tcW w:w="122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玉米芯</w:t>
                  </w:r>
                </w:p>
              </w:tc>
              <w:tc>
                <w:tcPr>
                  <w:tcW w:w="7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lang w:val="en-US" w:eastAsia="zh-CN"/>
                    </w:rPr>
                    <w:t>2000</w:t>
                  </w:r>
                </w:p>
              </w:tc>
              <w:tc>
                <w:tcPr>
                  <w:tcW w:w="501"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吨</w:t>
                  </w:r>
                </w:p>
              </w:tc>
              <w:tc>
                <w:tcPr>
                  <w:tcW w:w="755"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袋装</w:t>
                  </w:r>
                </w:p>
              </w:tc>
              <w:tc>
                <w:tcPr>
                  <w:tcW w:w="7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lang w:val="en-US" w:eastAsia="zh-CN"/>
                    </w:rPr>
                    <w:t>河南、河北采购</w:t>
                  </w:r>
                </w:p>
              </w:tc>
              <w:tc>
                <w:tcPr>
                  <w:tcW w:w="7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4</w:t>
                  </w:r>
                </w:p>
              </w:tc>
              <w:tc>
                <w:tcPr>
                  <w:tcW w:w="122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麦麸</w:t>
                  </w:r>
                </w:p>
              </w:tc>
              <w:tc>
                <w:tcPr>
                  <w:tcW w:w="7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lang w:val="en-US" w:eastAsia="zh-CN"/>
                    </w:rPr>
                    <w:t>1500</w:t>
                  </w:r>
                </w:p>
              </w:tc>
              <w:tc>
                <w:tcPr>
                  <w:tcW w:w="501"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吨</w:t>
                  </w:r>
                </w:p>
              </w:tc>
              <w:tc>
                <w:tcPr>
                  <w:tcW w:w="755"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袋装</w:t>
                  </w:r>
                </w:p>
              </w:tc>
              <w:tc>
                <w:tcPr>
                  <w:tcW w:w="7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lang w:val="en-US" w:eastAsia="zh-CN"/>
                    </w:rPr>
                    <w:t>市场采购</w:t>
                  </w:r>
                </w:p>
              </w:tc>
              <w:tc>
                <w:tcPr>
                  <w:tcW w:w="7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5</w:t>
                  </w:r>
                </w:p>
              </w:tc>
              <w:tc>
                <w:tcPr>
                  <w:tcW w:w="122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石膏</w:t>
                  </w:r>
                </w:p>
              </w:tc>
              <w:tc>
                <w:tcPr>
                  <w:tcW w:w="7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630</w:t>
                  </w:r>
                </w:p>
              </w:tc>
              <w:tc>
                <w:tcPr>
                  <w:tcW w:w="501"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吨</w:t>
                  </w:r>
                </w:p>
              </w:tc>
              <w:tc>
                <w:tcPr>
                  <w:tcW w:w="755" w:type="pct"/>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w:t>
                  </w:r>
                </w:p>
              </w:tc>
              <w:tc>
                <w:tcPr>
                  <w:tcW w:w="772" w:type="pct"/>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u w:val="none"/>
                    </w:rPr>
                    <w:t>/</w:t>
                  </w:r>
                </w:p>
              </w:tc>
              <w:tc>
                <w:tcPr>
                  <w:tcW w:w="7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6</w:t>
                  </w:r>
                </w:p>
              </w:tc>
              <w:tc>
                <w:tcPr>
                  <w:tcW w:w="122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石灰</w:t>
                  </w:r>
                </w:p>
              </w:tc>
              <w:tc>
                <w:tcPr>
                  <w:tcW w:w="70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210</w:t>
                  </w:r>
                </w:p>
              </w:tc>
              <w:tc>
                <w:tcPr>
                  <w:tcW w:w="501"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吨</w:t>
                  </w:r>
                </w:p>
              </w:tc>
              <w:tc>
                <w:tcPr>
                  <w:tcW w:w="755" w:type="pct"/>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w:t>
                  </w:r>
                </w:p>
              </w:tc>
              <w:tc>
                <w:tcPr>
                  <w:tcW w:w="772" w:type="pct"/>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u w:val="none"/>
                    </w:rPr>
                    <w:t>/</w:t>
                  </w:r>
                </w:p>
              </w:tc>
              <w:tc>
                <w:tcPr>
                  <w:tcW w:w="7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7</w:t>
                  </w:r>
                </w:p>
              </w:tc>
              <w:tc>
                <w:tcPr>
                  <w:tcW w:w="1226" w:type="pct"/>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3"/>
                      <w:kern w:val="0"/>
                      <w:sz w:val="21"/>
                      <w:szCs w:val="21"/>
                      <w:lang w:val="en-US" w:eastAsia="zh-CN" w:bidi="ar-SA"/>
                    </w:rPr>
                  </w:pPr>
                  <w:r>
                    <w:rPr>
                      <w:rFonts w:hint="default" w:ascii="Times New Roman" w:hAnsi="Times New Roman" w:eastAsia="宋体" w:cs="Times New Roman"/>
                      <w:color w:val="auto"/>
                      <w:spacing w:val="-3"/>
                      <w:sz w:val="21"/>
                      <w:szCs w:val="21"/>
                    </w:rPr>
                    <w:t>菌棒胶框</w:t>
                  </w:r>
                </w:p>
              </w:tc>
              <w:tc>
                <w:tcPr>
                  <w:tcW w:w="708" w:type="pct"/>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3"/>
                      <w:kern w:val="0"/>
                      <w:sz w:val="21"/>
                      <w:szCs w:val="21"/>
                      <w:lang w:val="en-US" w:eastAsia="zh-CN" w:bidi="ar-SA"/>
                    </w:rPr>
                  </w:pPr>
                  <w:r>
                    <w:rPr>
                      <w:rFonts w:hint="default" w:ascii="Times New Roman" w:hAnsi="Times New Roman" w:eastAsia="宋体" w:cs="Times New Roman"/>
                      <w:color w:val="auto"/>
                      <w:spacing w:val="-3"/>
                      <w:sz w:val="21"/>
                      <w:szCs w:val="21"/>
                    </w:rPr>
                    <w:t>300000</w:t>
                  </w:r>
                </w:p>
              </w:tc>
              <w:tc>
                <w:tcPr>
                  <w:tcW w:w="501" w:type="pct"/>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3"/>
                      <w:kern w:val="0"/>
                      <w:sz w:val="21"/>
                      <w:szCs w:val="21"/>
                      <w:lang w:val="en-US" w:eastAsia="zh-CN" w:bidi="ar-SA"/>
                    </w:rPr>
                  </w:pPr>
                  <w:r>
                    <w:rPr>
                      <w:rFonts w:hint="default" w:ascii="Times New Roman" w:hAnsi="Times New Roman" w:eastAsia="宋体" w:cs="Times New Roman"/>
                      <w:color w:val="auto"/>
                      <w:spacing w:val="-3"/>
                      <w:sz w:val="21"/>
                      <w:szCs w:val="21"/>
                      <w:lang w:val="en-US" w:eastAsia="zh-CN"/>
                    </w:rPr>
                    <w:t>套</w:t>
                  </w:r>
                </w:p>
              </w:tc>
              <w:tc>
                <w:tcPr>
                  <w:tcW w:w="755" w:type="pct"/>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3"/>
                      <w:kern w:val="0"/>
                      <w:sz w:val="21"/>
                      <w:szCs w:val="21"/>
                      <w:lang w:val="en-US" w:eastAsia="zh-CN" w:bidi="ar-SA"/>
                    </w:rPr>
                  </w:pPr>
                  <w:r>
                    <w:rPr>
                      <w:rFonts w:hint="eastAsia" w:ascii="Times New Roman" w:hAnsi="Times New Roman" w:cs="Times New Roman"/>
                      <w:snapToGrid w:val="0"/>
                      <w:color w:val="auto"/>
                      <w:spacing w:val="-3"/>
                      <w:kern w:val="0"/>
                      <w:sz w:val="21"/>
                      <w:szCs w:val="21"/>
                      <w:lang w:val="en-US" w:eastAsia="zh-CN" w:bidi="ar-SA"/>
                    </w:rPr>
                    <w:t>/</w:t>
                  </w:r>
                </w:p>
              </w:tc>
              <w:tc>
                <w:tcPr>
                  <w:tcW w:w="772" w:type="pct"/>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w:t>
                  </w:r>
                </w:p>
              </w:tc>
              <w:tc>
                <w:tcPr>
                  <w:tcW w:w="7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8</w:t>
                  </w:r>
                </w:p>
              </w:tc>
              <w:tc>
                <w:tcPr>
                  <w:tcW w:w="1226"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rPr>
                    <w:t>R134a</w:t>
                  </w:r>
                  <w:r>
                    <w:rPr>
                      <w:rFonts w:hint="eastAsia" w:cs="Times New Roman"/>
                      <w:color w:val="auto"/>
                      <w:sz w:val="21"/>
                      <w:szCs w:val="21"/>
                      <w:u w:val="single"/>
                      <w:lang w:val="en-US" w:eastAsia="zh-CN"/>
                    </w:rPr>
                    <w:t>制冷剂</w:t>
                  </w:r>
                </w:p>
              </w:tc>
              <w:tc>
                <w:tcPr>
                  <w:tcW w:w="708"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0.03</w:t>
                  </w:r>
                </w:p>
              </w:tc>
              <w:tc>
                <w:tcPr>
                  <w:tcW w:w="501"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吨</w:t>
                  </w:r>
                </w:p>
              </w:tc>
              <w:tc>
                <w:tcPr>
                  <w:tcW w:w="755" w:type="pct"/>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w:t>
                  </w:r>
                </w:p>
              </w:tc>
              <w:tc>
                <w:tcPr>
                  <w:tcW w:w="772" w:type="pct"/>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w:t>
                  </w:r>
                </w:p>
              </w:tc>
              <w:tc>
                <w:tcPr>
                  <w:tcW w:w="7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9</w:t>
                  </w:r>
                </w:p>
              </w:tc>
              <w:tc>
                <w:tcPr>
                  <w:tcW w:w="1226"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水</w:t>
                  </w:r>
                </w:p>
              </w:tc>
              <w:tc>
                <w:tcPr>
                  <w:tcW w:w="708"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25170.48</w:t>
                  </w:r>
                </w:p>
              </w:tc>
              <w:tc>
                <w:tcPr>
                  <w:tcW w:w="501"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吨</w:t>
                  </w:r>
                </w:p>
              </w:tc>
              <w:tc>
                <w:tcPr>
                  <w:tcW w:w="755"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w:t>
                  </w:r>
                </w:p>
              </w:tc>
              <w:tc>
                <w:tcPr>
                  <w:tcW w:w="772"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w:t>
                  </w:r>
                </w:p>
              </w:tc>
              <w:tc>
                <w:tcPr>
                  <w:tcW w:w="7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10</w:t>
                  </w:r>
                </w:p>
              </w:tc>
              <w:tc>
                <w:tcPr>
                  <w:tcW w:w="1226"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生物质燃料</w:t>
                  </w:r>
                </w:p>
              </w:tc>
              <w:tc>
                <w:tcPr>
                  <w:tcW w:w="708"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2551.24</w:t>
                  </w:r>
                </w:p>
              </w:tc>
              <w:tc>
                <w:tcPr>
                  <w:tcW w:w="501"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val="en-US" w:eastAsia="zh-CN"/>
                    </w:rPr>
                    <w:t>吨</w:t>
                  </w:r>
                </w:p>
              </w:tc>
              <w:tc>
                <w:tcPr>
                  <w:tcW w:w="755"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w:t>
                  </w:r>
                </w:p>
              </w:tc>
              <w:tc>
                <w:tcPr>
                  <w:tcW w:w="772"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w:t>
                  </w:r>
                </w:p>
              </w:tc>
              <w:tc>
                <w:tcPr>
                  <w:tcW w:w="7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11</w:t>
                  </w:r>
                </w:p>
              </w:tc>
              <w:tc>
                <w:tcPr>
                  <w:tcW w:w="1226"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机油</w:t>
                  </w:r>
                </w:p>
              </w:tc>
              <w:tc>
                <w:tcPr>
                  <w:tcW w:w="708"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1</w:t>
                  </w:r>
                </w:p>
              </w:tc>
              <w:tc>
                <w:tcPr>
                  <w:tcW w:w="501"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吨</w:t>
                  </w:r>
                </w:p>
              </w:tc>
              <w:tc>
                <w:tcPr>
                  <w:tcW w:w="755"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w:t>
                  </w:r>
                </w:p>
              </w:tc>
              <w:tc>
                <w:tcPr>
                  <w:tcW w:w="772" w:type="pc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w:t>
                  </w:r>
                </w:p>
              </w:tc>
              <w:tc>
                <w:tcPr>
                  <w:tcW w:w="7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w:t>
                  </w:r>
                </w:p>
              </w:tc>
            </w:tr>
          </w:tbl>
          <w:p>
            <w:pPr>
              <w:pStyle w:val="88"/>
              <w:widowControl/>
              <w:snapToGrid w:val="0"/>
              <w:ind w:firstLine="480"/>
              <w:jc w:val="left"/>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single" w:color="auto"/>
                <w:lang w:val="en-US" w:eastAsia="zh-CN"/>
              </w:rPr>
              <w:t>R134a</w:t>
            </w:r>
            <w:r>
              <w:rPr>
                <w:rFonts w:hint="eastAsia" w:ascii="Times New Roman" w:hAnsi="Times New Roman" w:eastAsia="宋体" w:cs="Times New Roman"/>
                <w:color w:val="auto"/>
                <w:u w:val="single" w:color="auto"/>
                <w:lang w:val="en-US" w:eastAsia="zh-CN"/>
              </w:rPr>
              <w:t>制冷剂：分子式：</w:t>
            </w:r>
            <w:r>
              <w:rPr>
                <w:rFonts w:hint="default" w:ascii="Times New Roman" w:hAnsi="Times New Roman" w:eastAsia="宋体" w:cs="Times New Roman"/>
                <w:color w:val="auto"/>
                <w:u w:val="single" w:color="auto"/>
                <w:lang w:val="en-US" w:eastAsia="zh-CN"/>
              </w:rPr>
              <w:t>CHF</w:t>
            </w:r>
            <w:r>
              <w:rPr>
                <w:rFonts w:hint="default" w:ascii="Times New Roman" w:hAnsi="Times New Roman" w:eastAsia="宋体" w:cs="Times New Roman"/>
                <w:color w:val="auto"/>
                <w:u w:val="single" w:color="auto"/>
                <w:vertAlign w:val="subscript"/>
                <w:lang w:val="en-US" w:eastAsia="zh-CN"/>
              </w:rPr>
              <w:t>2</w:t>
            </w:r>
            <w:r>
              <w:rPr>
                <w:rFonts w:hint="default" w:ascii="Times New Roman" w:hAnsi="Times New Roman" w:eastAsia="宋体" w:cs="Times New Roman"/>
                <w:color w:val="auto"/>
                <w:u w:val="single" w:color="auto"/>
                <w:lang w:val="en-US" w:eastAsia="zh-CN"/>
              </w:rPr>
              <w:t>CHF</w:t>
            </w:r>
            <w:r>
              <w:rPr>
                <w:rFonts w:hint="default" w:ascii="Times New Roman" w:hAnsi="Times New Roman" w:eastAsia="宋体" w:cs="Times New Roman"/>
                <w:color w:val="auto"/>
                <w:u w:val="single" w:color="auto"/>
                <w:vertAlign w:val="subscript"/>
                <w:lang w:val="en-US" w:eastAsia="zh-CN"/>
              </w:rPr>
              <w:t>2</w:t>
            </w:r>
            <w:r>
              <w:rPr>
                <w:rFonts w:hint="eastAsia" w:ascii="Times New Roman" w:hAnsi="Times New Roman" w:eastAsia="宋体" w:cs="Times New Roman"/>
                <w:color w:val="auto"/>
                <w:u w:val="single" w:color="auto"/>
                <w:lang w:val="en-US" w:eastAsia="zh-CN"/>
              </w:rPr>
              <w:t>（四氟乙烷），分子量：</w:t>
            </w:r>
            <w:r>
              <w:rPr>
                <w:rFonts w:hint="default" w:ascii="Times New Roman" w:hAnsi="Times New Roman" w:eastAsia="宋体" w:cs="Times New Roman"/>
                <w:color w:val="auto"/>
                <w:u w:val="single" w:color="auto"/>
                <w:lang w:val="en-US" w:eastAsia="zh-CN"/>
              </w:rPr>
              <w:t>102.03</w:t>
            </w:r>
            <w:r>
              <w:rPr>
                <w:rFonts w:hint="eastAsia" w:ascii="Times New Roman" w:hAnsi="Times New Roman" w:eastAsia="宋体" w:cs="Times New Roman"/>
                <w:color w:val="auto"/>
                <w:u w:val="single" w:color="auto"/>
                <w:lang w:val="en-US" w:eastAsia="zh-CN"/>
              </w:rPr>
              <w:t>沸点：</w:t>
            </w:r>
            <w:r>
              <w:rPr>
                <w:rFonts w:hint="default" w:ascii="Times New Roman" w:hAnsi="Times New Roman" w:eastAsia="宋体" w:cs="Times New Roman"/>
                <w:color w:val="auto"/>
                <w:u w:val="single" w:color="auto"/>
                <w:lang w:val="en-US" w:eastAsia="zh-CN"/>
              </w:rPr>
              <w:t>-26.26℃</w:t>
            </w:r>
            <w:r>
              <w:rPr>
                <w:rFonts w:hint="eastAsia" w:ascii="Times New Roman" w:hAnsi="Times New Roman" w:eastAsia="宋体" w:cs="Times New Roman"/>
                <w:color w:val="auto"/>
                <w:u w:val="single" w:color="auto"/>
                <w:lang w:val="en-US" w:eastAsia="zh-CN"/>
              </w:rPr>
              <w:t>，凝固点：</w:t>
            </w:r>
            <w:r>
              <w:rPr>
                <w:rFonts w:hint="default" w:ascii="Times New Roman" w:hAnsi="Times New Roman" w:eastAsia="宋体" w:cs="Times New Roman"/>
                <w:color w:val="auto"/>
                <w:u w:val="single" w:color="auto"/>
                <w:lang w:val="en-US" w:eastAsia="zh-CN"/>
              </w:rPr>
              <w:t>-96.6°C</w:t>
            </w:r>
            <w:r>
              <w:rPr>
                <w:rFonts w:hint="eastAsia" w:ascii="Times New Roman" w:hAnsi="Times New Roman" w:eastAsia="宋体" w:cs="Times New Roman"/>
                <w:color w:val="auto"/>
                <w:u w:val="single" w:color="auto"/>
                <w:lang w:val="en-US" w:eastAsia="zh-CN"/>
              </w:rPr>
              <w:t>，临界温度：</w:t>
            </w:r>
            <w:r>
              <w:rPr>
                <w:rFonts w:hint="default" w:ascii="Times New Roman" w:hAnsi="Times New Roman" w:eastAsia="宋体" w:cs="Times New Roman"/>
                <w:color w:val="auto"/>
                <w:u w:val="single" w:color="auto"/>
                <w:lang w:val="en-US" w:eastAsia="zh-CN"/>
              </w:rPr>
              <w:t>101.1℃</w:t>
            </w:r>
            <w:r>
              <w:rPr>
                <w:rFonts w:hint="eastAsia" w:ascii="Times New Roman" w:hAnsi="Times New Roman" w:eastAsia="宋体" w:cs="Times New Roman"/>
                <w:color w:val="auto"/>
                <w:u w:val="single" w:color="auto"/>
                <w:lang w:val="en-US" w:eastAsia="zh-CN"/>
              </w:rPr>
              <w:t>，临界压力：</w:t>
            </w:r>
            <w:r>
              <w:rPr>
                <w:rFonts w:hint="default" w:ascii="Times New Roman" w:hAnsi="Times New Roman" w:eastAsia="宋体" w:cs="Times New Roman"/>
                <w:color w:val="auto"/>
                <w:u w:val="single" w:color="auto"/>
                <w:lang w:val="en-US" w:eastAsia="zh-CN"/>
              </w:rPr>
              <w:t>4067kpa</w:t>
            </w:r>
            <w:r>
              <w:rPr>
                <w:rFonts w:hint="eastAsia" w:ascii="Times New Roman" w:hAnsi="Times New Roman" w:eastAsia="宋体" w:cs="Times New Roman"/>
                <w:color w:val="auto"/>
                <w:u w:val="single" w:color="auto"/>
                <w:lang w:val="en-US" w:eastAsia="zh-CN"/>
              </w:rPr>
              <w:t>。</w:t>
            </w:r>
          </w:p>
          <w:p>
            <w:pPr>
              <w:pStyle w:val="88"/>
              <w:widowControl/>
              <w:snapToGrid w:val="0"/>
              <w:ind w:firstLine="480"/>
              <w:jc w:val="left"/>
              <w:rPr>
                <w:rFonts w:hint="default" w:ascii="Times New Roman" w:hAnsi="Times New Roman" w:eastAsia="宋体" w:cs="Times New Roman"/>
                <w:color w:val="auto"/>
                <w:u w:val="single" w:color="auto"/>
              </w:rPr>
            </w:pPr>
            <w:r>
              <w:rPr>
                <w:rFonts w:hint="default" w:ascii="Times New Roman" w:hAnsi="Times New Roman" w:eastAsia="宋体" w:cs="Times New Roman"/>
                <w:color w:val="auto"/>
                <w:u w:val="single" w:color="auto"/>
              </w:rPr>
              <w:t>项目生物质燃料主要技术参数见表2-</w:t>
            </w:r>
            <w:r>
              <w:rPr>
                <w:rFonts w:hint="eastAsia" w:cs="Times New Roman"/>
                <w:color w:val="auto"/>
                <w:u w:val="single" w:color="auto"/>
                <w:lang w:val="en-US" w:eastAsia="zh-CN"/>
              </w:rPr>
              <w:t>5</w:t>
            </w:r>
            <w:r>
              <w:rPr>
                <w:rFonts w:hint="default" w:ascii="Times New Roman" w:hAnsi="Times New Roman" w:eastAsia="宋体" w:cs="Times New Roman"/>
                <w:color w:val="auto"/>
                <w:u w:val="single" w:color="auto"/>
              </w:rPr>
              <w:t>。</w:t>
            </w:r>
          </w:p>
          <w:p>
            <w:pPr>
              <w:pStyle w:val="86"/>
              <w:spacing w:before="0" w:line="240" w:lineRule="auto"/>
              <w:ind w:firstLine="482"/>
              <w:jc w:val="center"/>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z w:val="21"/>
                <w:szCs w:val="21"/>
                <w:u w:val="single" w:color="auto"/>
              </w:rPr>
              <w:t>表2-</w:t>
            </w:r>
            <w:r>
              <w:rPr>
                <w:rFonts w:hint="eastAsia" w:cs="Times New Roman"/>
                <w:b/>
                <w:bCs/>
                <w:color w:val="auto"/>
                <w:sz w:val="21"/>
                <w:szCs w:val="21"/>
                <w:u w:val="single" w:color="auto"/>
                <w:lang w:val="en-US" w:eastAsia="zh-CN"/>
              </w:rPr>
              <w:t>5</w:t>
            </w:r>
            <w:r>
              <w:rPr>
                <w:rFonts w:hint="default" w:ascii="Times New Roman" w:hAnsi="Times New Roman" w:eastAsia="宋体" w:cs="Times New Roman"/>
                <w:b/>
                <w:bCs/>
                <w:color w:val="auto"/>
                <w:sz w:val="21"/>
                <w:szCs w:val="21"/>
                <w:u w:val="single" w:color="auto"/>
              </w:rPr>
              <w:t xml:space="preserve">  生物质燃料的主要技术参数</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3"/>
              <w:gridCol w:w="813"/>
              <w:gridCol w:w="757"/>
              <w:gridCol w:w="748"/>
              <w:gridCol w:w="926"/>
              <w:gridCol w:w="815"/>
              <w:gridCol w:w="1314"/>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tcBorders>
                    <w:tl2br w:val="nil"/>
                    <w:tr2bl w:val="nil"/>
                  </w:tcBorders>
                  <w:noWrap w:val="0"/>
                  <w:vAlign w:val="center"/>
                </w:tcPr>
                <w:p>
                  <w:pPr>
                    <w:pStyle w:val="87"/>
                    <w:widowControl w:val="0"/>
                    <w:rPr>
                      <w:rFonts w:hint="default" w:ascii="Times New Roman" w:hAnsi="Times New Roman" w:cs="Times New Roman"/>
                      <w:b w:val="0"/>
                      <w:bCs/>
                      <w:color w:val="auto"/>
                      <w:u w:val="single" w:color="auto"/>
                    </w:rPr>
                  </w:pPr>
                  <w:r>
                    <w:rPr>
                      <w:rFonts w:hint="default" w:ascii="Times New Roman" w:hAnsi="Times New Roman" w:cs="Times New Roman"/>
                      <w:b w:val="0"/>
                      <w:bCs/>
                      <w:color w:val="auto"/>
                      <w:u w:val="single" w:color="auto"/>
                    </w:rPr>
                    <w:t>全水分</w:t>
                  </w:r>
                </w:p>
              </w:tc>
              <w:tc>
                <w:tcPr>
                  <w:tcW w:w="488" w:type="pct"/>
                  <w:tcBorders>
                    <w:tl2br w:val="nil"/>
                    <w:tr2bl w:val="nil"/>
                  </w:tcBorders>
                  <w:noWrap w:val="0"/>
                  <w:vAlign w:val="center"/>
                </w:tcPr>
                <w:p>
                  <w:pPr>
                    <w:pStyle w:val="87"/>
                    <w:widowControl w:val="0"/>
                    <w:rPr>
                      <w:rFonts w:hint="default" w:ascii="Times New Roman" w:hAnsi="Times New Roman" w:cs="Times New Roman"/>
                      <w:b w:val="0"/>
                      <w:bCs/>
                      <w:color w:val="auto"/>
                      <w:u w:val="single" w:color="auto"/>
                    </w:rPr>
                  </w:pPr>
                  <w:r>
                    <w:rPr>
                      <w:rFonts w:hint="eastAsia" w:cs="Times New Roman"/>
                      <w:b w:val="0"/>
                      <w:bCs/>
                      <w:color w:val="auto"/>
                      <w:u w:val="single" w:color="auto"/>
                      <w:lang w:val="en-US" w:eastAsia="zh-CN"/>
                    </w:rPr>
                    <w:t>收到基</w:t>
                  </w:r>
                  <w:r>
                    <w:rPr>
                      <w:rFonts w:hint="default" w:ascii="Times New Roman" w:hAnsi="Times New Roman" w:cs="Times New Roman"/>
                      <w:b w:val="0"/>
                      <w:bCs/>
                      <w:color w:val="auto"/>
                      <w:u w:val="single" w:color="auto"/>
                    </w:rPr>
                    <w:t>灰分</w:t>
                  </w:r>
                </w:p>
              </w:tc>
              <w:tc>
                <w:tcPr>
                  <w:tcW w:w="488" w:type="pct"/>
                  <w:tcBorders>
                    <w:tl2br w:val="nil"/>
                    <w:tr2bl w:val="nil"/>
                  </w:tcBorders>
                  <w:noWrap w:val="0"/>
                  <w:vAlign w:val="center"/>
                </w:tcPr>
                <w:p>
                  <w:pPr>
                    <w:pStyle w:val="87"/>
                    <w:widowControl w:val="0"/>
                    <w:rPr>
                      <w:rFonts w:hint="default" w:ascii="Times New Roman" w:hAnsi="Times New Roman" w:cs="Times New Roman"/>
                      <w:b w:val="0"/>
                      <w:bCs/>
                      <w:color w:val="auto"/>
                      <w:u w:val="single" w:color="auto"/>
                    </w:rPr>
                  </w:pPr>
                  <w:r>
                    <w:rPr>
                      <w:rFonts w:hint="default" w:ascii="Times New Roman" w:hAnsi="Times New Roman" w:cs="Times New Roman"/>
                      <w:b w:val="0"/>
                      <w:bCs/>
                      <w:color w:val="auto"/>
                      <w:u w:val="single" w:color="auto"/>
                    </w:rPr>
                    <w:t>空干基水分</w:t>
                  </w:r>
                </w:p>
              </w:tc>
              <w:tc>
                <w:tcPr>
                  <w:tcW w:w="454" w:type="pct"/>
                  <w:tcBorders>
                    <w:tl2br w:val="nil"/>
                    <w:tr2bl w:val="nil"/>
                  </w:tcBorders>
                  <w:noWrap w:val="0"/>
                  <w:vAlign w:val="center"/>
                </w:tcPr>
                <w:p>
                  <w:pPr>
                    <w:pStyle w:val="87"/>
                    <w:widowControl w:val="0"/>
                    <w:rPr>
                      <w:rFonts w:hint="default" w:ascii="Times New Roman" w:hAnsi="Times New Roman" w:cs="Times New Roman"/>
                      <w:b w:val="0"/>
                      <w:bCs/>
                      <w:color w:val="auto"/>
                      <w:u w:val="single" w:color="auto"/>
                    </w:rPr>
                  </w:pPr>
                  <w:r>
                    <w:rPr>
                      <w:rFonts w:hint="eastAsia" w:cs="Times New Roman"/>
                      <w:b w:val="0"/>
                      <w:bCs/>
                      <w:color w:val="auto"/>
                      <w:u w:val="single" w:color="auto"/>
                      <w:lang w:val="en-US" w:eastAsia="zh-CN"/>
                    </w:rPr>
                    <w:t>收到基</w:t>
                  </w:r>
                  <w:r>
                    <w:rPr>
                      <w:rFonts w:hint="default" w:ascii="Times New Roman" w:hAnsi="Times New Roman" w:cs="Times New Roman"/>
                      <w:b w:val="0"/>
                      <w:bCs/>
                      <w:color w:val="auto"/>
                      <w:u w:val="single" w:color="auto"/>
                    </w:rPr>
                    <w:t>挥发分</w:t>
                  </w:r>
                </w:p>
              </w:tc>
              <w:tc>
                <w:tcPr>
                  <w:tcW w:w="449" w:type="pct"/>
                  <w:tcBorders>
                    <w:tl2br w:val="nil"/>
                    <w:tr2bl w:val="nil"/>
                  </w:tcBorders>
                  <w:noWrap w:val="0"/>
                  <w:vAlign w:val="center"/>
                </w:tcPr>
                <w:p>
                  <w:pPr>
                    <w:pStyle w:val="87"/>
                    <w:widowControl w:val="0"/>
                    <w:rPr>
                      <w:rFonts w:hint="default" w:ascii="Times New Roman" w:hAnsi="Times New Roman" w:cs="Times New Roman"/>
                      <w:b w:val="0"/>
                      <w:bCs/>
                      <w:color w:val="auto"/>
                      <w:u w:val="single" w:color="auto"/>
                    </w:rPr>
                  </w:pPr>
                  <w:r>
                    <w:rPr>
                      <w:rFonts w:hint="default" w:ascii="Times New Roman" w:hAnsi="Times New Roman" w:cs="Times New Roman"/>
                      <w:b w:val="0"/>
                      <w:bCs/>
                      <w:color w:val="auto"/>
                      <w:u w:val="single" w:color="auto"/>
                    </w:rPr>
                    <w:t>焦渣特征</w:t>
                  </w:r>
                </w:p>
              </w:tc>
              <w:tc>
                <w:tcPr>
                  <w:tcW w:w="556" w:type="pct"/>
                  <w:tcBorders>
                    <w:tl2br w:val="nil"/>
                    <w:tr2bl w:val="nil"/>
                  </w:tcBorders>
                  <w:noWrap w:val="0"/>
                  <w:vAlign w:val="center"/>
                </w:tcPr>
                <w:p>
                  <w:pPr>
                    <w:pStyle w:val="87"/>
                    <w:widowControl w:val="0"/>
                    <w:rPr>
                      <w:rFonts w:hint="default" w:ascii="Times New Roman" w:hAnsi="Times New Roman" w:cs="Times New Roman"/>
                      <w:b w:val="0"/>
                      <w:bCs/>
                      <w:color w:val="auto"/>
                      <w:u w:val="single" w:color="auto"/>
                    </w:rPr>
                  </w:pPr>
                  <w:r>
                    <w:rPr>
                      <w:rFonts w:hint="eastAsia" w:cs="Times New Roman"/>
                      <w:b w:val="0"/>
                      <w:bCs/>
                      <w:color w:val="auto"/>
                      <w:u w:val="single" w:color="auto"/>
                      <w:lang w:val="en-US" w:eastAsia="zh-CN"/>
                    </w:rPr>
                    <w:t>收到基</w:t>
                  </w:r>
                  <w:r>
                    <w:rPr>
                      <w:rFonts w:hint="default" w:ascii="Times New Roman" w:hAnsi="Times New Roman" w:cs="Times New Roman"/>
                      <w:b w:val="0"/>
                      <w:bCs/>
                      <w:color w:val="auto"/>
                      <w:u w:val="single" w:color="auto"/>
                    </w:rPr>
                    <w:t>固定碳</w:t>
                  </w:r>
                </w:p>
              </w:tc>
              <w:tc>
                <w:tcPr>
                  <w:tcW w:w="489" w:type="pct"/>
                  <w:tcBorders>
                    <w:tl2br w:val="nil"/>
                    <w:tr2bl w:val="nil"/>
                  </w:tcBorders>
                  <w:noWrap w:val="0"/>
                  <w:vAlign w:val="center"/>
                </w:tcPr>
                <w:p>
                  <w:pPr>
                    <w:pStyle w:val="87"/>
                    <w:widowControl w:val="0"/>
                    <w:rPr>
                      <w:rFonts w:hint="default" w:ascii="Times New Roman" w:hAnsi="Times New Roman" w:cs="Times New Roman"/>
                      <w:b w:val="0"/>
                      <w:bCs/>
                      <w:color w:val="auto"/>
                      <w:u w:val="single" w:color="auto"/>
                    </w:rPr>
                  </w:pPr>
                  <w:r>
                    <w:rPr>
                      <w:rFonts w:hint="default" w:ascii="Times New Roman" w:hAnsi="Times New Roman" w:cs="Times New Roman"/>
                      <w:b w:val="0"/>
                      <w:bCs/>
                      <w:color w:val="auto"/>
                      <w:u w:val="single" w:color="auto"/>
                    </w:rPr>
                    <w:t>全硫</w:t>
                  </w:r>
                </w:p>
              </w:tc>
              <w:tc>
                <w:tcPr>
                  <w:tcW w:w="789" w:type="pct"/>
                  <w:tcBorders>
                    <w:tl2br w:val="nil"/>
                    <w:tr2bl w:val="nil"/>
                  </w:tcBorders>
                  <w:noWrap w:val="0"/>
                  <w:vAlign w:val="center"/>
                </w:tcPr>
                <w:p>
                  <w:pPr>
                    <w:pStyle w:val="87"/>
                    <w:widowControl w:val="0"/>
                    <w:rPr>
                      <w:rFonts w:hint="default" w:ascii="Times New Roman" w:hAnsi="Times New Roman" w:cs="Times New Roman"/>
                      <w:b w:val="0"/>
                      <w:bCs/>
                      <w:color w:val="auto"/>
                      <w:u w:val="single" w:color="auto"/>
                    </w:rPr>
                  </w:pPr>
                  <w:r>
                    <w:rPr>
                      <w:rFonts w:hint="default" w:ascii="Times New Roman" w:hAnsi="Times New Roman" w:cs="Times New Roman"/>
                      <w:b w:val="0"/>
                      <w:bCs/>
                      <w:color w:val="auto"/>
                      <w:u w:val="single" w:color="auto"/>
                    </w:rPr>
                    <w:t>空干基高位发热量</w:t>
                  </w:r>
                </w:p>
              </w:tc>
              <w:tc>
                <w:tcPr>
                  <w:tcW w:w="789" w:type="pct"/>
                  <w:tcBorders>
                    <w:tl2br w:val="nil"/>
                    <w:tr2bl w:val="nil"/>
                  </w:tcBorders>
                  <w:noWrap w:val="0"/>
                  <w:vAlign w:val="center"/>
                </w:tcPr>
                <w:p>
                  <w:pPr>
                    <w:pStyle w:val="87"/>
                    <w:widowControl w:val="0"/>
                    <w:rPr>
                      <w:rFonts w:hint="default" w:ascii="Times New Roman" w:hAnsi="Times New Roman" w:cs="Times New Roman"/>
                      <w:b w:val="0"/>
                      <w:bCs/>
                      <w:color w:val="auto"/>
                      <w:u w:val="single" w:color="auto"/>
                    </w:rPr>
                  </w:pPr>
                  <w:r>
                    <w:rPr>
                      <w:rFonts w:hint="default" w:ascii="Times New Roman" w:hAnsi="Times New Roman" w:cs="Times New Roman"/>
                      <w:b w:val="0"/>
                      <w:bCs/>
                      <w:color w:val="auto"/>
                      <w:u w:val="single" w:color="auto"/>
                    </w:rPr>
                    <w:t>收到基低位发热量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tcBorders>
                    <w:tl2br w:val="nil"/>
                    <w:tr2bl w:val="nil"/>
                  </w:tcBorders>
                  <w:noWrap w:val="0"/>
                  <w:vAlign w:val="center"/>
                </w:tcPr>
                <w:p>
                  <w:pPr>
                    <w:pStyle w:val="87"/>
                    <w:widowControl w:val="0"/>
                    <w:rPr>
                      <w:rFonts w:hint="default" w:ascii="Times New Roman" w:hAnsi="Times New Roman" w:cs="Times New Roman"/>
                      <w:b w:val="0"/>
                      <w:bCs/>
                      <w:color w:val="auto"/>
                      <w:u w:val="single" w:color="auto"/>
                    </w:rPr>
                  </w:pPr>
                  <w:r>
                    <w:rPr>
                      <w:rFonts w:hint="default" w:ascii="Times New Roman" w:hAnsi="Times New Roman" w:cs="Times New Roman"/>
                      <w:b w:val="0"/>
                      <w:bCs/>
                      <w:color w:val="auto"/>
                      <w:u w:val="single" w:color="auto"/>
                    </w:rPr>
                    <w:t>≤</w:t>
                  </w:r>
                  <w:r>
                    <w:rPr>
                      <w:rFonts w:hint="eastAsia" w:cs="Times New Roman"/>
                      <w:b w:val="0"/>
                      <w:bCs/>
                      <w:color w:val="auto"/>
                      <w:u w:val="single" w:color="auto"/>
                      <w:lang w:val="en-US" w:eastAsia="zh-CN"/>
                    </w:rPr>
                    <w:t>3.2</w:t>
                  </w:r>
                  <w:r>
                    <w:rPr>
                      <w:rFonts w:hint="default" w:ascii="Times New Roman" w:hAnsi="Times New Roman" w:cs="Times New Roman"/>
                      <w:b w:val="0"/>
                      <w:bCs/>
                      <w:color w:val="auto"/>
                      <w:u w:val="single" w:color="auto"/>
                    </w:rPr>
                    <w:t>%</w:t>
                  </w:r>
                </w:p>
              </w:tc>
              <w:tc>
                <w:tcPr>
                  <w:tcW w:w="488" w:type="pct"/>
                  <w:tcBorders>
                    <w:tl2br w:val="nil"/>
                    <w:tr2bl w:val="nil"/>
                  </w:tcBorders>
                  <w:noWrap w:val="0"/>
                  <w:vAlign w:val="center"/>
                </w:tcPr>
                <w:p>
                  <w:pPr>
                    <w:pStyle w:val="87"/>
                    <w:widowControl w:val="0"/>
                    <w:rPr>
                      <w:rFonts w:hint="default" w:ascii="Times New Roman" w:hAnsi="Times New Roman" w:cs="Times New Roman"/>
                      <w:b w:val="0"/>
                      <w:bCs/>
                      <w:color w:val="auto"/>
                      <w:u w:val="single" w:color="auto"/>
                    </w:rPr>
                  </w:pPr>
                  <w:r>
                    <w:rPr>
                      <w:rFonts w:hint="eastAsia" w:cs="Times New Roman"/>
                      <w:b w:val="0"/>
                      <w:bCs/>
                      <w:color w:val="auto"/>
                      <w:u w:val="single" w:color="auto"/>
                      <w:lang w:val="en-US" w:eastAsia="zh-CN"/>
                    </w:rPr>
                    <w:t>3.89</w:t>
                  </w:r>
                  <w:r>
                    <w:rPr>
                      <w:rFonts w:hint="default" w:ascii="Times New Roman" w:hAnsi="Times New Roman" w:cs="Times New Roman"/>
                      <w:b w:val="0"/>
                      <w:bCs/>
                      <w:color w:val="auto"/>
                      <w:u w:val="single" w:color="auto"/>
                    </w:rPr>
                    <w:t>%</w:t>
                  </w:r>
                </w:p>
              </w:tc>
              <w:tc>
                <w:tcPr>
                  <w:tcW w:w="488" w:type="pct"/>
                  <w:tcBorders>
                    <w:tl2br w:val="nil"/>
                    <w:tr2bl w:val="nil"/>
                  </w:tcBorders>
                  <w:noWrap w:val="0"/>
                  <w:vAlign w:val="center"/>
                </w:tcPr>
                <w:p>
                  <w:pPr>
                    <w:pStyle w:val="87"/>
                    <w:widowControl w:val="0"/>
                    <w:rPr>
                      <w:rFonts w:hint="default" w:ascii="Times New Roman" w:hAnsi="Times New Roman" w:cs="Times New Roman"/>
                      <w:b w:val="0"/>
                      <w:bCs/>
                      <w:color w:val="auto"/>
                      <w:u w:val="single" w:color="auto"/>
                    </w:rPr>
                  </w:pPr>
                  <w:r>
                    <w:rPr>
                      <w:rFonts w:hint="eastAsia" w:cs="Times New Roman"/>
                      <w:b w:val="0"/>
                      <w:bCs/>
                      <w:color w:val="auto"/>
                      <w:u w:val="single" w:color="auto"/>
                      <w:lang w:val="en-US" w:eastAsia="zh-CN"/>
                    </w:rPr>
                    <w:t>2.17</w:t>
                  </w:r>
                  <w:r>
                    <w:rPr>
                      <w:rFonts w:hint="default" w:ascii="Times New Roman" w:hAnsi="Times New Roman" w:cs="Times New Roman"/>
                      <w:b w:val="0"/>
                      <w:bCs/>
                      <w:color w:val="auto"/>
                      <w:u w:val="single" w:color="auto"/>
                    </w:rPr>
                    <w:t>%</w:t>
                  </w:r>
                </w:p>
              </w:tc>
              <w:tc>
                <w:tcPr>
                  <w:tcW w:w="454" w:type="pct"/>
                  <w:tcBorders>
                    <w:tl2br w:val="nil"/>
                    <w:tr2bl w:val="nil"/>
                  </w:tcBorders>
                  <w:noWrap w:val="0"/>
                  <w:vAlign w:val="center"/>
                </w:tcPr>
                <w:p>
                  <w:pPr>
                    <w:pStyle w:val="87"/>
                    <w:widowControl w:val="0"/>
                    <w:rPr>
                      <w:rFonts w:hint="default" w:ascii="Times New Roman" w:hAnsi="Times New Roman" w:cs="Times New Roman"/>
                      <w:b w:val="0"/>
                      <w:bCs/>
                      <w:color w:val="auto"/>
                      <w:u w:val="single" w:color="auto"/>
                    </w:rPr>
                  </w:pPr>
                  <w:r>
                    <w:rPr>
                      <w:rFonts w:hint="eastAsia" w:cs="Times New Roman"/>
                      <w:b w:val="0"/>
                      <w:bCs/>
                      <w:color w:val="auto"/>
                      <w:u w:val="single" w:color="auto"/>
                      <w:lang w:val="en-US" w:eastAsia="zh-CN"/>
                    </w:rPr>
                    <w:t>73.83</w:t>
                  </w:r>
                  <w:r>
                    <w:rPr>
                      <w:rFonts w:hint="default" w:ascii="Times New Roman" w:hAnsi="Times New Roman" w:cs="Times New Roman"/>
                      <w:b w:val="0"/>
                      <w:bCs/>
                      <w:color w:val="auto"/>
                      <w:u w:val="single" w:color="auto"/>
                    </w:rPr>
                    <w:t>%</w:t>
                  </w:r>
                </w:p>
              </w:tc>
              <w:tc>
                <w:tcPr>
                  <w:tcW w:w="449" w:type="pct"/>
                  <w:tcBorders>
                    <w:tl2br w:val="nil"/>
                    <w:tr2bl w:val="nil"/>
                  </w:tcBorders>
                  <w:noWrap w:val="0"/>
                  <w:vAlign w:val="center"/>
                </w:tcPr>
                <w:p>
                  <w:pPr>
                    <w:pStyle w:val="87"/>
                    <w:widowControl w:val="0"/>
                    <w:rPr>
                      <w:rFonts w:hint="default" w:ascii="Times New Roman" w:hAnsi="Times New Roman" w:cs="Times New Roman"/>
                      <w:b w:val="0"/>
                      <w:bCs/>
                      <w:color w:val="auto"/>
                      <w:u w:val="single" w:color="auto"/>
                    </w:rPr>
                  </w:pPr>
                  <w:r>
                    <w:rPr>
                      <w:rFonts w:hint="default" w:ascii="Times New Roman" w:hAnsi="Times New Roman" w:cs="Times New Roman"/>
                      <w:b w:val="0"/>
                      <w:bCs/>
                      <w:color w:val="auto"/>
                      <w:u w:val="single" w:color="auto"/>
                    </w:rPr>
                    <w:t>1类</w:t>
                  </w:r>
                </w:p>
              </w:tc>
              <w:tc>
                <w:tcPr>
                  <w:tcW w:w="556" w:type="pct"/>
                  <w:tcBorders>
                    <w:tl2br w:val="nil"/>
                    <w:tr2bl w:val="nil"/>
                  </w:tcBorders>
                  <w:noWrap w:val="0"/>
                  <w:vAlign w:val="center"/>
                </w:tcPr>
                <w:p>
                  <w:pPr>
                    <w:pStyle w:val="87"/>
                    <w:widowControl w:val="0"/>
                    <w:rPr>
                      <w:rFonts w:hint="default" w:ascii="Times New Roman" w:hAnsi="Times New Roman" w:cs="Times New Roman"/>
                      <w:b w:val="0"/>
                      <w:bCs/>
                      <w:color w:val="auto"/>
                      <w:u w:val="single" w:color="auto"/>
                    </w:rPr>
                  </w:pPr>
                  <w:r>
                    <w:rPr>
                      <w:rFonts w:hint="default" w:ascii="Times New Roman" w:hAnsi="Times New Roman" w:cs="Times New Roman"/>
                      <w:b w:val="0"/>
                      <w:bCs/>
                      <w:color w:val="auto"/>
                      <w:u w:val="single" w:color="auto"/>
                    </w:rPr>
                    <w:t>1</w:t>
                  </w:r>
                  <w:r>
                    <w:rPr>
                      <w:rFonts w:hint="eastAsia" w:cs="Times New Roman"/>
                      <w:b w:val="0"/>
                      <w:bCs/>
                      <w:color w:val="auto"/>
                      <w:u w:val="single" w:color="auto"/>
                      <w:lang w:val="en-US" w:eastAsia="zh-CN"/>
                    </w:rPr>
                    <w:t>6.06</w:t>
                  </w:r>
                  <w:r>
                    <w:rPr>
                      <w:rFonts w:hint="default" w:ascii="Times New Roman" w:hAnsi="Times New Roman" w:cs="Times New Roman"/>
                      <w:b w:val="0"/>
                      <w:bCs/>
                      <w:color w:val="auto"/>
                      <w:u w:val="single" w:color="auto"/>
                    </w:rPr>
                    <w:t>%</w:t>
                  </w:r>
                </w:p>
              </w:tc>
              <w:tc>
                <w:tcPr>
                  <w:tcW w:w="489" w:type="pct"/>
                  <w:tcBorders>
                    <w:tl2br w:val="nil"/>
                    <w:tr2bl w:val="nil"/>
                  </w:tcBorders>
                  <w:noWrap w:val="0"/>
                  <w:vAlign w:val="center"/>
                </w:tcPr>
                <w:p>
                  <w:pPr>
                    <w:pStyle w:val="87"/>
                    <w:widowControl w:val="0"/>
                    <w:rPr>
                      <w:rFonts w:hint="default" w:ascii="Times New Roman" w:hAnsi="Times New Roman" w:cs="Times New Roman"/>
                      <w:b w:val="0"/>
                      <w:bCs/>
                      <w:color w:val="auto"/>
                      <w:u w:val="single" w:color="auto"/>
                    </w:rPr>
                  </w:pPr>
                  <w:r>
                    <w:rPr>
                      <w:rFonts w:hint="default" w:ascii="Times New Roman" w:hAnsi="Times New Roman" w:cs="Times New Roman"/>
                      <w:b w:val="0"/>
                      <w:bCs/>
                      <w:color w:val="auto"/>
                      <w:u w:val="single" w:color="auto"/>
                    </w:rPr>
                    <w:t>0.</w:t>
                  </w:r>
                  <w:r>
                    <w:rPr>
                      <w:rFonts w:hint="eastAsia" w:cs="Times New Roman"/>
                      <w:b w:val="0"/>
                      <w:bCs/>
                      <w:color w:val="auto"/>
                      <w:u w:val="single" w:color="auto"/>
                      <w:lang w:val="en-US" w:eastAsia="zh-CN"/>
                    </w:rPr>
                    <w:t>11</w:t>
                  </w:r>
                  <w:r>
                    <w:rPr>
                      <w:rFonts w:hint="default" w:ascii="Times New Roman" w:hAnsi="Times New Roman" w:cs="Times New Roman"/>
                      <w:b w:val="0"/>
                      <w:bCs/>
                      <w:color w:val="auto"/>
                      <w:u w:val="single" w:color="auto"/>
                    </w:rPr>
                    <w:t>%</w:t>
                  </w:r>
                </w:p>
              </w:tc>
              <w:tc>
                <w:tcPr>
                  <w:tcW w:w="789" w:type="pct"/>
                  <w:tcBorders>
                    <w:tl2br w:val="nil"/>
                    <w:tr2bl w:val="nil"/>
                  </w:tcBorders>
                  <w:noWrap w:val="0"/>
                  <w:vAlign w:val="center"/>
                </w:tcPr>
                <w:p>
                  <w:pPr>
                    <w:pStyle w:val="87"/>
                    <w:widowControl w:val="0"/>
                    <w:rPr>
                      <w:rFonts w:hint="default" w:ascii="Times New Roman" w:hAnsi="Times New Roman" w:eastAsia="宋体" w:cs="Times New Roman"/>
                      <w:b w:val="0"/>
                      <w:bCs/>
                      <w:color w:val="auto"/>
                      <w:u w:val="single" w:color="auto"/>
                      <w:lang w:val="en-US" w:eastAsia="zh-CN"/>
                    </w:rPr>
                  </w:pPr>
                  <w:r>
                    <w:rPr>
                      <w:rFonts w:hint="eastAsia" w:cs="Times New Roman"/>
                      <w:b w:val="0"/>
                      <w:bCs/>
                      <w:color w:val="auto"/>
                      <w:u w:val="single" w:color="auto"/>
                      <w:lang w:val="en-US" w:eastAsia="zh-CN"/>
                    </w:rPr>
                    <w:t>17.65MJ/kg</w:t>
                  </w:r>
                </w:p>
              </w:tc>
              <w:tc>
                <w:tcPr>
                  <w:tcW w:w="789" w:type="pct"/>
                  <w:tcBorders>
                    <w:tl2br w:val="nil"/>
                    <w:tr2bl w:val="nil"/>
                  </w:tcBorders>
                  <w:noWrap w:val="0"/>
                  <w:vAlign w:val="center"/>
                </w:tcPr>
                <w:p>
                  <w:pPr>
                    <w:pStyle w:val="87"/>
                    <w:widowControl w:val="0"/>
                    <w:rPr>
                      <w:rFonts w:hint="default" w:ascii="Times New Roman" w:hAnsi="Times New Roman" w:eastAsia="宋体" w:cs="Times New Roman"/>
                      <w:b w:val="0"/>
                      <w:bCs/>
                      <w:color w:val="auto"/>
                      <w:u w:val="single" w:color="auto"/>
                      <w:lang w:val="en-US" w:eastAsia="zh-CN"/>
                    </w:rPr>
                  </w:pPr>
                  <w:r>
                    <w:rPr>
                      <w:rFonts w:hint="eastAsia" w:cs="Times New Roman"/>
                      <w:b w:val="0"/>
                      <w:bCs/>
                      <w:color w:val="auto"/>
                      <w:u w:val="single" w:color="auto"/>
                      <w:lang w:val="en-US" w:eastAsia="zh-CN"/>
                    </w:rPr>
                    <w:t>16.18MJ/kg</w:t>
                  </w:r>
                </w:p>
              </w:tc>
            </w:tr>
          </w:tbl>
          <w:p>
            <w:pPr>
              <w:pStyle w:val="88"/>
              <w:widowControl/>
              <w:snapToGrid w:val="0"/>
              <w:ind w:firstLine="480"/>
              <w:jc w:val="left"/>
              <w:rPr>
                <w:rFonts w:hint="default" w:ascii="Times New Roman" w:hAnsi="Times New Roman" w:eastAsia="宋体" w:cs="Times New Roman"/>
                <w:color w:val="auto"/>
                <w:szCs w:val="24"/>
                <w:u w:val="single" w:color="auto"/>
              </w:rPr>
            </w:pPr>
            <w:r>
              <w:rPr>
                <w:rFonts w:hint="default" w:ascii="Times New Roman" w:hAnsi="Times New Roman" w:eastAsia="宋体" w:cs="Times New Roman"/>
                <w:color w:val="auto"/>
                <w:u w:val="single" w:color="auto"/>
              </w:rPr>
              <w:t>生物质用量核算：蒸汽锅炉中的水从常温</w:t>
            </w:r>
            <w:r>
              <w:rPr>
                <w:rFonts w:hint="default" w:ascii="Times New Roman" w:hAnsi="Times New Roman" w:eastAsia="宋体" w:cs="Times New Roman"/>
                <w:color w:val="auto"/>
                <w:u w:val="single" w:color="auto"/>
                <w:lang w:eastAsia="zh-CN"/>
              </w:rPr>
              <w:t>(</w:t>
            </w:r>
            <w:r>
              <w:rPr>
                <w:rFonts w:hint="default" w:ascii="Times New Roman" w:hAnsi="Times New Roman" w:eastAsia="宋体" w:cs="Times New Roman"/>
                <w:color w:val="auto"/>
                <w:u w:val="single" w:color="auto"/>
              </w:rPr>
              <w:t>25℃</w:t>
            </w:r>
            <w:r>
              <w:rPr>
                <w:rFonts w:hint="default" w:ascii="Times New Roman" w:hAnsi="Times New Roman" w:eastAsia="宋体" w:cs="Times New Roman"/>
                <w:color w:val="auto"/>
                <w:u w:val="single" w:color="auto"/>
                <w:lang w:eastAsia="zh-CN"/>
              </w:rPr>
              <w:t>)</w:t>
            </w:r>
            <w:r>
              <w:rPr>
                <w:rFonts w:hint="default" w:ascii="Times New Roman" w:hAnsi="Times New Roman" w:eastAsia="宋体" w:cs="Times New Roman"/>
                <w:color w:val="auto"/>
                <w:u w:val="single" w:color="auto"/>
              </w:rPr>
              <w:t>升温到100℃，所需吸收的热量可由公式</w:t>
            </w:r>
            <w:r>
              <w:rPr>
                <w:rFonts w:hint="default" w:ascii="Times New Roman" w:hAnsi="Times New Roman" w:eastAsia="宋体" w:cs="Times New Roman"/>
                <w:color w:val="auto"/>
                <w:position w:val="-10"/>
                <w:u w:val="single" w:color="auto"/>
              </w:rPr>
              <w:object>
                <v:shape id="_x0000_i1025" o:spt="75" type="#_x0000_t75" style="height:16pt;width:64pt;" o:ole="t" filled="f" o:preferrelative="t" stroked="f" coordsize="21600,21600">
                  <v:path/>
                  <v:fill on="f" focussize="0,0"/>
                  <v:stroke on="f"/>
                  <v:imagedata r:id="rId19" o:title=""/>
                  <o:lock v:ext="edit" aspectratio="t"/>
                  <w10:wrap type="none"/>
                  <w10:anchorlock/>
                </v:shape>
                <o:OLEObject Type="Embed" ProgID="Equation.KSEE3" ShapeID="_x0000_i1025" DrawAspect="Content" ObjectID="_1468075725" r:id="rId18">
                  <o:LockedField>false</o:LockedField>
                </o:OLEObject>
              </w:object>
            </w:r>
            <w:r>
              <w:rPr>
                <w:rFonts w:hint="default" w:ascii="Times New Roman" w:hAnsi="Times New Roman" w:eastAsia="宋体" w:cs="Times New Roman"/>
                <w:color w:val="auto"/>
                <w:u w:val="single" w:color="auto"/>
              </w:rPr>
              <w:t>计算，即4200</w:t>
            </w:r>
            <w:r>
              <w:rPr>
                <w:rFonts w:hint="eastAsia" w:cs="Times New Roman"/>
                <w:color w:val="auto"/>
                <w:u w:val="single" w:color="auto"/>
                <w:lang w:eastAsia="zh-CN"/>
              </w:rPr>
              <w:t>（</w:t>
            </w:r>
            <w:r>
              <w:rPr>
                <w:rFonts w:hint="eastAsia" w:cs="Times New Roman"/>
                <w:color w:val="auto"/>
                <w:u w:val="single" w:color="auto"/>
                <w:lang w:val="en-US" w:eastAsia="zh-CN"/>
              </w:rPr>
              <w:t>水的比热容</w:t>
            </w:r>
            <w:r>
              <w:rPr>
                <w:rFonts w:hint="eastAsia" w:cs="Times New Roman"/>
                <w:color w:val="auto"/>
                <w:u w:val="single" w:color="auto"/>
                <w:lang w:eastAsia="zh-CN"/>
              </w:rPr>
              <w:t>）</w:t>
            </w:r>
            <w:r>
              <w:rPr>
                <w:rFonts w:hint="default" w:ascii="Times New Roman" w:hAnsi="Times New Roman" w:eastAsia="宋体" w:cs="Times New Roman"/>
                <w:color w:val="auto"/>
                <w:u w:val="single" w:color="auto"/>
              </w:rPr>
              <w:t>×</w:t>
            </w:r>
            <w:r>
              <w:rPr>
                <w:rFonts w:hint="eastAsia" w:cs="Times New Roman"/>
                <w:color w:val="auto"/>
                <w:u w:val="single" w:color="auto"/>
                <w:lang w:val="en-US" w:eastAsia="zh-CN"/>
              </w:rPr>
              <w:t>6</w:t>
            </w:r>
            <w:r>
              <w:rPr>
                <w:rFonts w:hint="default" w:ascii="Times New Roman" w:hAnsi="Times New Roman" w:eastAsia="宋体" w:cs="Times New Roman"/>
                <w:color w:val="auto"/>
                <w:u w:val="single" w:color="auto"/>
              </w:rPr>
              <w:t>×</w:t>
            </w:r>
            <w:r>
              <w:rPr>
                <w:rFonts w:hint="default" w:ascii="Times New Roman" w:hAnsi="Times New Roman" w:eastAsia="宋体" w:cs="Times New Roman"/>
                <w:color w:val="auto"/>
                <w:u w:val="single" w:color="auto"/>
                <w:lang w:eastAsia="zh-CN"/>
              </w:rPr>
              <w:t>(</w:t>
            </w:r>
            <w:r>
              <w:rPr>
                <w:rFonts w:hint="default" w:ascii="Times New Roman" w:hAnsi="Times New Roman" w:eastAsia="宋体" w:cs="Times New Roman"/>
                <w:color w:val="auto"/>
                <w:u w:val="single" w:color="auto"/>
              </w:rPr>
              <w:t>100-25</w:t>
            </w:r>
            <w:r>
              <w:rPr>
                <w:rFonts w:hint="default" w:ascii="Times New Roman" w:hAnsi="Times New Roman" w:eastAsia="宋体" w:cs="Times New Roman"/>
                <w:color w:val="auto"/>
                <w:u w:val="single" w:color="auto"/>
                <w:lang w:eastAsia="zh-CN"/>
              </w:rPr>
              <w:t>)</w:t>
            </w:r>
            <w:r>
              <w:rPr>
                <w:rFonts w:hint="default" w:ascii="Times New Roman" w:hAnsi="Times New Roman" w:eastAsia="宋体" w:cs="Times New Roman"/>
                <w:color w:val="auto"/>
                <w:u w:val="single" w:color="auto"/>
              </w:rPr>
              <w:t>=</w:t>
            </w:r>
            <w:r>
              <w:rPr>
                <w:rFonts w:hint="eastAsia" w:eastAsia="宋体" w:cs="Times New Roman"/>
                <w:color w:val="auto"/>
                <w:u w:val="single" w:color="auto"/>
                <w:lang w:val="en-US" w:eastAsia="zh-CN"/>
              </w:rPr>
              <w:t>1890</w:t>
            </w:r>
            <w:r>
              <w:rPr>
                <w:rFonts w:hint="default" w:ascii="Times New Roman" w:hAnsi="Times New Roman" w:eastAsia="宋体" w:cs="Times New Roman"/>
                <w:color w:val="auto"/>
                <w:u w:val="single" w:color="auto"/>
              </w:rPr>
              <w:t xml:space="preserve"> kJ/kg。</w:t>
            </w:r>
            <w:r>
              <w:rPr>
                <w:rFonts w:hint="default" w:ascii="Times New Roman" w:hAnsi="Times New Roman" w:cs="Times New Roman"/>
                <w:color w:val="auto"/>
                <w:szCs w:val="24"/>
                <w:u w:val="single" w:color="auto"/>
              </w:rPr>
              <w:t>一</w:t>
            </w:r>
            <w:r>
              <w:rPr>
                <w:rFonts w:hint="default" w:ascii="Times New Roman" w:hAnsi="Times New Roman" w:eastAsia="宋体" w:cs="Times New Roman"/>
                <w:color w:val="auto"/>
                <w:szCs w:val="24"/>
                <w:u w:val="single" w:color="auto"/>
              </w:rPr>
              <w:t>个标准大气压下，水的汽化热为40.8 kJ/mol，相当于2266 kJ/kg。</w:t>
            </w:r>
          </w:p>
          <w:p>
            <w:pPr>
              <w:pStyle w:val="88"/>
              <w:widowControl/>
              <w:snapToGrid w:val="0"/>
              <w:ind w:firstLine="480"/>
              <w:jc w:val="left"/>
              <w:rPr>
                <w:rFonts w:hint="default" w:ascii="Times New Roman" w:hAnsi="Times New Roman" w:eastAsia="宋体" w:cs="Times New Roman"/>
                <w:color w:val="auto"/>
                <w:szCs w:val="24"/>
                <w:u w:val="single" w:color="auto"/>
              </w:rPr>
            </w:pPr>
            <w:r>
              <w:rPr>
                <w:rFonts w:hint="default" w:ascii="Times New Roman" w:hAnsi="Times New Roman" w:cs="Times New Roman"/>
                <w:color w:val="auto"/>
                <w:u w:val="single" w:color="auto"/>
              </w:rPr>
              <w:t>项目锅炉额定蒸发量为</w:t>
            </w:r>
            <w:r>
              <w:rPr>
                <w:rFonts w:hint="eastAsia" w:cs="Times New Roman"/>
                <w:color w:val="auto"/>
                <w:u w:val="single" w:color="auto"/>
                <w:lang w:val="en-US" w:eastAsia="zh-CN"/>
              </w:rPr>
              <w:t>6</w:t>
            </w:r>
            <w:r>
              <w:rPr>
                <w:rFonts w:hint="default" w:ascii="Times New Roman" w:hAnsi="Times New Roman" w:cs="Times New Roman"/>
                <w:color w:val="auto"/>
                <w:u w:val="single" w:color="auto"/>
              </w:rPr>
              <w:t>t/h，锅炉</w:t>
            </w:r>
            <w:r>
              <w:rPr>
                <w:rFonts w:hint="eastAsia" w:cs="Times New Roman"/>
                <w:color w:val="auto"/>
                <w:u w:val="single" w:color="auto"/>
                <w:lang w:val="en-US" w:eastAsia="zh-CN"/>
              </w:rPr>
              <w:t>年</w:t>
            </w:r>
            <w:r>
              <w:rPr>
                <w:rFonts w:hint="default" w:ascii="Times New Roman" w:hAnsi="Times New Roman" w:cs="Times New Roman"/>
                <w:color w:val="auto"/>
                <w:u w:val="single" w:color="auto"/>
              </w:rPr>
              <w:t>运行</w:t>
            </w:r>
            <w:r>
              <w:rPr>
                <w:rFonts w:hint="eastAsia" w:cs="Times New Roman"/>
                <w:color w:val="auto"/>
                <w:u w:val="single" w:color="auto"/>
                <w:lang w:val="en-US" w:eastAsia="zh-CN"/>
              </w:rPr>
              <w:t>7920</w:t>
            </w:r>
            <w:r>
              <w:rPr>
                <w:rFonts w:hint="default" w:ascii="Times New Roman" w:hAnsi="Times New Roman" w:cs="Times New Roman"/>
                <w:color w:val="auto"/>
                <w:u w:val="single" w:color="auto"/>
              </w:rPr>
              <w:t>h，年用水量</w:t>
            </w:r>
            <w:r>
              <w:rPr>
                <w:rFonts w:hint="eastAsia" w:cs="Times New Roman"/>
                <w:color w:val="auto"/>
                <w:u w:val="single" w:color="auto"/>
                <w:lang w:val="en-US" w:eastAsia="zh-CN"/>
              </w:rPr>
              <w:t>6</w:t>
            </w:r>
            <w:r>
              <w:rPr>
                <w:rFonts w:hint="default" w:ascii="Times New Roman" w:hAnsi="Times New Roman" w:eastAsia="仿宋" w:cs="Times New Roman"/>
                <w:color w:val="auto"/>
                <w:u w:val="single" w:color="auto"/>
              </w:rPr>
              <w:t>×</w:t>
            </w:r>
            <w:r>
              <w:rPr>
                <w:rFonts w:hint="eastAsia" w:eastAsia="仿宋" w:cs="Times New Roman"/>
                <w:color w:val="auto"/>
                <w:u w:val="single" w:color="auto"/>
                <w:lang w:val="en-US" w:eastAsia="zh-CN"/>
              </w:rPr>
              <w:t>7920</w:t>
            </w:r>
            <w:r>
              <w:rPr>
                <w:rFonts w:hint="default" w:ascii="Times New Roman" w:hAnsi="Times New Roman" w:eastAsia="仿宋" w:cs="Times New Roman"/>
                <w:color w:val="auto"/>
                <w:u w:val="single" w:color="auto"/>
              </w:rPr>
              <w:t>×</w:t>
            </w:r>
            <w:r>
              <w:rPr>
                <w:rFonts w:hint="default" w:ascii="Times New Roman" w:hAnsi="Times New Roman" w:eastAsia="仿宋" w:cs="Times New Roman"/>
                <w:color w:val="auto"/>
                <w:u w:val="single" w:color="auto"/>
                <w:lang w:val="en-US" w:eastAsia="zh-CN"/>
              </w:rPr>
              <w:t>1.08</w:t>
            </w:r>
            <w:r>
              <w:rPr>
                <w:rFonts w:hint="default" w:ascii="Times New Roman" w:hAnsi="Times New Roman" w:eastAsia="仿宋" w:cs="Times New Roman"/>
                <w:color w:val="auto"/>
                <w:u w:val="single" w:color="auto"/>
              </w:rPr>
              <w:t>=</w:t>
            </w:r>
            <w:r>
              <w:rPr>
                <w:rFonts w:hint="eastAsia" w:eastAsia="仿宋" w:cs="Times New Roman"/>
                <w:color w:val="auto"/>
                <w:u w:val="single" w:color="auto"/>
                <w:lang w:val="en-US" w:eastAsia="zh-CN"/>
              </w:rPr>
              <w:t>51321.6</w:t>
            </w:r>
            <w:r>
              <w:rPr>
                <w:rFonts w:hint="default" w:ascii="Times New Roman" w:hAnsi="Times New Roman" w:eastAsia="仿宋" w:cs="Times New Roman"/>
                <w:color w:val="auto"/>
                <w:u w:val="single" w:color="auto"/>
              </w:rPr>
              <w:t>m</w:t>
            </w:r>
            <w:r>
              <w:rPr>
                <w:rFonts w:hint="default" w:ascii="Times New Roman" w:hAnsi="Times New Roman" w:eastAsia="仿宋" w:cs="Times New Roman"/>
                <w:color w:val="auto"/>
                <w:u w:val="single" w:color="auto"/>
                <w:vertAlign w:val="superscript"/>
              </w:rPr>
              <w:t>3</w:t>
            </w:r>
            <w:r>
              <w:rPr>
                <w:rFonts w:hint="default" w:ascii="Times New Roman" w:hAnsi="Times New Roman" w:eastAsia="仿宋" w:cs="Times New Roman"/>
                <w:color w:val="auto"/>
                <w:u w:val="single" w:color="auto"/>
              </w:rPr>
              <w:t>，</w:t>
            </w:r>
            <w:r>
              <w:rPr>
                <w:rFonts w:hint="default" w:ascii="Times New Roman" w:hAnsi="Times New Roman" w:eastAsia="宋体" w:cs="Times New Roman"/>
                <w:color w:val="auto"/>
                <w:szCs w:val="24"/>
                <w:u w:val="single" w:color="auto"/>
              </w:rPr>
              <w:t>需要热量</w:t>
            </w:r>
            <w:r>
              <w:rPr>
                <w:rFonts w:hint="default" w:ascii="Times New Roman" w:hAnsi="Times New Roman" w:eastAsia="宋体" w:cs="Times New Roman"/>
                <w:color w:val="auto"/>
                <w:szCs w:val="24"/>
                <w:u w:val="single" w:color="auto"/>
                <w:lang w:eastAsia="zh-CN"/>
              </w:rPr>
              <w:t>(</w:t>
            </w:r>
            <w:r>
              <w:rPr>
                <w:rFonts w:hint="eastAsia" w:eastAsia="宋体" w:cs="Times New Roman"/>
                <w:color w:val="auto"/>
                <w:szCs w:val="24"/>
                <w:u w:val="single" w:color="auto"/>
                <w:lang w:val="en-US" w:eastAsia="zh-CN"/>
              </w:rPr>
              <w:t>1890</w:t>
            </w:r>
            <w:r>
              <w:rPr>
                <w:rFonts w:hint="default" w:ascii="Times New Roman" w:hAnsi="Times New Roman" w:cs="Times New Roman"/>
                <w:color w:val="auto"/>
                <w:szCs w:val="24"/>
                <w:u w:val="single" w:color="auto"/>
              </w:rPr>
              <w:t>+</w:t>
            </w:r>
            <w:r>
              <w:rPr>
                <w:rFonts w:hint="default" w:ascii="Times New Roman" w:hAnsi="Times New Roman" w:eastAsia="宋体" w:cs="Times New Roman"/>
                <w:color w:val="auto"/>
                <w:szCs w:val="24"/>
                <w:u w:val="single" w:color="auto"/>
              </w:rPr>
              <w:t>2266</w:t>
            </w:r>
            <w:r>
              <w:rPr>
                <w:rFonts w:hint="default" w:ascii="Times New Roman" w:hAnsi="Times New Roman" w:eastAsia="宋体" w:cs="Times New Roman"/>
                <w:color w:val="auto"/>
                <w:szCs w:val="24"/>
                <w:u w:val="single" w:color="auto"/>
                <w:lang w:eastAsia="zh-CN"/>
              </w:rPr>
              <w:t>)</w:t>
            </w:r>
            <w:r>
              <w:rPr>
                <w:rFonts w:hint="default" w:ascii="Times New Roman" w:hAnsi="Times New Roman" w:eastAsia="宋体" w:cs="Times New Roman"/>
                <w:color w:val="auto"/>
                <w:szCs w:val="24"/>
                <w:u w:val="single" w:color="auto"/>
              </w:rPr>
              <w:t>×</w:t>
            </w:r>
            <w:r>
              <w:rPr>
                <w:rFonts w:hint="eastAsia" w:eastAsia="宋体" w:cs="Times New Roman"/>
                <w:color w:val="auto"/>
                <w:szCs w:val="24"/>
                <w:u w:val="single" w:color="auto"/>
                <w:lang w:val="en-US" w:eastAsia="zh-CN"/>
              </w:rPr>
              <w:t>51321.6</w:t>
            </w:r>
            <w:r>
              <w:rPr>
                <w:rFonts w:hint="default" w:ascii="Times New Roman" w:hAnsi="Times New Roman" w:eastAsia="宋体" w:cs="Times New Roman"/>
                <w:color w:val="auto"/>
                <w:szCs w:val="24"/>
                <w:u w:val="single" w:color="auto"/>
              </w:rPr>
              <w:t>×10</w:t>
            </w:r>
            <w:r>
              <w:rPr>
                <w:rFonts w:hint="default" w:ascii="Times New Roman" w:hAnsi="Times New Roman" w:eastAsia="宋体" w:cs="Times New Roman"/>
                <w:color w:val="auto"/>
                <w:szCs w:val="24"/>
                <w:u w:val="single" w:color="auto"/>
                <w:vertAlign w:val="superscript"/>
              </w:rPr>
              <w:t>3</w:t>
            </w:r>
            <w:r>
              <w:rPr>
                <w:rFonts w:hint="default" w:ascii="Times New Roman" w:hAnsi="Times New Roman" w:eastAsia="宋体" w:cs="Times New Roman"/>
                <w:color w:val="auto"/>
                <w:szCs w:val="24"/>
                <w:u w:val="single" w:color="auto"/>
              </w:rPr>
              <w:t>=</w:t>
            </w:r>
            <w:r>
              <w:rPr>
                <w:rFonts w:hint="eastAsia" w:eastAsia="宋体" w:cs="Times New Roman"/>
                <w:color w:val="auto"/>
                <w:szCs w:val="24"/>
                <w:u w:val="single" w:color="auto"/>
                <w:lang w:val="en-US" w:eastAsia="zh-CN"/>
              </w:rPr>
              <w:t>2.13</w:t>
            </w:r>
            <w:r>
              <w:rPr>
                <w:rFonts w:hint="default" w:ascii="Times New Roman" w:hAnsi="Times New Roman" w:eastAsia="宋体" w:cs="Times New Roman"/>
                <w:color w:val="auto"/>
                <w:szCs w:val="24"/>
                <w:u w:val="single" w:color="auto"/>
              </w:rPr>
              <w:t>×10</w:t>
            </w:r>
            <w:r>
              <w:rPr>
                <w:rFonts w:hint="default" w:ascii="Times New Roman" w:hAnsi="Times New Roman" w:eastAsia="宋体" w:cs="Times New Roman"/>
                <w:color w:val="auto"/>
                <w:szCs w:val="24"/>
                <w:u w:val="single" w:color="auto"/>
                <w:vertAlign w:val="superscript"/>
              </w:rPr>
              <w:t>1</w:t>
            </w:r>
            <w:r>
              <w:rPr>
                <w:rFonts w:hint="eastAsia" w:eastAsia="宋体" w:cs="Times New Roman"/>
                <w:color w:val="auto"/>
                <w:szCs w:val="24"/>
                <w:u w:val="single" w:color="auto"/>
                <w:vertAlign w:val="superscript"/>
                <w:lang w:val="en-US" w:eastAsia="zh-CN"/>
              </w:rPr>
              <w:t>1</w:t>
            </w:r>
            <w:r>
              <w:rPr>
                <w:rFonts w:hint="default" w:ascii="Times New Roman" w:hAnsi="Times New Roman" w:eastAsia="宋体" w:cs="Times New Roman"/>
                <w:color w:val="auto"/>
                <w:szCs w:val="24"/>
                <w:u w:val="single" w:color="auto"/>
              </w:rPr>
              <w:t xml:space="preserve"> kJ。</w:t>
            </w:r>
          </w:p>
          <w:p>
            <w:pPr>
              <w:ind w:firstLine="482"/>
              <w:rPr>
                <w:rFonts w:hint="default" w:ascii="Times New Roman" w:hAnsi="Times New Roman" w:eastAsia="宋体" w:cs="Times New Roman"/>
                <w:b/>
                <w:bCs/>
                <w:color w:val="auto"/>
                <w:u w:val="single" w:color="auto"/>
              </w:rPr>
            </w:pPr>
            <w:r>
              <w:rPr>
                <w:rFonts w:hint="default" w:ascii="Times New Roman" w:hAnsi="Times New Roman" w:eastAsia="宋体" w:cs="Times New Roman"/>
                <w:color w:val="auto"/>
                <w:szCs w:val="24"/>
                <w:u w:val="single" w:color="auto"/>
              </w:rPr>
              <w:t>生物质的热值按低位发热量</w:t>
            </w:r>
            <w:r>
              <w:rPr>
                <w:rFonts w:hint="eastAsia" w:cs="Times New Roman"/>
                <w:color w:val="auto"/>
                <w:szCs w:val="24"/>
                <w:u w:val="single" w:color="auto"/>
                <w:lang w:val="en-US" w:eastAsia="zh-CN"/>
              </w:rPr>
              <w:t>16.18MJ/kg</w:t>
            </w:r>
            <w:r>
              <w:rPr>
                <w:rFonts w:hint="default" w:ascii="Times New Roman" w:hAnsi="Times New Roman" w:eastAsia="宋体" w:cs="Times New Roman"/>
                <w:color w:val="auto"/>
                <w:szCs w:val="24"/>
                <w:u w:val="single" w:color="auto"/>
              </w:rPr>
              <w:t>，故</w:t>
            </w:r>
            <w:r>
              <w:rPr>
                <w:rFonts w:hint="eastAsia" w:eastAsia="宋体" w:cs="Times New Roman"/>
                <w:color w:val="auto"/>
                <w:szCs w:val="24"/>
                <w:u w:val="single" w:color="auto"/>
                <w:lang w:val="en-US" w:eastAsia="zh-CN"/>
              </w:rPr>
              <w:t>6</w:t>
            </w:r>
            <w:r>
              <w:rPr>
                <w:rFonts w:hint="default" w:ascii="Times New Roman" w:hAnsi="Times New Roman" w:eastAsia="宋体" w:cs="Times New Roman"/>
                <w:color w:val="auto"/>
                <w:szCs w:val="24"/>
                <w:u w:val="single" w:color="auto"/>
              </w:rPr>
              <w:t>t生物质可提供的热能为</w:t>
            </w:r>
            <w:r>
              <w:rPr>
                <w:rFonts w:hint="eastAsia" w:eastAsia="宋体" w:cs="Times New Roman"/>
                <w:color w:val="auto"/>
                <w:szCs w:val="24"/>
                <w:u w:val="single" w:color="auto"/>
                <w:lang w:val="en-US" w:eastAsia="zh-CN"/>
              </w:rPr>
              <w:t>6</w:t>
            </w:r>
            <w:r>
              <w:rPr>
                <w:rFonts w:hint="default" w:ascii="Times New Roman" w:hAnsi="Times New Roman" w:eastAsia="宋体" w:cs="Times New Roman"/>
                <w:color w:val="auto"/>
                <w:szCs w:val="24"/>
                <w:u w:val="single" w:color="auto"/>
              </w:rPr>
              <w:t>×10</w:t>
            </w:r>
            <w:r>
              <w:rPr>
                <w:rFonts w:hint="default" w:ascii="Times New Roman" w:hAnsi="Times New Roman" w:eastAsia="宋体" w:cs="Times New Roman"/>
                <w:color w:val="auto"/>
                <w:szCs w:val="24"/>
                <w:u w:val="single" w:color="auto"/>
                <w:vertAlign w:val="superscript"/>
              </w:rPr>
              <w:t>3</w:t>
            </w:r>
            <w:r>
              <w:rPr>
                <w:rFonts w:hint="default" w:ascii="Times New Roman" w:hAnsi="Times New Roman" w:eastAsia="宋体" w:cs="Times New Roman"/>
                <w:color w:val="auto"/>
                <w:szCs w:val="24"/>
                <w:u w:val="single" w:color="auto"/>
              </w:rPr>
              <w:t>×</w:t>
            </w:r>
            <w:r>
              <w:rPr>
                <w:rFonts w:hint="eastAsia" w:cs="Times New Roman"/>
                <w:color w:val="auto"/>
                <w:szCs w:val="24"/>
                <w:u w:val="single" w:color="auto"/>
                <w:lang w:val="en-US" w:eastAsia="zh-CN"/>
              </w:rPr>
              <w:t>16.18</w:t>
            </w:r>
            <w:r>
              <w:rPr>
                <w:rFonts w:hint="default" w:ascii="Times New Roman" w:hAnsi="Times New Roman" w:eastAsia="宋体" w:cs="Times New Roman"/>
                <w:color w:val="auto"/>
                <w:szCs w:val="24"/>
                <w:u w:val="single" w:color="auto"/>
              </w:rPr>
              <w:t>×10</w:t>
            </w:r>
            <w:r>
              <w:rPr>
                <w:rFonts w:hint="default" w:ascii="Times New Roman" w:hAnsi="Times New Roman" w:eastAsia="宋体" w:cs="Times New Roman"/>
                <w:color w:val="auto"/>
                <w:szCs w:val="24"/>
                <w:u w:val="single" w:color="auto"/>
                <w:vertAlign w:val="superscript"/>
              </w:rPr>
              <w:t>3</w:t>
            </w:r>
            <w:r>
              <w:rPr>
                <w:rFonts w:hint="default" w:ascii="Times New Roman" w:hAnsi="Times New Roman" w:eastAsia="宋体" w:cs="Times New Roman"/>
                <w:color w:val="auto"/>
                <w:szCs w:val="24"/>
                <w:u w:val="single" w:color="auto"/>
              </w:rPr>
              <w:t>=</w:t>
            </w:r>
            <w:r>
              <w:rPr>
                <w:rFonts w:hint="eastAsia" w:cs="Times New Roman"/>
                <w:color w:val="auto"/>
                <w:szCs w:val="24"/>
                <w:u w:val="single" w:color="auto"/>
                <w:lang w:val="en-US" w:eastAsia="zh-CN"/>
              </w:rPr>
              <w:t>9.708</w:t>
            </w:r>
            <w:r>
              <w:rPr>
                <w:rFonts w:hint="default" w:ascii="Times New Roman" w:hAnsi="Times New Roman" w:eastAsia="宋体" w:cs="Times New Roman"/>
                <w:color w:val="auto"/>
                <w:szCs w:val="24"/>
                <w:u w:val="single" w:color="auto"/>
              </w:rPr>
              <w:t>×10</w:t>
            </w:r>
            <w:r>
              <w:rPr>
                <w:rFonts w:hint="eastAsia" w:cs="Times New Roman"/>
                <w:color w:val="auto"/>
                <w:szCs w:val="24"/>
                <w:u w:val="single" w:color="auto"/>
                <w:vertAlign w:val="superscript"/>
                <w:lang w:val="en-US" w:eastAsia="zh-CN"/>
              </w:rPr>
              <w:t>7</w:t>
            </w:r>
            <w:r>
              <w:rPr>
                <w:rFonts w:hint="default" w:ascii="Times New Roman" w:hAnsi="Times New Roman" w:eastAsia="宋体" w:cs="Times New Roman"/>
                <w:color w:val="auto"/>
                <w:szCs w:val="24"/>
                <w:u w:val="single" w:color="auto"/>
              </w:rPr>
              <w:t>kJ。</w:t>
            </w:r>
            <w:r>
              <w:rPr>
                <w:rFonts w:hint="default" w:ascii="Times New Roman" w:hAnsi="Times New Roman" w:cs="Times New Roman"/>
                <w:color w:val="auto"/>
                <w:szCs w:val="24"/>
                <w:u w:val="single" w:color="auto"/>
              </w:rPr>
              <w:t>燃料热转化效</w:t>
            </w:r>
            <w:r>
              <w:rPr>
                <w:rFonts w:hint="default" w:ascii="Times New Roman" w:hAnsi="Times New Roman" w:eastAsia="宋体" w:cs="Times New Roman"/>
                <w:color w:val="auto"/>
                <w:szCs w:val="24"/>
                <w:u w:val="single" w:color="auto"/>
              </w:rPr>
              <w:t>率约为</w:t>
            </w:r>
            <w:r>
              <w:rPr>
                <w:rFonts w:hint="default" w:ascii="Times New Roman" w:hAnsi="Times New Roman" w:cs="Times New Roman"/>
                <w:color w:val="auto"/>
                <w:szCs w:val="24"/>
                <w:u w:val="single" w:color="auto"/>
              </w:rPr>
              <w:t>86</w:t>
            </w:r>
            <w:r>
              <w:rPr>
                <w:rFonts w:hint="default" w:ascii="Times New Roman" w:hAnsi="Times New Roman" w:eastAsia="宋体" w:cs="Times New Roman"/>
                <w:color w:val="auto"/>
                <w:szCs w:val="24"/>
                <w:u w:val="single" w:color="auto"/>
              </w:rPr>
              <w:t>%</w:t>
            </w:r>
            <w:r>
              <w:rPr>
                <w:rFonts w:hint="default" w:ascii="Times New Roman" w:hAnsi="Times New Roman" w:cs="Times New Roman"/>
                <w:color w:val="auto"/>
                <w:szCs w:val="24"/>
                <w:u w:val="single" w:color="auto"/>
              </w:rPr>
              <w:t>，</w:t>
            </w:r>
            <w:r>
              <w:rPr>
                <w:rFonts w:hint="default" w:ascii="Times New Roman" w:hAnsi="Times New Roman" w:eastAsia="宋体" w:cs="Times New Roman"/>
                <w:color w:val="auto"/>
                <w:szCs w:val="24"/>
                <w:u w:val="single" w:color="auto"/>
              </w:rPr>
              <w:t>则项目消耗成型生物质</w:t>
            </w:r>
            <w:r>
              <w:rPr>
                <w:rFonts w:hint="default" w:ascii="Times New Roman" w:hAnsi="Times New Roman" w:eastAsia="宋体" w:cs="Times New Roman"/>
                <w:color w:val="auto"/>
                <w:szCs w:val="24"/>
                <w:u w:val="single" w:color="auto"/>
                <w:lang w:val="en-US" w:eastAsia="zh-CN"/>
              </w:rPr>
              <w:t>量</w:t>
            </w:r>
            <w:r>
              <w:rPr>
                <w:rFonts w:hint="default" w:ascii="Times New Roman" w:hAnsi="Times New Roman" w:eastAsia="宋体" w:cs="Times New Roman"/>
                <w:color w:val="auto"/>
                <w:szCs w:val="24"/>
                <w:u w:val="single" w:color="auto"/>
              </w:rPr>
              <w:t>：</w:t>
            </w:r>
            <w:r>
              <w:rPr>
                <w:rFonts w:hint="eastAsia" w:eastAsia="宋体" w:cs="Times New Roman"/>
                <w:color w:val="auto"/>
                <w:szCs w:val="24"/>
                <w:u w:val="single" w:color="auto"/>
                <w:lang w:val="en-US" w:eastAsia="zh-CN"/>
              </w:rPr>
              <w:t>2.13</w:t>
            </w:r>
            <w:r>
              <w:rPr>
                <w:rFonts w:hint="default" w:ascii="Times New Roman" w:hAnsi="Times New Roman" w:eastAsia="宋体" w:cs="Times New Roman"/>
                <w:color w:val="auto"/>
                <w:szCs w:val="24"/>
                <w:u w:val="single" w:color="auto"/>
              </w:rPr>
              <w:t>×10</w:t>
            </w:r>
            <w:r>
              <w:rPr>
                <w:rFonts w:hint="default" w:ascii="Times New Roman" w:hAnsi="Times New Roman" w:eastAsia="宋体" w:cs="Times New Roman"/>
                <w:color w:val="auto"/>
                <w:szCs w:val="24"/>
                <w:u w:val="single" w:color="auto"/>
                <w:vertAlign w:val="superscript"/>
              </w:rPr>
              <w:t>1</w:t>
            </w:r>
            <w:r>
              <w:rPr>
                <w:rFonts w:hint="eastAsia" w:eastAsia="宋体" w:cs="Times New Roman"/>
                <w:color w:val="auto"/>
                <w:szCs w:val="24"/>
                <w:u w:val="single" w:color="auto"/>
                <w:vertAlign w:val="superscript"/>
                <w:lang w:val="en-US" w:eastAsia="zh-CN"/>
              </w:rPr>
              <w:t>1</w:t>
            </w:r>
            <w:r>
              <w:rPr>
                <w:rFonts w:hint="default" w:ascii="Times New Roman" w:hAnsi="Times New Roman" w:eastAsia="宋体" w:cs="Times New Roman"/>
                <w:color w:val="auto"/>
                <w:szCs w:val="24"/>
                <w:u w:val="single" w:color="auto"/>
              </w:rPr>
              <w:t>÷</w:t>
            </w:r>
            <w:r>
              <w:rPr>
                <w:rFonts w:hint="default" w:ascii="Times New Roman" w:hAnsi="Times New Roman" w:eastAsia="宋体" w:cs="Times New Roman"/>
                <w:color w:val="auto"/>
                <w:szCs w:val="24"/>
                <w:u w:val="single" w:color="auto"/>
                <w:lang w:eastAsia="zh-CN"/>
              </w:rPr>
              <w:t>(</w:t>
            </w:r>
            <w:r>
              <w:rPr>
                <w:rFonts w:hint="eastAsia" w:cs="Times New Roman"/>
                <w:color w:val="auto"/>
                <w:szCs w:val="24"/>
                <w:u w:val="single" w:color="auto"/>
                <w:lang w:val="en-US" w:eastAsia="zh-CN"/>
              </w:rPr>
              <w:t>9.708</w:t>
            </w:r>
            <w:r>
              <w:rPr>
                <w:rFonts w:hint="default" w:ascii="Times New Roman" w:hAnsi="Times New Roman" w:eastAsia="宋体" w:cs="Times New Roman"/>
                <w:color w:val="auto"/>
                <w:szCs w:val="24"/>
                <w:u w:val="single" w:color="auto"/>
              </w:rPr>
              <w:t>×10</w:t>
            </w:r>
            <w:r>
              <w:rPr>
                <w:rFonts w:hint="eastAsia" w:cs="Times New Roman"/>
                <w:color w:val="auto"/>
                <w:szCs w:val="24"/>
                <w:u w:val="single" w:color="auto"/>
                <w:vertAlign w:val="superscript"/>
                <w:lang w:val="en-US" w:eastAsia="zh-CN"/>
              </w:rPr>
              <w:t>7</w:t>
            </w:r>
            <w:r>
              <w:rPr>
                <w:rFonts w:hint="default" w:ascii="Times New Roman" w:hAnsi="Times New Roman" w:eastAsia="宋体" w:cs="Times New Roman"/>
                <w:color w:val="auto"/>
                <w:szCs w:val="24"/>
                <w:u w:val="single" w:color="auto"/>
              </w:rPr>
              <w:t>×</w:t>
            </w:r>
            <w:r>
              <w:rPr>
                <w:rFonts w:hint="default" w:ascii="Times New Roman" w:hAnsi="Times New Roman" w:cs="Times New Roman"/>
                <w:color w:val="auto"/>
                <w:szCs w:val="24"/>
                <w:u w:val="single" w:color="auto"/>
              </w:rPr>
              <w:t>86</w:t>
            </w:r>
            <w:r>
              <w:rPr>
                <w:rFonts w:hint="default" w:ascii="Times New Roman" w:hAnsi="Times New Roman" w:eastAsia="宋体" w:cs="Times New Roman"/>
                <w:color w:val="auto"/>
                <w:szCs w:val="24"/>
                <w:u w:val="single" w:color="auto"/>
              </w:rPr>
              <w:t>%</w:t>
            </w:r>
            <w:r>
              <w:rPr>
                <w:rFonts w:hint="default" w:ascii="Times New Roman" w:hAnsi="Times New Roman" w:eastAsia="宋体" w:cs="Times New Roman"/>
                <w:color w:val="auto"/>
                <w:szCs w:val="24"/>
                <w:u w:val="single" w:color="auto"/>
                <w:lang w:eastAsia="zh-CN"/>
              </w:rPr>
              <w:t>)</w:t>
            </w:r>
            <w:r>
              <w:rPr>
                <w:rFonts w:hint="default" w:ascii="Times New Roman" w:hAnsi="Times New Roman" w:eastAsia="Yu Gothic UI Semilight" w:cs="Times New Roman"/>
                <w:color w:val="auto"/>
                <w:szCs w:val="24"/>
                <w:u w:val="single" w:color="auto"/>
              </w:rPr>
              <w:t>≈</w:t>
            </w:r>
            <w:r>
              <w:rPr>
                <w:rFonts w:hint="eastAsia" w:cs="Times New Roman"/>
                <w:color w:val="auto"/>
                <w:szCs w:val="24"/>
                <w:u w:val="single" w:color="auto"/>
                <w:lang w:val="en-US" w:eastAsia="zh-CN"/>
              </w:rPr>
              <w:t>2551.24</w:t>
            </w:r>
            <w:r>
              <w:rPr>
                <w:rFonts w:hint="default" w:ascii="Times New Roman" w:hAnsi="Times New Roman" w:eastAsia="宋体" w:cs="Times New Roman"/>
                <w:color w:val="auto"/>
                <w:szCs w:val="24"/>
                <w:u w:val="single" w:color="auto"/>
              </w:rPr>
              <w:t>t/a。</w:t>
            </w:r>
          </w:p>
          <w:p>
            <w:pPr>
              <w:ind w:firstLine="482"/>
              <w:rPr>
                <w:rFonts w:hint="default" w:ascii="Times New Roman" w:hAnsi="Times New Roman" w:eastAsia="宋体" w:cs="Times New Roman"/>
                <w:b/>
                <w:bCs/>
                <w:color w:val="auto"/>
                <w:u w:val="none"/>
              </w:rPr>
            </w:pPr>
            <w:r>
              <w:rPr>
                <w:rFonts w:hint="default" w:ascii="Times New Roman" w:hAnsi="Times New Roman" w:eastAsia="宋体" w:cs="Times New Roman"/>
                <w:b/>
                <w:bCs/>
                <w:color w:val="auto"/>
                <w:u w:val="none"/>
              </w:rPr>
              <w:t>6、项目主要生产设备</w:t>
            </w:r>
          </w:p>
          <w:p>
            <w:pPr>
              <w:ind w:firstLine="480"/>
              <w:rPr>
                <w:rFonts w:hint="default" w:ascii="Times New Roman" w:hAnsi="Times New Roman" w:eastAsia="宋体" w:cs="Times New Roman"/>
                <w:color w:val="auto"/>
                <w:kern w:val="0"/>
                <w:sz w:val="21"/>
                <w:u w:val="none"/>
              </w:rPr>
            </w:pPr>
            <w:r>
              <w:rPr>
                <w:rFonts w:hint="default" w:ascii="Times New Roman" w:hAnsi="Times New Roman" w:eastAsia="宋体" w:cs="Times New Roman"/>
                <w:color w:val="auto"/>
                <w:u w:val="none"/>
              </w:rPr>
              <w:t>项目主要设备见下表。</w:t>
            </w:r>
          </w:p>
          <w:p>
            <w:pPr>
              <w:pStyle w:val="7"/>
              <w:rPr>
                <w:rFonts w:hint="default" w:ascii="Times New Roman" w:hAnsi="Times New Roman" w:eastAsia="宋体" w:cs="Times New Roman"/>
                <w:color w:val="auto"/>
                <w:kern w:val="0"/>
                <w:sz w:val="21"/>
                <w:u w:val="none"/>
              </w:rPr>
            </w:pPr>
            <w:r>
              <w:rPr>
                <w:rFonts w:hint="default" w:ascii="Times New Roman" w:hAnsi="Times New Roman" w:eastAsia="宋体" w:cs="Times New Roman"/>
                <w:color w:val="auto"/>
                <w:kern w:val="0"/>
                <w:sz w:val="21"/>
                <w:u w:val="none"/>
              </w:rPr>
              <w:t>表2-</w:t>
            </w:r>
            <w:r>
              <w:rPr>
                <w:rFonts w:hint="eastAsia" w:cs="Times New Roman"/>
                <w:color w:val="auto"/>
                <w:kern w:val="0"/>
                <w:sz w:val="21"/>
                <w:u w:val="none"/>
                <w:lang w:val="en-US" w:eastAsia="zh-CN"/>
              </w:rPr>
              <w:t>6</w:t>
            </w:r>
            <w:r>
              <w:rPr>
                <w:rFonts w:hint="default" w:ascii="Times New Roman" w:hAnsi="Times New Roman" w:eastAsia="宋体" w:cs="Times New Roman"/>
                <w:color w:val="auto"/>
                <w:kern w:val="0"/>
                <w:sz w:val="21"/>
                <w:u w:val="none"/>
              </w:rPr>
              <w:t>项目主要生产设备一览表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075"/>
              <w:gridCol w:w="2225"/>
              <w:gridCol w:w="1131"/>
              <w:gridCol w:w="1154"/>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序号</w:t>
                  </w:r>
                </w:p>
              </w:tc>
              <w:tc>
                <w:tcPr>
                  <w:tcW w:w="1245"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设备名称</w:t>
                  </w:r>
                </w:p>
              </w:tc>
              <w:tc>
                <w:tcPr>
                  <w:tcW w:w="1335"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型号</w:t>
                  </w:r>
                </w:p>
              </w:tc>
              <w:tc>
                <w:tcPr>
                  <w:tcW w:w="679"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数量</w:t>
                  </w:r>
                </w:p>
              </w:tc>
              <w:tc>
                <w:tcPr>
                  <w:tcW w:w="692"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u w:val="none"/>
                      <w:lang w:eastAsia="zh-CN"/>
                    </w:rPr>
                  </w:pPr>
                  <w:r>
                    <w:rPr>
                      <w:rFonts w:hint="default" w:ascii="Times New Roman" w:hAnsi="Times New Roman" w:eastAsia="宋体" w:cs="Times New Roman"/>
                      <w:b/>
                      <w:color w:val="auto"/>
                      <w:sz w:val="21"/>
                      <w:szCs w:val="21"/>
                      <w:u w:val="none"/>
                      <w:lang w:val="en-US" w:eastAsia="zh-CN"/>
                    </w:rPr>
                    <w:t>单位</w:t>
                  </w:r>
                </w:p>
              </w:tc>
              <w:tc>
                <w:tcPr>
                  <w:tcW w:w="580"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b/>
                      <w:bCs/>
                      <w:color w:val="auto"/>
                      <w:sz w:val="21"/>
                      <w:szCs w:val="21"/>
                      <w:lang w:val="en-US" w:eastAsia="zh-CN"/>
                    </w:rPr>
                    <w:t>一、</w:t>
                  </w:r>
                  <w:r>
                    <w:rPr>
                      <w:rFonts w:hint="default" w:ascii="Times New Roman" w:hAnsi="Times New Roman" w:eastAsia="宋体" w:cs="Times New Roman"/>
                      <w:b/>
                      <w:bCs/>
                      <w:color w:val="auto"/>
                      <w:sz w:val="21"/>
                      <w:szCs w:val="21"/>
                      <w:lang w:val="en-US" w:eastAsia="zh-CN"/>
                    </w:rPr>
                    <w:t>搅拌区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1"/>
                      <w:sz w:val="21"/>
                      <w:szCs w:val="21"/>
                    </w:rPr>
                    <w:t>玉米芯预湿搅拌桶</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6"/>
                      <w:sz w:val="21"/>
                      <w:szCs w:val="21"/>
                    </w:rPr>
                    <w:t>11m³</w:t>
                  </w:r>
                </w:p>
              </w:tc>
              <w:tc>
                <w:tcPr>
                  <w:tcW w:w="679"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1</w:t>
                  </w:r>
                </w:p>
              </w:tc>
              <w:tc>
                <w:tcPr>
                  <w:tcW w:w="692"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刮板提升机</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500*5000</w:t>
                  </w:r>
                </w:p>
              </w:tc>
              <w:tc>
                <w:tcPr>
                  <w:tcW w:w="679"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2</w:t>
                  </w:r>
                </w:p>
              </w:tc>
              <w:tc>
                <w:tcPr>
                  <w:tcW w:w="692"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螺旋输送机</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400*9000</w:t>
                  </w:r>
                </w:p>
              </w:tc>
              <w:tc>
                <w:tcPr>
                  <w:tcW w:w="679"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2</w:t>
                  </w:r>
                </w:p>
              </w:tc>
              <w:tc>
                <w:tcPr>
                  <w:tcW w:w="692"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4</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搅拌桶</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8"/>
                      <w:sz w:val="21"/>
                      <w:szCs w:val="21"/>
                    </w:rPr>
                    <w:t>16</w:t>
                  </w:r>
                  <w:r>
                    <w:rPr>
                      <w:rFonts w:hint="default" w:ascii="Times New Roman" w:hAnsi="Times New Roman" w:eastAsia="宋体" w:cs="Times New Roman"/>
                      <w:color w:val="auto"/>
                      <w:spacing w:val="-49"/>
                      <w:sz w:val="21"/>
                      <w:szCs w:val="21"/>
                    </w:rPr>
                    <w:t xml:space="preserve"> </w:t>
                  </w:r>
                  <w:r>
                    <w:rPr>
                      <w:rFonts w:hint="default" w:ascii="Times New Roman" w:hAnsi="Times New Roman" w:eastAsia="宋体" w:cs="Times New Roman"/>
                      <w:color w:val="auto"/>
                      <w:spacing w:val="-8"/>
                      <w:sz w:val="21"/>
                      <w:szCs w:val="21"/>
                    </w:rPr>
                    <w:t>立方</w:t>
                  </w:r>
                </w:p>
              </w:tc>
              <w:tc>
                <w:tcPr>
                  <w:tcW w:w="679"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6</w:t>
                  </w:r>
                </w:p>
              </w:tc>
              <w:tc>
                <w:tcPr>
                  <w:tcW w:w="692"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搅拌平台</w:t>
                  </w:r>
                </w:p>
              </w:tc>
              <w:tc>
                <w:tcPr>
                  <w:tcW w:w="1335" w:type="pct"/>
                  <w:tcBorders>
                    <w:tl2br w:val="nil"/>
                    <w:tr2bl w:val="nil"/>
                  </w:tcBorders>
                  <w:shd w:val="clear" w:color="auto" w:fill="auto"/>
                  <w:vAlign w:val="top"/>
                </w:tcPr>
                <w:p>
                  <w:pPr>
                    <w:keepNext w:val="0"/>
                    <w:keepLines w:val="0"/>
                    <w:pageBreakBefore w:val="0"/>
                    <w:widowControl w:val="0"/>
                    <w:kinsoku/>
                    <w:wordWrap/>
                    <w:overflowPunct/>
                    <w:topLinePunct w:val="0"/>
                    <w:bidi w:val="0"/>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p>
              </w:tc>
              <w:tc>
                <w:tcPr>
                  <w:tcW w:w="679"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2</w:t>
                  </w:r>
                </w:p>
              </w:tc>
              <w:tc>
                <w:tcPr>
                  <w:tcW w:w="692"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皮带输送机</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800*9000</w:t>
                  </w:r>
                </w:p>
              </w:tc>
              <w:tc>
                <w:tcPr>
                  <w:tcW w:w="679"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2</w:t>
                  </w:r>
                </w:p>
              </w:tc>
              <w:tc>
                <w:tcPr>
                  <w:tcW w:w="692"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刮板提升机</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500*5000</w:t>
                  </w:r>
                </w:p>
              </w:tc>
              <w:tc>
                <w:tcPr>
                  <w:tcW w:w="679"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2</w:t>
                  </w:r>
                </w:p>
              </w:tc>
              <w:tc>
                <w:tcPr>
                  <w:tcW w:w="692"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刮板提升机</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500*6000</w:t>
                  </w:r>
                </w:p>
              </w:tc>
              <w:tc>
                <w:tcPr>
                  <w:tcW w:w="679"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2</w:t>
                  </w:r>
                </w:p>
              </w:tc>
              <w:tc>
                <w:tcPr>
                  <w:tcW w:w="692"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双子星</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450</w:t>
                  </w:r>
                  <w:r>
                    <w:rPr>
                      <w:rFonts w:hint="default" w:ascii="Times New Roman" w:hAnsi="Times New Roman" w:eastAsia="宋体" w:cs="Times New Roman"/>
                      <w:color w:val="auto"/>
                      <w:spacing w:val="-42"/>
                      <w:sz w:val="21"/>
                      <w:szCs w:val="21"/>
                    </w:rPr>
                    <w:t xml:space="preserve"> </w:t>
                  </w:r>
                  <w:r>
                    <w:rPr>
                      <w:rFonts w:hint="default" w:ascii="Times New Roman" w:hAnsi="Times New Roman" w:eastAsia="宋体" w:cs="Times New Roman"/>
                      <w:color w:val="auto"/>
                      <w:spacing w:val="-2"/>
                      <w:sz w:val="21"/>
                      <w:szCs w:val="21"/>
                    </w:rPr>
                    <w:t>型</w:t>
                  </w:r>
                </w:p>
              </w:tc>
              <w:tc>
                <w:tcPr>
                  <w:tcW w:w="679"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2</w:t>
                  </w:r>
                </w:p>
              </w:tc>
              <w:tc>
                <w:tcPr>
                  <w:tcW w:w="692"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420" w:firstLine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二、制包区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1"/>
                      <w:sz w:val="21"/>
                      <w:szCs w:val="21"/>
                    </w:rPr>
                    <w:t>食用菌全自动装袋袋环装框一体机制棒机（19</w:t>
                  </w:r>
                  <w:r>
                    <w:rPr>
                      <w:rFonts w:hint="default" w:ascii="Times New Roman" w:hAnsi="Times New Roman" w:eastAsia="宋体" w:cs="Times New Roman"/>
                      <w:color w:val="auto"/>
                      <w:spacing w:val="-5"/>
                      <w:sz w:val="21"/>
                      <w:szCs w:val="21"/>
                    </w:rPr>
                    <w:t>型号）</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3"/>
                      <w:sz w:val="21"/>
                      <w:szCs w:val="21"/>
                    </w:rPr>
                    <w:t>效率</w:t>
                  </w:r>
                  <w:r>
                    <w:rPr>
                      <w:rFonts w:hint="default" w:ascii="Times New Roman" w:hAnsi="Times New Roman" w:eastAsia="宋体" w:cs="Times New Roman"/>
                      <w:color w:val="auto"/>
                      <w:spacing w:val="-47"/>
                      <w:sz w:val="21"/>
                      <w:szCs w:val="21"/>
                    </w:rPr>
                    <w:t xml:space="preserve"> </w:t>
                  </w:r>
                  <w:r>
                    <w:rPr>
                      <w:rFonts w:hint="default" w:ascii="Times New Roman" w:hAnsi="Times New Roman" w:eastAsia="宋体" w:cs="Times New Roman"/>
                      <w:color w:val="auto"/>
                      <w:spacing w:val="-3"/>
                      <w:sz w:val="21"/>
                      <w:szCs w:val="21"/>
                    </w:rPr>
                    <w:t>2200</w:t>
                  </w:r>
                  <w:r>
                    <w:rPr>
                      <w:rFonts w:hint="default" w:ascii="Times New Roman" w:hAnsi="Times New Roman" w:eastAsia="宋体" w:cs="Times New Roman"/>
                      <w:color w:val="auto"/>
                      <w:spacing w:val="-46"/>
                      <w:sz w:val="21"/>
                      <w:szCs w:val="21"/>
                    </w:rPr>
                    <w:t xml:space="preserve"> </w:t>
                  </w:r>
                  <w:r>
                    <w:rPr>
                      <w:rFonts w:hint="default" w:ascii="Times New Roman" w:hAnsi="Times New Roman" w:eastAsia="宋体" w:cs="Times New Roman"/>
                      <w:color w:val="auto"/>
                      <w:spacing w:val="-3"/>
                      <w:sz w:val="21"/>
                      <w:szCs w:val="21"/>
                    </w:rPr>
                    <w:t>棒/小时</w:t>
                  </w: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692"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8"/>
                      <w:sz w:val="21"/>
                      <w:szCs w:val="21"/>
                    </w:rPr>
                    <w:t>食用菌全自动装袋袋环装框一体机制棒机（22</w:t>
                  </w:r>
                  <w:r>
                    <w:rPr>
                      <w:rFonts w:hint="default" w:ascii="Times New Roman" w:hAnsi="Times New Roman" w:eastAsia="宋体" w:cs="Times New Roman"/>
                      <w:color w:val="auto"/>
                      <w:spacing w:val="1"/>
                      <w:sz w:val="21"/>
                      <w:szCs w:val="21"/>
                    </w:rPr>
                    <w:t>型号）</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3"/>
                      <w:sz w:val="21"/>
                      <w:szCs w:val="21"/>
                    </w:rPr>
                    <w:t>效率</w:t>
                  </w:r>
                  <w:r>
                    <w:rPr>
                      <w:rFonts w:hint="default" w:ascii="Times New Roman" w:hAnsi="Times New Roman" w:eastAsia="宋体" w:cs="Times New Roman"/>
                      <w:color w:val="auto"/>
                      <w:spacing w:val="-47"/>
                      <w:sz w:val="21"/>
                      <w:szCs w:val="21"/>
                    </w:rPr>
                    <w:t xml:space="preserve"> </w:t>
                  </w:r>
                  <w:r>
                    <w:rPr>
                      <w:rFonts w:hint="default" w:ascii="Times New Roman" w:hAnsi="Times New Roman" w:eastAsia="宋体" w:cs="Times New Roman"/>
                      <w:color w:val="auto"/>
                      <w:spacing w:val="-3"/>
                      <w:sz w:val="21"/>
                      <w:szCs w:val="21"/>
                    </w:rPr>
                    <w:t>2000</w:t>
                  </w:r>
                  <w:r>
                    <w:rPr>
                      <w:rFonts w:hint="default" w:ascii="Times New Roman" w:hAnsi="Times New Roman" w:eastAsia="宋体" w:cs="Times New Roman"/>
                      <w:color w:val="auto"/>
                      <w:spacing w:val="-46"/>
                      <w:sz w:val="21"/>
                      <w:szCs w:val="21"/>
                    </w:rPr>
                    <w:t xml:space="preserve"> </w:t>
                  </w:r>
                  <w:r>
                    <w:rPr>
                      <w:rFonts w:hint="default" w:ascii="Times New Roman" w:hAnsi="Times New Roman" w:eastAsia="宋体" w:cs="Times New Roman"/>
                      <w:color w:val="auto"/>
                      <w:spacing w:val="-3"/>
                      <w:sz w:val="21"/>
                      <w:szCs w:val="21"/>
                    </w:rPr>
                    <w:t>棒/小时</w:t>
                  </w:r>
                </w:p>
              </w:tc>
              <w:tc>
                <w:tcPr>
                  <w:tcW w:w="679" w:type="pct"/>
                  <w:tcBorders>
                    <w:tl2br w:val="nil"/>
                    <w:tr2bl w:val="nil"/>
                  </w:tcBorders>
                  <w:shd w:val="clear" w:color="auto" w:fill="auto"/>
                  <w:vAlign w:val="top"/>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692"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3"/>
                      <w:sz w:val="21"/>
                      <w:szCs w:val="21"/>
                    </w:rPr>
                    <w:t>三、滚筒线和中速上/下筐机部分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6"/>
                      <w:sz w:val="21"/>
                      <w:szCs w:val="21"/>
                    </w:rPr>
                    <w:t>出筐滚筒输送机</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position w:val="1"/>
                      <w:sz w:val="21"/>
                      <w:szCs w:val="21"/>
                    </w:rPr>
                    <w:t>593*1220</w:t>
                  </w: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8</w:t>
                  </w:r>
                </w:p>
              </w:tc>
              <w:tc>
                <w:tcPr>
                  <w:tcW w:w="692"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8"/>
                      <w:sz w:val="21"/>
                      <w:szCs w:val="21"/>
                    </w:rPr>
                    <w:t>主滚筒输送线</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4"/>
                      <w:position w:val="1"/>
                      <w:sz w:val="21"/>
                      <w:szCs w:val="21"/>
                    </w:rPr>
                    <w:t>632*15300</w:t>
                  </w: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1</w:t>
                  </w:r>
                </w:p>
              </w:tc>
              <w:tc>
                <w:tcPr>
                  <w:tcW w:w="692"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8"/>
                      <w:sz w:val="21"/>
                      <w:szCs w:val="21"/>
                    </w:rPr>
                    <w:t>弯头滚筒输送机</w:t>
                  </w:r>
                </w:p>
              </w:tc>
              <w:tc>
                <w:tcPr>
                  <w:tcW w:w="1335" w:type="pct"/>
                  <w:tcBorders>
                    <w:tl2br w:val="nil"/>
                    <w:tr2bl w:val="nil"/>
                  </w:tcBorders>
                  <w:shd w:val="clear" w:color="auto" w:fill="auto"/>
                  <w:vAlign w:val="top"/>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1</w:t>
                  </w:r>
                </w:p>
              </w:tc>
              <w:tc>
                <w:tcPr>
                  <w:tcW w:w="692"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8"/>
                      <w:sz w:val="21"/>
                      <w:szCs w:val="21"/>
                    </w:rPr>
                    <w:t>主滚筒输送线</w:t>
                  </w:r>
                </w:p>
              </w:tc>
              <w:tc>
                <w:tcPr>
                  <w:tcW w:w="1335" w:type="pct"/>
                  <w:tcBorders>
                    <w:tl2br w:val="nil"/>
                    <w:tr2bl w:val="nil"/>
                  </w:tcBorders>
                  <w:shd w:val="clear" w:color="auto" w:fill="auto"/>
                  <w:vAlign w:val="top"/>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1</w:t>
                  </w:r>
                </w:p>
              </w:tc>
              <w:tc>
                <w:tcPr>
                  <w:tcW w:w="692"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8"/>
                      <w:sz w:val="21"/>
                      <w:szCs w:val="21"/>
                    </w:rPr>
                    <w:t>弯头滚筒输送机</w:t>
                  </w:r>
                </w:p>
              </w:tc>
              <w:tc>
                <w:tcPr>
                  <w:tcW w:w="1335" w:type="pct"/>
                  <w:tcBorders>
                    <w:tl2br w:val="nil"/>
                    <w:tr2bl w:val="nil"/>
                  </w:tcBorders>
                  <w:shd w:val="clear" w:color="auto" w:fill="auto"/>
                  <w:vAlign w:val="top"/>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1</w:t>
                  </w:r>
                </w:p>
              </w:tc>
              <w:tc>
                <w:tcPr>
                  <w:tcW w:w="692"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3"/>
                      <w:sz w:val="21"/>
                      <w:szCs w:val="21"/>
                    </w:rPr>
                    <w:t>皮带输送机</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600*3000</w:t>
                  </w: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1</w:t>
                  </w:r>
                </w:p>
              </w:tc>
              <w:tc>
                <w:tcPr>
                  <w:tcW w:w="692"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8"/>
                      <w:sz w:val="21"/>
                      <w:szCs w:val="21"/>
                    </w:rPr>
                    <w:t>主滚筒输送线</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2"/>
                      <w:sz w:val="21"/>
                      <w:szCs w:val="21"/>
                    </w:rPr>
                    <w:t>632*3000</w:t>
                  </w: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1</w:t>
                  </w:r>
                </w:p>
              </w:tc>
              <w:tc>
                <w:tcPr>
                  <w:tcW w:w="692"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8"/>
                      <w:sz w:val="21"/>
                      <w:szCs w:val="21"/>
                    </w:rPr>
                    <w:t>弯头滚筒输送机</w:t>
                  </w:r>
                </w:p>
              </w:tc>
              <w:tc>
                <w:tcPr>
                  <w:tcW w:w="1335" w:type="pct"/>
                  <w:tcBorders>
                    <w:tl2br w:val="nil"/>
                    <w:tr2bl w:val="nil"/>
                  </w:tcBorders>
                  <w:shd w:val="clear" w:color="auto" w:fill="auto"/>
                  <w:vAlign w:val="top"/>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1</w:t>
                  </w:r>
                </w:p>
              </w:tc>
              <w:tc>
                <w:tcPr>
                  <w:tcW w:w="692"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8"/>
                      <w:sz w:val="21"/>
                      <w:szCs w:val="21"/>
                    </w:rPr>
                    <w:t>主滚筒输送线</w:t>
                  </w:r>
                </w:p>
              </w:tc>
              <w:tc>
                <w:tcPr>
                  <w:tcW w:w="1335" w:type="pct"/>
                  <w:tcBorders>
                    <w:tl2br w:val="nil"/>
                    <w:tr2bl w:val="nil"/>
                  </w:tcBorders>
                  <w:shd w:val="clear" w:color="auto" w:fill="auto"/>
                  <w:vAlign w:val="top"/>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1</w:t>
                  </w:r>
                </w:p>
              </w:tc>
              <w:tc>
                <w:tcPr>
                  <w:tcW w:w="692"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9"/>
                      <w:sz w:val="21"/>
                      <w:szCs w:val="21"/>
                    </w:rPr>
                    <w:t>滚筒线电气控制系统</w:t>
                  </w:r>
                </w:p>
              </w:tc>
              <w:tc>
                <w:tcPr>
                  <w:tcW w:w="1335" w:type="pct"/>
                  <w:tcBorders>
                    <w:tl2br w:val="nil"/>
                    <w:tr2bl w:val="nil"/>
                  </w:tcBorders>
                  <w:shd w:val="clear" w:color="auto" w:fill="auto"/>
                  <w:vAlign w:val="top"/>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1</w:t>
                  </w:r>
                </w:p>
              </w:tc>
              <w:tc>
                <w:tcPr>
                  <w:tcW w:w="692"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套</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6"/>
                      <w:sz w:val="21"/>
                      <w:szCs w:val="21"/>
                    </w:rPr>
                    <w:t>上架机</w:t>
                  </w:r>
                </w:p>
              </w:tc>
              <w:tc>
                <w:tcPr>
                  <w:tcW w:w="1335" w:type="pct"/>
                  <w:tcBorders>
                    <w:tl2br w:val="nil"/>
                    <w:tr2bl w:val="nil"/>
                  </w:tcBorders>
                  <w:shd w:val="clear" w:color="auto" w:fill="auto"/>
                  <w:vAlign w:val="top"/>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2</w:t>
                  </w:r>
                </w:p>
              </w:tc>
              <w:tc>
                <w:tcPr>
                  <w:tcW w:w="692"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8"/>
                      <w:sz w:val="21"/>
                      <w:szCs w:val="21"/>
                    </w:rPr>
                    <w:t>分段式铁架输送机</w:t>
                  </w:r>
                </w:p>
              </w:tc>
              <w:tc>
                <w:tcPr>
                  <w:tcW w:w="1335" w:type="pct"/>
                  <w:tcBorders>
                    <w:tl2br w:val="nil"/>
                    <w:tr2bl w:val="nil"/>
                  </w:tcBorders>
                  <w:shd w:val="clear" w:color="auto" w:fill="auto"/>
                  <w:vAlign w:val="top"/>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6</w:t>
                  </w:r>
                </w:p>
              </w:tc>
              <w:tc>
                <w:tcPr>
                  <w:tcW w:w="692"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p>
              </w:tc>
              <w:tc>
                <w:tcPr>
                  <w:tcW w:w="1245"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8"/>
                      <w:sz w:val="21"/>
                      <w:szCs w:val="21"/>
                    </w:rPr>
                    <w:t>铁架输送线</w:t>
                  </w:r>
                </w:p>
              </w:tc>
              <w:tc>
                <w:tcPr>
                  <w:tcW w:w="1335" w:type="pct"/>
                  <w:tcBorders>
                    <w:tl2br w:val="nil"/>
                    <w:tr2bl w:val="nil"/>
                  </w:tcBorders>
                  <w:shd w:val="clear" w:color="auto" w:fill="auto"/>
                  <w:vAlign w:val="top"/>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679"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1</w:t>
                  </w:r>
                </w:p>
              </w:tc>
              <w:tc>
                <w:tcPr>
                  <w:tcW w:w="692" w:type="pct"/>
                  <w:tcBorders>
                    <w:tl2br w:val="nil"/>
                    <w:tr2bl w:val="nil"/>
                  </w:tcBorders>
                  <w:shd w:val="clear" w:color="auto" w:fill="auto"/>
                  <w:vAlign w:val="top"/>
                </w:tcPr>
                <w:p>
                  <w:pPr>
                    <w:keepNext w:val="0"/>
                    <w:keepLines w:val="0"/>
                    <w:pageBreakBefore w:val="0"/>
                    <w:widowControl w:val="0"/>
                    <w:kinsoku/>
                    <w:wordWrap/>
                    <w:overflowPunct/>
                    <w:topLinePunct w:val="0"/>
                    <w:bidi w:val="0"/>
                    <w:adjustRightInd/>
                    <w:snapToGrid/>
                    <w:spacing w:line="240" w:lineRule="auto"/>
                    <w:ind w:left="0" w:leftChars="0" w:right="0" w:firstLine="420" w:firstLine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1245"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8"/>
                      <w:sz w:val="21"/>
                      <w:szCs w:val="21"/>
                    </w:rPr>
                    <w:t>铁架顶升移栽机</w:t>
                  </w:r>
                </w:p>
              </w:tc>
              <w:tc>
                <w:tcPr>
                  <w:tcW w:w="1335" w:type="pct"/>
                  <w:tcBorders>
                    <w:tl2br w:val="nil"/>
                    <w:tr2bl w:val="nil"/>
                  </w:tcBorders>
                  <w:shd w:val="clear" w:color="auto" w:fill="auto"/>
                  <w:vAlign w:val="top"/>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679"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2</w:t>
                  </w:r>
                </w:p>
              </w:tc>
              <w:tc>
                <w:tcPr>
                  <w:tcW w:w="692" w:type="pct"/>
                  <w:tcBorders>
                    <w:tl2br w:val="nil"/>
                    <w:tr2bl w:val="nil"/>
                  </w:tcBorders>
                  <w:vAlign w:val="top"/>
                </w:tcPr>
                <w:p>
                  <w:pPr>
                    <w:keepNext w:val="0"/>
                    <w:keepLines w:val="0"/>
                    <w:pageBreakBefore w:val="0"/>
                    <w:widowControl w:val="0"/>
                    <w:kinsoku/>
                    <w:wordWrap/>
                    <w:overflowPunct/>
                    <w:topLinePunct w:val="0"/>
                    <w:bidi w:val="0"/>
                    <w:adjustRightInd/>
                    <w:snapToGrid/>
                    <w:spacing w:line="240" w:lineRule="auto"/>
                    <w:ind w:left="0" w:leftChars="0" w:right="0" w:firstLine="420" w:firstLine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w:t>
                  </w:r>
                </w:p>
              </w:tc>
              <w:tc>
                <w:tcPr>
                  <w:tcW w:w="1245"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8"/>
                      <w:sz w:val="21"/>
                      <w:szCs w:val="21"/>
                    </w:rPr>
                    <w:t>铁架输送线</w:t>
                  </w:r>
                </w:p>
              </w:tc>
              <w:tc>
                <w:tcPr>
                  <w:tcW w:w="1335" w:type="pct"/>
                  <w:tcBorders>
                    <w:tl2br w:val="nil"/>
                    <w:tr2bl w:val="nil"/>
                  </w:tcBorders>
                  <w:shd w:val="clear" w:color="auto" w:fill="auto"/>
                  <w:vAlign w:val="top"/>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679"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1</w:t>
                  </w:r>
                </w:p>
              </w:tc>
              <w:tc>
                <w:tcPr>
                  <w:tcW w:w="692" w:type="pct"/>
                  <w:tcBorders>
                    <w:tl2br w:val="nil"/>
                    <w:tr2bl w:val="nil"/>
                  </w:tcBorders>
                  <w:vAlign w:val="top"/>
                </w:tcPr>
                <w:p>
                  <w:pPr>
                    <w:keepNext w:val="0"/>
                    <w:keepLines w:val="0"/>
                    <w:pageBreakBefore w:val="0"/>
                    <w:widowControl w:val="0"/>
                    <w:kinsoku/>
                    <w:wordWrap/>
                    <w:overflowPunct/>
                    <w:topLinePunct w:val="0"/>
                    <w:bidi w:val="0"/>
                    <w:adjustRightInd/>
                    <w:snapToGrid/>
                    <w:spacing w:line="240" w:lineRule="auto"/>
                    <w:ind w:left="0" w:leftChars="0" w:right="0" w:firstLine="420" w:firstLine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1245"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4"/>
                      <w:sz w:val="21"/>
                      <w:szCs w:val="21"/>
                    </w:rPr>
                    <w:t>下架机</w:t>
                  </w:r>
                </w:p>
              </w:tc>
              <w:tc>
                <w:tcPr>
                  <w:tcW w:w="1335" w:type="pct"/>
                  <w:tcBorders>
                    <w:tl2br w:val="nil"/>
                    <w:tr2bl w:val="nil"/>
                  </w:tcBorders>
                  <w:shd w:val="clear" w:color="auto" w:fill="auto"/>
                  <w:vAlign w:val="top"/>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679"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2</w:t>
                  </w:r>
                </w:p>
              </w:tc>
              <w:tc>
                <w:tcPr>
                  <w:tcW w:w="692" w:type="pct"/>
                  <w:tcBorders>
                    <w:tl2br w:val="nil"/>
                    <w:tr2bl w:val="nil"/>
                  </w:tcBorders>
                  <w:vAlign w:val="top"/>
                </w:tcPr>
                <w:p>
                  <w:pPr>
                    <w:keepNext w:val="0"/>
                    <w:keepLines w:val="0"/>
                    <w:pageBreakBefore w:val="0"/>
                    <w:widowControl w:val="0"/>
                    <w:kinsoku/>
                    <w:wordWrap/>
                    <w:overflowPunct/>
                    <w:topLinePunct w:val="0"/>
                    <w:bidi w:val="0"/>
                    <w:adjustRightInd/>
                    <w:snapToGrid/>
                    <w:spacing w:line="240" w:lineRule="auto"/>
                    <w:ind w:left="0" w:leftChars="0" w:right="0" w:firstLine="420" w:firstLine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w:t>
                  </w:r>
                </w:p>
              </w:tc>
              <w:tc>
                <w:tcPr>
                  <w:tcW w:w="1245"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8"/>
                      <w:sz w:val="21"/>
                      <w:szCs w:val="21"/>
                    </w:rPr>
                    <w:t>分段式铁架输送机</w:t>
                  </w:r>
                </w:p>
              </w:tc>
              <w:tc>
                <w:tcPr>
                  <w:tcW w:w="1335" w:type="pct"/>
                  <w:tcBorders>
                    <w:tl2br w:val="nil"/>
                    <w:tr2bl w:val="nil"/>
                  </w:tcBorders>
                  <w:shd w:val="clear" w:color="auto" w:fill="auto"/>
                  <w:vAlign w:val="top"/>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679"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6</w:t>
                  </w:r>
                </w:p>
              </w:tc>
              <w:tc>
                <w:tcPr>
                  <w:tcW w:w="692" w:type="pct"/>
                  <w:tcBorders>
                    <w:tl2br w:val="nil"/>
                    <w:tr2bl w:val="nil"/>
                  </w:tcBorders>
                  <w:vAlign w:val="top"/>
                </w:tcPr>
                <w:p>
                  <w:pPr>
                    <w:keepNext w:val="0"/>
                    <w:keepLines w:val="0"/>
                    <w:pageBreakBefore w:val="0"/>
                    <w:widowControl w:val="0"/>
                    <w:kinsoku/>
                    <w:wordWrap/>
                    <w:overflowPunct/>
                    <w:topLinePunct w:val="0"/>
                    <w:bidi w:val="0"/>
                    <w:adjustRightInd/>
                    <w:snapToGrid/>
                    <w:spacing w:line="240" w:lineRule="auto"/>
                    <w:ind w:left="0" w:leftChars="0" w:right="0" w:firstLine="420" w:firstLine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w:t>
                  </w:r>
                </w:p>
              </w:tc>
              <w:tc>
                <w:tcPr>
                  <w:tcW w:w="1245"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8"/>
                      <w:sz w:val="21"/>
                      <w:szCs w:val="21"/>
                    </w:rPr>
                    <w:t>弯头滚筒输送机</w:t>
                  </w:r>
                </w:p>
              </w:tc>
              <w:tc>
                <w:tcPr>
                  <w:tcW w:w="1335" w:type="pct"/>
                  <w:tcBorders>
                    <w:tl2br w:val="nil"/>
                    <w:tr2bl w:val="nil"/>
                  </w:tcBorders>
                  <w:shd w:val="clear" w:color="auto" w:fill="auto"/>
                  <w:vAlign w:val="top"/>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679"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1</w:t>
                  </w:r>
                </w:p>
              </w:tc>
              <w:tc>
                <w:tcPr>
                  <w:tcW w:w="692" w:type="pct"/>
                  <w:tcBorders>
                    <w:tl2br w:val="nil"/>
                    <w:tr2bl w:val="nil"/>
                  </w:tcBorders>
                  <w:vAlign w:val="top"/>
                </w:tcPr>
                <w:p>
                  <w:pPr>
                    <w:keepNext w:val="0"/>
                    <w:keepLines w:val="0"/>
                    <w:pageBreakBefore w:val="0"/>
                    <w:widowControl w:val="0"/>
                    <w:kinsoku/>
                    <w:wordWrap/>
                    <w:overflowPunct/>
                    <w:topLinePunct w:val="0"/>
                    <w:bidi w:val="0"/>
                    <w:adjustRightInd/>
                    <w:snapToGrid/>
                    <w:spacing w:line="240" w:lineRule="auto"/>
                    <w:ind w:left="0" w:leftChars="0" w:right="0" w:firstLine="420" w:firstLine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滚筒输送机</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rPr>
                    <w:t>632*6200</w:t>
                  </w: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1</w:t>
                  </w:r>
                </w:p>
              </w:tc>
              <w:tc>
                <w:tcPr>
                  <w:tcW w:w="692" w:type="pct"/>
                  <w:tcBorders>
                    <w:tl2br w:val="nil"/>
                    <w:tr2bl w:val="nil"/>
                  </w:tcBorders>
                  <w:vAlign w:val="top"/>
                </w:tcPr>
                <w:p>
                  <w:pPr>
                    <w:keepNext w:val="0"/>
                    <w:keepLines w:val="0"/>
                    <w:pageBreakBefore w:val="0"/>
                    <w:widowControl w:val="0"/>
                    <w:kinsoku/>
                    <w:wordWrap/>
                    <w:overflowPunct/>
                    <w:topLinePunct w:val="0"/>
                    <w:bidi w:val="0"/>
                    <w:adjustRightInd/>
                    <w:snapToGrid/>
                    <w:spacing w:line="240" w:lineRule="auto"/>
                    <w:ind w:left="0" w:leftChars="0" w:right="0" w:firstLine="420" w:firstLine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滚筒输送机</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rPr>
                    <w:t>632*1900</w:t>
                  </w: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1</w:t>
                  </w:r>
                </w:p>
              </w:tc>
              <w:tc>
                <w:tcPr>
                  <w:tcW w:w="692" w:type="pct"/>
                  <w:tcBorders>
                    <w:tl2br w:val="nil"/>
                    <w:tr2bl w:val="nil"/>
                  </w:tcBorders>
                  <w:vAlign w:val="top"/>
                </w:tcPr>
                <w:p>
                  <w:pPr>
                    <w:keepNext w:val="0"/>
                    <w:keepLines w:val="0"/>
                    <w:pageBreakBefore w:val="0"/>
                    <w:widowControl w:val="0"/>
                    <w:kinsoku/>
                    <w:wordWrap/>
                    <w:overflowPunct/>
                    <w:topLinePunct w:val="0"/>
                    <w:bidi w:val="0"/>
                    <w:adjustRightInd/>
                    <w:snapToGrid/>
                    <w:spacing w:line="240" w:lineRule="auto"/>
                    <w:ind w:left="0" w:leftChars="0" w:right="0" w:firstLine="420" w:firstLine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滚筒输送机</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rPr>
                    <w:t>632*5700</w:t>
                  </w: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1</w:t>
                  </w:r>
                </w:p>
              </w:tc>
              <w:tc>
                <w:tcPr>
                  <w:tcW w:w="692" w:type="pct"/>
                  <w:tcBorders>
                    <w:tl2br w:val="nil"/>
                    <w:tr2bl w:val="nil"/>
                  </w:tcBorders>
                  <w:vAlign w:val="top"/>
                </w:tcPr>
                <w:p>
                  <w:pPr>
                    <w:keepNext w:val="0"/>
                    <w:keepLines w:val="0"/>
                    <w:pageBreakBefore w:val="0"/>
                    <w:widowControl w:val="0"/>
                    <w:kinsoku/>
                    <w:wordWrap/>
                    <w:overflowPunct/>
                    <w:topLinePunct w:val="0"/>
                    <w:bidi w:val="0"/>
                    <w:adjustRightInd/>
                    <w:snapToGrid/>
                    <w:spacing w:line="240" w:lineRule="auto"/>
                    <w:ind w:left="0" w:leftChars="0" w:right="0" w:firstLine="420" w:firstLine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3"/>
                      <w:sz w:val="21"/>
                      <w:szCs w:val="21"/>
                    </w:rPr>
                    <w:t>三、塑料制品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33</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三件套</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6.0cm 该盖环</w:t>
                  </w: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1700000.00</w:t>
                  </w:r>
                </w:p>
              </w:tc>
              <w:tc>
                <w:tcPr>
                  <w:tcW w:w="692" w:type="pct"/>
                  <w:tcBorders>
                    <w:tl2br w:val="nil"/>
                    <w:tr2bl w:val="nil"/>
                  </w:tcBorders>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套</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b/>
                      <w:bCs/>
                      <w:color w:val="auto"/>
                      <w:spacing w:val="-6"/>
                      <w:sz w:val="21"/>
                      <w:szCs w:val="21"/>
                    </w:rPr>
                    <w:t>四、铲车、叉车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34</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叉车</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纯电动2.5吨</w:t>
                  </w: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4</w:t>
                  </w:r>
                </w:p>
              </w:tc>
              <w:tc>
                <w:tcPr>
                  <w:tcW w:w="692" w:type="pct"/>
                  <w:tcBorders>
                    <w:tl2br w:val="nil"/>
                    <w:tr2bl w:val="nil"/>
                  </w:tcBorders>
                  <w:vAlign w:val="top"/>
                </w:tcPr>
                <w:p>
                  <w:pPr>
                    <w:keepNext w:val="0"/>
                    <w:keepLines w:val="0"/>
                    <w:pageBreakBefore w:val="0"/>
                    <w:widowControl w:val="0"/>
                    <w:kinsoku/>
                    <w:wordWrap/>
                    <w:overflowPunct/>
                    <w:topLinePunct w:val="0"/>
                    <w:bidi w:val="0"/>
                    <w:adjustRightInd/>
                    <w:snapToGrid/>
                    <w:spacing w:line="240" w:lineRule="auto"/>
                    <w:ind w:left="0" w:leftChars="0" w:right="0" w:firstLine="420" w:firstLineChars="20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shd w:val="clear" w:color="auto" w:fill="auto"/>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35</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叉车</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简易电叉车</w:t>
                  </w: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4</w:t>
                  </w:r>
                </w:p>
              </w:tc>
              <w:tc>
                <w:tcPr>
                  <w:tcW w:w="692" w:type="pct"/>
                  <w:tcBorders>
                    <w:tl2br w:val="nil"/>
                    <w:tr2bl w:val="nil"/>
                  </w:tcBorders>
                  <w:vAlign w:val="top"/>
                </w:tcPr>
                <w:p>
                  <w:pPr>
                    <w:keepNext w:val="0"/>
                    <w:keepLines w:val="0"/>
                    <w:pageBreakBefore w:val="0"/>
                    <w:widowControl w:val="0"/>
                    <w:kinsoku/>
                    <w:wordWrap/>
                    <w:overflowPunct/>
                    <w:topLinePunct w:val="0"/>
                    <w:bidi w:val="0"/>
                    <w:adjustRightInd/>
                    <w:snapToGrid/>
                    <w:spacing w:line="240" w:lineRule="auto"/>
                    <w:ind w:left="0" w:leftChars="0" w:right="0" w:firstLine="420" w:firstLineChars="20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shd w:val="clear" w:color="auto" w:fill="auto"/>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36</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装载机（大）</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整机尺寸7100*2520*3240mm；</w:t>
                  </w: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2</w:t>
                  </w:r>
                </w:p>
              </w:tc>
              <w:tc>
                <w:tcPr>
                  <w:tcW w:w="692" w:type="pct"/>
                  <w:tcBorders>
                    <w:tl2br w:val="nil"/>
                    <w:tr2bl w:val="nil"/>
                  </w:tcBorders>
                  <w:vAlign w:val="top"/>
                </w:tcPr>
                <w:p>
                  <w:pPr>
                    <w:keepNext w:val="0"/>
                    <w:keepLines w:val="0"/>
                    <w:pageBreakBefore w:val="0"/>
                    <w:widowControl w:val="0"/>
                    <w:kinsoku/>
                    <w:wordWrap/>
                    <w:overflowPunct/>
                    <w:topLinePunct w:val="0"/>
                    <w:bidi w:val="0"/>
                    <w:adjustRightInd/>
                    <w:snapToGrid/>
                    <w:spacing w:line="240" w:lineRule="auto"/>
                    <w:ind w:left="0" w:leftChars="0" w:right="0" w:firstLine="420" w:firstLineChars="20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一、灭菌器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37</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灭菌柜</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容器类别：Ⅰ类规格型号：73-75m³机双开门</w:t>
                  </w: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rPr>
                  </w:pPr>
                </w:p>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4</w:t>
                  </w:r>
                </w:p>
              </w:tc>
              <w:tc>
                <w:tcPr>
                  <w:tcW w:w="692" w:type="pct"/>
                  <w:tcBorders>
                    <w:tl2br w:val="nil"/>
                    <w:tr2bl w:val="nil"/>
                  </w:tcBorders>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二、灭菌车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r>
                    <w:rPr>
                      <w:rFonts w:hint="eastAsia" w:cs="Times New Roman"/>
                      <w:color w:val="auto"/>
                      <w:sz w:val="21"/>
                      <w:szCs w:val="21"/>
                      <w:lang w:val="en-US" w:eastAsia="zh-CN"/>
                    </w:rPr>
                    <w:t>8</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热镀锌灭菌车</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外形：2排*5框*7层</w:t>
                  </w: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104</w:t>
                  </w:r>
                </w:p>
              </w:tc>
              <w:tc>
                <w:tcPr>
                  <w:tcW w:w="692" w:type="pct"/>
                  <w:tcBorders>
                    <w:tl2br w:val="nil"/>
                    <w:tr2bl w:val="nil"/>
                  </w:tcBorders>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7"/>
                      <w:sz w:val="21"/>
                      <w:szCs w:val="21"/>
                    </w:rPr>
                    <w:t>接种室滚筒线部分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39</w:t>
                  </w:r>
                </w:p>
              </w:tc>
              <w:tc>
                <w:tcPr>
                  <w:tcW w:w="1245"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8"/>
                      <w:sz w:val="21"/>
                      <w:szCs w:val="21"/>
                    </w:rPr>
                    <w:t>弯头滚筒输送机</w:t>
                  </w:r>
                </w:p>
              </w:tc>
              <w:tc>
                <w:tcPr>
                  <w:tcW w:w="1335" w:type="pct"/>
                  <w:tcBorders>
                    <w:tl2br w:val="nil"/>
                    <w:tr2bl w:val="nil"/>
                  </w:tcBorders>
                  <w:shd w:val="clear" w:color="auto" w:fill="auto"/>
                  <w:vAlign w:val="top"/>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679"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5</w:t>
                  </w:r>
                </w:p>
              </w:tc>
              <w:tc>
                <w:tcPr>
                  <w:tcW w:w="692" w:type="pct"/>
                  <w:tcBorders>
                    <w:tl2br w:val="nil"/>
                    <w:tr2bl w:val="nil"/>
                  </w:tcBorders>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w:t>
                  </w:r>
                </w:p>
              </w:tc>
              <w:tc>
                <w:tcPr>
                  <w:tcW w:w="1245"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8"/>
                      <w:sz w:val="21"/>
                      <w:szCs w:val="21"/>
                    </w:rPr>
                    <w:t>顶升移栽机</w:t>
                  </w:r>
                </w:p>
              </w:tc>
              <w:tc>
                <w:tcPr>
                  <w:tcW w:w="1335" w:type="pct"/>
                  <w:tcBorders>
                    <w:tl2br w:val="nil"/>
                    <w:tr2bl w:val="nil"/>
                  </w:tcBorders>
                  <w:shd w:val="clear" w:color="auto" w:fill="auto"/>
                  <w:vAlign w:val="top"/>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679"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3</w:t>
                  </w:r>
                </w:p>
              </w:tc>
              <w:tc>
                <w:tcPr>
                  <w:tcW w:w="692" w:type="pct"/>
                  <w:tcBorders>
                    <w:tl2br w:val="nil"/>
                    <w:tr2bl w:val="nil"/>
                  </w:tcBorders>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41</w:t>
                  </w:r>
                </w:p>
              </w:tc>
              <w:tc>
                <w:tcPr>
                  <w:tcW w:w="1245"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7"/>
                      <w:sz w:val="21"/>
                      <w:szCs w:val="21"/>
                    </w:rPr>
                    <w:t>垂直提升机</w:t>
                  </w:r>
                </w:p>
              </w:tc>
              <w:tc>
                <w:tcPr>
                  <w:tcW w:w="1335" w:type="pct"/>
                  <w:tcBorders>
                    <w:tl2br w:val="nil"/>
                    <w:tr2bl w:val="nil"/>
                  </w:tcBorders>
                  <w:shd w:val="clear" w:color="auto" w:fill="auto"/>
                  <w:vAlign w:val="top"/>
                </w:tcPr>
                <w:p>
                  <w:pPr>
                    <w:keepNext w:val="0"/>
                    <w:keepLines w:val="0"/>
                    <w:pageBreakBefore w:val="0"/>
                    <w:wordWrap/>
                    <w:overflowPunct/>
                    <w:topLinePunct w:val="0"/>
                    <w:bidi w:val="0"/>
                    <w:spacing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679" w:type="pct"/>
                  <w:tcBorders>
                    <w:tl2br w:val="nil"/>
                    <w:tr2bl w:val="nil"/>
                  </w:tcBorders>
                  <w:shd w:val="clear" w:color="auto" w:fill="auto"/>
                  <w:vAlign w:val="top"/>
                </w:tcPr>
                <w:p>
                  <w:pPr>
                    <w:pStyle w:val="74"/>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rPr>
                    <w:t>2</w:t>
                  </w:r>
                </w:p>
              </w:tc>
              <w:tc>
                <w:tcPr>
                  <w:tcW w:w="692" w:type="pct"/>
                  <w:tcBorders>
                    <w:tl2br w:val="nil"/>
                    <w:tr2bl w:val="nil"/>
                  </w:tcBorders>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液体菌种区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42</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螺杆空压机</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rPr>
                    <w:t>15</w:t>
                  </w:r>
                  <w:r>
                    <w:rPr>
                      <w:rFonts w:hint="default" w:ascii="Times New Roman" w:hAnsi="Times New Roman" w:cs="Times New Roman"/>
                      <w:color w:val="auto"/>
                      <w:spacing w:val="-3"/>
                      <w:sz w:val="21"/>
                      <w:szCs w:val="21"/>
                      <w:lang w:eastAsia="zh-CN"/>
                    </w:rPr>
                    <w:t>kW</w:t>
                  </w: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6</w:t>
                  </w:r>
                </w:p>
              </w:tc>
              <w:tc>
                <w:tcPr>
                  <w:tcW w:w="692" w:type="pct"/>
                  <w:tcBorders>
                    <w:tl2br w:val="nil"/>
                    <w:tr2bl w:val="nil"/>
                  </w:tcBorders>
                  <w:vAlign w:val="top"/>
                </w:tcPr>
                <w:p>
                  <w:pPr>
                    <w:keepNext w:val="0"/>
                    <w:keepLines w:val="0"/>
                    <w:pageBreakBefore w:val="0"/>
                    <w:widowControl w:val="0"/>
                    <w:kinsoku/>
                    <w:wordWrap/>
                    <w:overflowPunct/>
                    <w:topLinePunct w:val="0"/>
                    <w:bidi w:val="0"/>
                    <w:adjustRightInd/>
                    <w:snapToGrid/>
                    <w:spacing w:line="240" w:lineRule="auto"/>
                    <w:ind w:left="0" w:leftChars="0" w:right="0" w:firstLine="420" w:firstLineChars="20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shd w:val="clear" w:color="auto" w:fill="auto"/>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43</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储气罐</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rPr>
                    <w:t>1</w:t>
                  </w:r>
                  <w:r>
                    <w:rPr>
                      <w:rFonts w:hint="default" w:ascii="Times New Roman" w:hAnsi="Times New Roman" w:eastAsia="宋体" w:cs="Times New Roman"/>
                      <w:color w:val="auto"/>
                      <w:spacing w:val="-3"/>
                      <w:sz w:val="21"/>
                      <w:szCs w:val="21"/>
                      <w:lang w:val="en-US" w:eastAsia="zh-CN"/>
                    </w:rPr>
                    <w:t>m</w:t>
                  </w:r>
                  <w:r>
                    <w:rPr>
                      <w:rFonts w:hint="default" w:ascii="Times New Roman" w:hAnsi="Times New Roman" w:eastAsia="宋体" w:cs="Times New Roman"/>
                      <w:color w:val="auto"/>
                      <w:spacing w:val="-3"/>
                      <w:sz w:val="21"/>
                      <w:szCs w:val="21"/>
                    </w:rPr>
                    <w:t>³</w:t>
                  </w: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4</w:t>
                  </w:r>
                </w:p>
              </w:tc>
              <w:tc>
                <w:tcPr>
                  <w:tcW w:w="692" w:type="pct"/>
                  <w:tcBorders>
                    <w:tl2br w:val="nil"/>
                    <w:tr2bl w:val="nil"/>
                  </w:tcBorders>
                  <w:vAlign w:val="top"/>
                </w:tcPr>
                <w:p>
                  <w:pPr>
                    <w:keepNext w:val="0"/>
                    <w:keepLines w:val="0"/>
                    <w:pageBreakBefore w:val="0"/>
                    <w:widowControl w:val="0"/>
                    <w:kinsoku/>
                    <w:wordWrap/>
                    <w:overflowPunct/>
                    <w:topLinePunct w:val="0"/>
                    <w:bidi w:val="0"/>
                    <w:adjustRightInd/>
                    <w:snapToGrid/>
                    <w:spacing w:line="240" w:lineRule="auto"/>
                    <w:ind w:left="0" w:leftChars="0" w:right="0" w:firstLine="420" w:firstLineChars="20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shd w:val="clear" w:color="auto" w:fill="auto"/>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44</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冷冻干燥机</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rPr>
                    <w:t>30AC</w:t>
                  </w: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4</w:t>
                  </w:r>
                </w:p>
              </w:tc>
              <w:tc>
                <w:tcPr>
                  <w:tcW w:w="692" w:type="pct"/>
                  <w:tcBorders>
                    <w:tl2br w:val="nil"/>
                    <w:tr2bl w:val="nil"/>
                  </w:tcBorders>
                  <w:vAlign w:val="top"/>
                </w:tcPr>
                <w:p>
                  <w:pPr>
                    <w:keepNext w:val="0"/>
                    <w:keepLines w:val="0"/>
                    <w:pageBreakBefore w:val="0"/>
                    <w:widowControl w:val="0"/>
                    <w:kinsoku/>
                    <w:wordWrap/>
                    <w:overflowPunct/>
                    <w:topLinePunct w:val="0"/>
                    <w:bidi w:val="0"/>
                    <w:adjustRightInd/>
                    <w:snapToGrid/>
                    <w:spacing w:line="240" w:lineRule="auto"/>
                    <w:ind w:left="0" w:leftChars="0" w:right="0" w:firstLine="420" w:firstLineChars="20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shd w:val="clear" w:color="auto" w:fill="auto"/>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45</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吸附式干燥机</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rPr>
                    <w:t>30AC</w:t>
                  </w: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2</w:t>
                  </w:r>
                </w:p>
              </w:tc>
              <w:tc>
                <w:tcPr>
                  <w:tcW w:w="692" w:type="pct"/>
                  <w:tcBorders>
                    <w:tl2br w:val="nil"/>
                    <w:tr2bl w:val="nil"/>
                  </w:tcBorders>
                  <w:vAlign w:val="top"/>
                </w:tcPr>
                <w:p>
                  <w:pPr>
                    <w:keepNext w:val="0"/>
                    <w:keepLines w:val="0"/>
                    <w:pageBreakBefore w:val="0"/>
                    <w:widowControl w:val="0"/>
                    <w:kinsoku/>
                    <w:wordWrap/>
                    <w:overflowPunct/>
                    <w:topLinePunct w:val="0"/>
                    <w:bidi w:val="0"/>
                    <w:adjustRightInd/>
                    <w:snapToGrid/>
                    <w:spacing w:line="240" w:lineRule="auto"/>
                    <w:ind w:left="0" w:leftChars="0" w:right="0" w:firstLine="420" w:firstLineChars="20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shd w:val="clear" w:color="auto" w:fill="auto"/>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46</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空气过滤器</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rPr>
                    <w:t>10m³</w:t>
                  </w: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16</w:t>
                  </w:r>
                </w:p>
              </w:tc>
              <w:tc>
                <w:tcPr>
                  <w:tcW w:w="692" w:type="pct"/>
                  <w:tcBorders>
                    <w:tl2br w:val="nil"/>
                    <w:tr2bl w:val="nil"/>
                  </w:tcBorders>
                  <w:vAlign w:val="top"/>
                </w:tcPr>
                <w:p>
                  <w:pPr>
                    <w:keepNext w:val="0"/>
                    <w:keepLines w:val="0"/>
                    <w:pageBreakBefore w:val="0"/>
                    <w:widowControl w:val="0"/>
                    <w:kinsoku/>
                    <w:wordWrap/>
                    <w:overflowPunct/>
                    <w:topLinePunct w:val="0"/>
                    <w:bidi w:val="0"/>
                    <w:adjustRightInd/>
                    <w:snapToGrid/>
                    <w:spacing w:line="240" w:lineRule="auto"/>
                    <w:ind w:left="0" w:leftChars="0" w:right="0" w:firstLine="420" w:firstLineChars="20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shd w:val="clear" w:color="auto" w:fill="auto"/>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47</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管道及配件</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DZL6-1.6-BMF</w:t>
                  </w:r>
                  <w:r>
                    <w:rPr>
                      <w:rFonts w:hint="eastAsia" w:ascii="Times New Roman" w:hAnsi="Times New Roman" w:cs="Times New Roman"/>
                      <w:color w:val="auto"/>
                      <w:spacing w:val="-3"/>
                      <w:sz w:val="21"/>
                      <w:szCs w:val="21"/>
                      <w:lang w:val="en-US" w:eastAsia="zh-CN"/>
                    </w:rPr>
                    <w:t xml:space="preserve"> 6t/h</w:t>
                  </w: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1</w:t>
                  </w:r>
                </w:p>
              </w:tc>
              <w:tc>
                <w:tcPr>
                  <w:tcW w:w="692" w:type="pct"/>
                  <w:tcBorders>
                    <w:tl2br w:val="nil"/>
                    <w:tr2bl w:val="nil"/>
                  </w:tcBorders>
                  <w:vAlign w:val="top"/>
                </w:tcPr>
                <w:p>
                  <w:pPr>
                    <w:keepNext w:val="0"/>
                    <w:keepLines w:val="0"/>
                    <w:pageBreakBefore w:val="0"/>
                    <w:widowControl w:val="0"/>
                    <w:kinsoku/>
                    <w:wordWrap/>
                    <w:overflowPunct/>
                    <w:topLinePunct w:val="0"/>
                    <w:bidi w:val="0"/>
                    <w:adjustRightInd/>
                    <w:snapToGrid/>
                    <w:spacing w:line="240" w:lineRule="auto"/>
                    <w:ind w:left="0" w:leftChars="0" w:right="0" w:firstLine="420" w:firstLineChars="20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65" w:type="pct"/>
                  <w:tcBorders>
                    <w:tl2br w:val="nil"/>
                    <w:tr2bl w:val="nil"/>
                  </w:tcBorders>
                  <w:shd w:val="clear" w:color="auto" w:fill="auto"/>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48</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eastAsia"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生物质蒸汽锅炉</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u w:val="none"/>
                      <w:lang w:val="en-US" w:eastAsia="zh-CN"/>
                    </w:rPr>
                    <w:t>SZL6-1.25-S</w:t>
                  </w: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eastAsia"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1</w:t>
                  </w:r>
                </w:p>
              </w:tc>
              <w:tc>
                <w:tcPr>
                  <w:tcW w:w="692" w:type="pct"/>
                  <w:tcBorders>
                    <w:tl2br w:val="nil"/>
                    <w:tr2bl w:val="nil"/>
                  </w:tcBorders>
                  <w:vAlign w:val="top"/>
                </w:tcPr>
                <w:p>
                  <w:pPr>
                    <w:keepNext w:val="0"/>
                    <w:keepLines w:val="0"/>
                    <w:pageBreakBefore w:val="0"/>
                    <w:widowControl w:val="0"/>
                    <w:kinsoku/>
                    <w:wordWrap/>
                    <w:overflowPunct/>
                    <w:topLinePunct w:val="0"/>
                    <w:bidi w:val="0"/>
                    <w:adjustRightInd/>
                    <w:snapToGrid/>
                    <w:spacing w:line="240" w:lineRule="auto"/>
                    <w:ind w:left="0" w:leftChars="0" w:right="0" w:firstLine="420" w:firstLineChars="20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shd w:val="clear" w:color="auto" w:fill="auto"/>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49</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恒温控制系统</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rPr>
                    <w:t>19-25度精准</w:t>
                  </w: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15</w:t>
                  </w:r>
                </w:p>
              </w:tc>
              <w:tc>
                <w:tcPr>
                  <w:tcW w:w="692" w:type="pct"/>
                  <w:tcBorders>
                    <w:tl2br w:val="nil"/>
                    <w:tr2bl w:val="nil"/>
                  </w:tcBorders>
                  <w:vAlign w:val="top"/>
                </w:tcPr>
                <w:p>
                  <w:pPr>
                    <w:keepNext w:val="0"/>
                    <w:keepLines w:val="0"/>
                    <w:pageBreakBefore w:val="0"/>
                    <w:widowControl w:val="0"/>
                    <w:kinsoku/>
                    <w:wordWrap/>
                    <w:overflowPunct/>
                    <w:topLinePunct w:val="0"/>
                    <w:bidi w:val="0"/>
                    <w:adjustRightInd/>
                    <w:snapToGrid/>
                    <w:spacing w:line="240" w:lineRule="auto"/>
                    <w:ind w:left="0" w:leftChars="0" w:right="0" w:firstLine="420" w:firstLineChars="20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shd w:val="clear" w:color="auto" w:fill="auto"/>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50</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发酵罐</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rPr>
                    <w:t>1000L</w:t>
                  </w: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18</w:t>
                  </w:r>
                </w:p>
              </w:tc>
              <w:tc>
                <w:tcPr>
                  <w:tcW w:w="692" w:type="pct"/>
                  <w:tcBorders>
                    <w:tl2br w:val="nil"/>
                    <w:tr2bl w:val="nil"/>
                  </w:tcBorders>
                  <w:vAlign w:val="top"/>
                </w:tcPr>
                <w:p>
                  <w:pPr>
                    <w:keepNext w:val="0"/>
                    <w:keepLines w:val="0"/>
                    <w:pageBreakBefore w:val="0"/>
                    <w:widowControl w:val="0"/>
                    <w:kinsoku/>
                    <w:wordWrap/>
                    <w:overflowPunct/>
                    <w:topLinePunct w:val="0"/>
                    <w:bidi w:val="0"/>
                    <w:adjustRightInd/>
                    <w:snapToGrid/>
                    <w:spacing w:line="240" w:lineRule="auto"/>
                    <w:ind w:left="0" w:leftChars="0" w:right="0" w:firstLine="420" w:firstLineChars="20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shd w:val="clear" w:color="auto" w:fill="auto"/>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51</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操作平台</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rPr>
                    <w:t>600宽</w:t>
                  </w: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12</w:t>
                  </w:r>
                </w:p>
              </w:tc>
              <w:tc>
                <w:tcPr>
                  <w:tcW w:w="692" w:type="pct"/>
                  <w:tcBorders>
                    <w:tl2br w:val="nil"/>
                    <w:tr2bl w:val="nil"/>
                  </w:tcBorders>
                  <w:vAlign w:val="top"/>
                </w:tcPr>
                <w:p>
                  <w:pPr>
                    <w:keepNext w:val="0"/>
                    <w:keepLines w:val="0"/>
                    <w:pageBreakBefore w:val="0"/>
                    <w:widowControl w:val="0"/>
                    <w:kinsoku/>
                    <w:wordWrap/>
                    <w:overflowPunct/>
                    <w:topLinePunct w:val="0"/>
                    <w:bidi w:val="0"/>
                    <w:adjustRightInd/>
                    <w:snapToGrid/>
                    <w:spacing w:line="240" w:lineRule="auto"/>
                    <w:ind w:left="0" w:leftChars="0" w:right="0" w:firstLine="420" w:firstLineChars="20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5" w:type="pct"/>
                  <w:tcBorders>
                    <w:tl2br w:val="nil"/>
                    <w:tr2bl w:val="nil"/>
                  </w:tcBorders>
                  <w:shd w:val="clear" w:color="auto" w:fill="auto"/>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52</w:t>
                  </w:r>
                </w:p>
              </w:tc>
              <w:tc>
                <w:tcPr>
                  <w:tcW w:w="124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全自动接种机</w:t>
                  </w:r>
                </w:p>
              </w:tc>
              <w:tc>
                <w:tcPr>
                  <w:tcW w:w="1335"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zh-CN"/>
                    </w:rPr>
                  </w:pPr>
                </w:p>
              </w:tc>
              <w:tc>
                <w:tcPr>
                  <w:tcW w:w="679" w:type="pct"/>
                  <w:tcBorders>
                    <w:tl2br w:val="nil"/>
                    <w:tr2bl w:val="nil"/>
                  </w:tcBorders>
                  <w:shd w:val="clear" w:color="auto" w:fill="auto"/>
                  <w:vAlign w:val="top"/>
                </w:tcPr>
                <w:p>
                  <w:pPr>
                    <w:pStyle w:val="74"/>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lang w:val="en-US" w:eastAsia="en-US"/>
                    </w:rPr>
                  </w:pPr>
                  <w:r>
                    <w:rPr>
                      <w:rFonts w:hint="default" w:ascii="Times New Roman" w:hAnsi="Times New Roman" w:eastAsia="宋体" w:cs="Times New Roman"/>
                      <w:color w:val="auto"/>
                      <w:spacing w:val="-3"/>
                      <w:sz w:val="21"/>
                      <w:szCs w:val="21"/>
                    </w:rPr>
                    <w:t>4</w:t>
                  </w:r>
                </w:p>
              </w:tc>
              <w:tc>
                <w:tcPr>
                  <w:tcW w:w="692" w:type="pct"/>
                  <w:tcBorders>
                    <w:tl2br w:val="nil"/>
                    <w:tr2bl w:val="nil"/>
                  </w:tcBorders>
                  <w:vAlign w:val="top"/>
                </w:tcPr>
                <w:p>
                  <w:pPr>
                    <w:keepNext w:val="0"/>
                    <w:keepLines w:val="0"/>
                    <w:pageBreakBefore w:val="0"/>
                    <w:widowControl w:val="0"/>
                    <w:kinsoku/>
                    <w:wordWrap/>
                    <w:overflowPunct/>
                    <w:topLinePunct w:val="0"/>
                    <w:bidi w:val="0"/>
                    <w:adjustRightInd/>
                    <w:snapToGrid/>
                    <w:spacing w:line="240" w:lineRule="auto"/>
                    <w:ind w:left="0" w:leftChars="0" w:right="0" w:firstLine="420" w:firstLineChars="20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z w:val="21"/>
                      <w:szCs w:val="21"/>
                    </w:rPr>
                    <w:t>台</w:t>
                  </w:r>
                </w:p>
              </w:tc>
              <w:tc>
                <w:tcPr>
                  <w:tcW w:w="580" w:type="pct"/>
                  <w:tcBorders>
                    <w:tl2br w:val="nil"/>
                    <w:tr2bl w:val="nil"/>
                  </w:tcBorders>
                  <w:vAlign w:val="top"/>
                </w:tcPr>
                <w:p>
                  <w:pPr>
                    <w:keepNext w:val="0"/>
                    <w:keepLines w:val="0"/>
                    <w:pageBreakBefore w:val="0"/>
                    <w:widowControl w:val="0"/>
                    <w:kinsoku/>
                    <w:wordWrap/>
                    <w:overflowPunct/>
                    <w:topLinePunct w:val="0"/>
                    <w:autoSpaceDE w:val="0"/>
                    <w:autoSpaceDN w:val="0"/>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bl>
          <w:p>
            <w:pPr>
              <w:ind w:firstLine="482"/>
              <w:rPr>
                <w:rFonts w:hint="default" w:ascii="Times New Roman" w:hAnsi="Times New Roman" w:eastAsia="宋体" w:cs="Times New Roman"/>
                <w:b/>
                <w:bCs/>
                <w:color w:val="auto"/>
                <w:u w:val="none"/>
              </w:rPr>
            </w:pPr>
            <w:r>
              <w:rPr>
                <w:rFonts w:hint="default" w:ascii="Times New Roman" w:hAnsi="Times New Roman" w:eastAsia="宋体" w:cs="Times New Roman"/>
                <w:b/>
                <w:bCs/>
                <w:color w:val="auto"/>
                <w:u w:val="none"/>
              </w:rPr>
              <w:t>7、劳动定员与工作制度</w:t>
            </w:r>
          </w:p>
          <w:p>
            <w:pPr>
              <w:ind w:firstLine="48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本厂区定员</w:t>
            </w:r>
            <w:r>
              <w:rPr>
                <w:rFonts w:hint="default" w:ascii="Times New Roman" w:hAnsi="Times New Roman" w:eastAsia="宋体" w:cs="Times New Roman"/>
                <w:color w:val="auto"/>
                <w:u w:val="none"/>
                <w:lang w:val="en-US" w:eastAsia="zh-CN"/>
              </w:rPr>
              <w:t>130</w:t>
            </w:r>
            <w:r>
              <w:rPr>
                <w:rFonts w:hint="default" w:ascii="Times New Roman" w:hAnsi="Times New Roman" w:eastAsia="宋体" w:cs="Times New Roman"/>
                <w:color w:val="auto"/>
                <w:u w:val="none"/>
              </w:rPr>
              <w:t>人工作时间</w:t>
            </w:r>
            <w:r>
              <w:rPr>
                <w:rFonts w:hint="default" w:ascii="Times New Roman" w:hAnsi="Times New Roman" w:eastAsia="宋体" w:cs="Times New Roman"/>
                <w:color w:val="auto"/>
                <w:u w:val="none"/>
                <w:lang w:val="en-US" w:eastAsia="zh-CN"/>
              </w:rPr>
              <w:t>330</w:t>
            </w:r>
            <w:r>
              <w:rPr>
                <w:rFonts w:hint="default" w:ascii="Times New Roman" w:hAnsi="Times New Roman" w:eastAsia="宋体" w:cs="Times New Roman"/>
                <w:color w:val="auto"/>
                <w:u w:val="none"/>
              </w:rPr>
              <w:t>天，实行1班制，每班工作8小时。，锅炉房分配2人专人管理，锅炉</w:t>
            </w:r>
            <w:r>
              <w:rPr>
                <w:rFonts w:hint="eastAsia" w:ascii="Times New Roman" w:hAnsi="Times New Roman" w:eastAsia="宋体" w:cs="Times New Roman"/>
                <w:color w:val="auto"/>
                <w:u w:val="none"/>
                <w:lang w:val="en-US" w:eastAsia="zh-CN"/>
              </w:rPr>
              <w:t>年</w:t>
            </w:r>
            <w:r>
              <w:rPr>
                <w:rFonts w:hint="default" w:ascii="Times New Roman" w:hAnsi="Times New Roman" w:eastAsia="宋体" w:cs="Times New Roman"/>
                <w:color w:val="auto"/>
                <w:u w:val="none"/>
              </w:rPr>
              <w:t>运行</w:t>
            </w:r>
            <w:r>
              <w:rPr>
                <w:rFonts w:hint="eastAsia" w:ascii="Times New Roman" w:hAnsi="Times New Roman" w:eastAsia="宋体" w:cs="Times New Roman"/>
                <w:color w:val="auto"/>
                <w:u w:val="none"/>
                <w:lang w:val="en-US" w:eastAsia="zh-CN"/>
              </w:rPr>
              <w:t>7920</w:t>
            </w:r>
            <w:r>
              <w:rPr>
                <w:rFonts w:hint="default" w:ascii="Times New Roman" w:hAnsi="Times New Roman" w:eastAsia="宋体" w:cs="Times New Roman"/>
                <w:color w:val="auto"/>
                <w:u w:val="none"/>
              </w:rPr>
              <w:t>h</w:t>
            </w:r>
            <w:r>
              <w:rPr>
                <w:rFonts w:hint="eastAsia" w:ascii="Times New Roman" w:hAnsi="Times New Roman" w:cs="Times New Roman"/>
                <w:color w:val="auto"/>
                <w:u w:val="none"/>
                <w:lang w:eastAsia="zh-CN"/>
              </w:rPr>
              <w:t>；</w:t>
            </w:r>
            <w:r>
              <w:rPr>
                <w:rFonts w:hint="default" w:ascii="Times New Roman" w:hAnsi="Times New Roman" w:eastAsia="宋体" w:cs="Times New Roman"/>
                <w:color w:val="auto"/>
                <w:u w:val="none"/>
              </w:rPr>
              <w:t>厂区内无员工宿舍。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508" w:type="dxa"/>
            <w:vAlign w:val="center"/>
          </w:tcPr>
          <w:p>
            <w:pPr>
              <w:pStyle w:val="19"/>
              <w:adjustRightInd w:val="0"/>
              <w:snapToGrid w:val="0"/>
              <w:spacing w:before="0" w:beforeAutospacing="0" w:after="0" w:afterAutospacing="0" w:line="240" w:lineRule="auto"/>
              <w:ind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工艺流程和产排污环节</w:t>
            </w:r>
          </w:p>
        </w:tc>
        <w:tc>
          <w:tcPr>
            <w:tcW w:w="8554" w:type="dxa"/>
          </w:tcPr>
          <w:p>
            <w:pPr>
              <w:adjustRightInd w:val="0"/>
              <w:snapToGrid w:val="0"/>
              <w:ind w:firstLine="0" w:firstLineChars="0"/>
              <w:rPr>
                <w:rFonts w:hint="default" w:ascii="Times New Roman" w:hAnsi="Times New Roman" w:eastAsia="宋体" w:cs="Times New Roman"/>
                <w:b/>
                <w:bCs/>
                <w:color w:val="auto"/>
                <w:u w:val="single"/>
                <w:lang w:val="en-US" w:eastAsia="zh-CN"/>
              </w:rPr>
            </w:pPr>
            <w:r>
              <w:rPr>
                <w:rFonts w:hint="default" w:ascii="Times New Roman" w:hAnsi="Times New Roman" w:eastAsia="宋体" w:cs="Times New Roman"/>
                <w:b/>
                <w:bCs/>
                <w:color w:val="auto"/>
                <w:u w:val="single"/>
              </w:rPr>
              <w:t>一、</w:t>
            </w:r>
            <w:r>
              <w:rPr>
                <w:rFonts w:hint="default" w:ascii="Times New Roman" w:hAnsi="Times New Roman" w:eastAsia="宋体" w:cs="Times New Roman"/>
                <w:b/>
                <w:bCs/>
                <w:color w:val="auto"/>
                <w:u w:val="single"/>
                <w:lang w:val="en-US" w:eastAsia="zh-CN"/>
              </w:rPr>
              <w:t>施工期流程简述</w:t>
            </w:r>
          </w:p>
          <w:p>
            <w:pPr>
              <w:ind w:firstLine="480"/>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lang w:val="en-US" w:eastAsia="zh-CN"/>
              </w:rPr>
              <w:t>施工期工艺流程主要为场地平整、土石方工程、打桩、房屋结构施工、</w:t>
            </w:r>
            <w:r>
              <w:rPr>
                <w:rFonts w:hint="default" w:ascii="Times New Roman" w:hAnsi="Times New Roman" w:cs="Times New Roman"/>
                <w:color w:val="auto"/>
                <w:u w:val="single"/>
                <w:lang w:val="en-US" w:eastAsia="zh-CN"/>
              </w:rPr>
              <w:t>房</w:t>
            </w:r>
            <w:r>
              <w:rPr>
                <w:rFonts w:hint="default" w:ascii="Times New Roman" w:hAnsi="Times New Roman" w:eastAsia="宋体" w:cs="Times New Roman"/>
                <w:color w:val="auto"/>
                <w:u w:val="single"/>
                <w:lang w:val="en-US" w:eastAsia="zh-CN"/>
              </w:rPr>
              <w:t>屋装修、竣工验收等，具体工艺流程及产污环节示意图见下图。</w:t>
            </w:r>
          </w:p>
          <w:p>
            <w:pPr>
              <w:pStyle w:val="3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drawing>
                <wp:inline distT="0" distB="0" distL="114300" distR="114300">
                  <wp:extent cx="4705350" cy="1476375"/>
                  <wp:effectExtent l="0" t="0" r="0" b="952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0"/>
                          <a:stretch>
                            <a:fillRect/>
                          </a:stretch>
                        </pic:blipFill>
                        <pic:spPr>
                          <a:xfrm>
                            <a:off x="0" y="0"/>
                            <a:ext cx="4705350" cy="1476375"/>
                          </a:xfrm>
                          <a:prstGeom prst="rect">
                            <a:avLst/>
                          </a:prstGeom>
                          <a:noFill/>
                          <a:ln>
                            <a:noFill/>
                          </a:ln>
                        </pic:spPr>
                      </pic:pic>
                    </a:graphicData>
                  </a:graphic>
                </wp:inline>
              </w:drawing>
            </w:r>
          </w:p>
          <w:p>
            <w:pPr>
              <w:pStyle w:val="7"/>
              <w:rPr>
                <w:rFonts w:hint="default" w:ascii="Times New Roman" w:hAnsi="Times New Roman" w:eastAsia="宋体" w:cs="Times New Roman"/>
                <w:color w:val="auto"/>
                <w:kern w:val="0"/>
                <w:sz w:val="21"/>
                <w:u w:val="single"/>
              </w:rPr>
            </w:pPr>
            <w:r>
              <w:rPr>
                <w:rFonts w:hint="default" w:ascii="Times New Roman" w:hAnsi="Times New Roman" w:eastAsia="宋体" w:cs="Times New Roman"/>
                <w:color w:val="auto"/>
                <w:kern w:val="0"/>
                <w:sz w:val="21"/>
                <w:u w:val="single"/>
                <w:lang w:val="en-US" w:eastAsia="zh-CN"/>
              </w:rPr>
              <w:t xml:space="preserve">图 2-1 项目施工期工艺流程及产污环节示意图 </w:t>
            </w:r>
          </w:p>
          <w:p>
            <w:pPr>
              <w:keepNext w:val="0"/>
              <w:keepLines w:val="0"/>
              <w:widowControl/>
              <w:suppressLineNumbers w:val="0"/>
              <w:jc w:val="left"/>
              <w:rPr>
                <w:rFonts w:hint="default" w:ascii="Times New Roman" w:hAnsi="Times New Roman" w:eastAsia="宋体" w:cs="Times New Roman"/>
                <w:color w:val="auto"/>
                <w:u w:val="single"/>
              </w:rPr>
            </w:pPr>
            <w:r>
              <w:rPr>
                <w:rFonts w:hint="default" w:ascii="Times New Roman" w:hAnsi="Times New Roman" w:eastAsia="宋体" w:cs="Times New Roman"/>
                <w:b/>
                <w:bCs/>
                <w:color w:val="auto"/>
                <w:kern w:val="0"/>
                <w:sz w:val="24"/>
                <w:szCs w:val="24"/>
                <w:u w:val="single"/>
                <w:lang w:val="en-US" w:eastAsia="zh-CN" w:bidi="ar"/>
              </w:rPr>
              <w:t xml:space="preserve">2、施工期污染物分析 </w:t>
            </w:r>
          </w:p>
          <w:p>
            <w:pPr>
              <w:ind w:firstLine="480"/>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lang w:val="en-US" w:eastAsia="zh-CN"/>
              </w:rPr>
              <w:t>（1）大气污染：施工期的大气污染源主要为</w:t>
            </w:r>
            <w:r>
              <w:rPr>
                <w:sz w:val="24"/>
                <w:szCs w:val="24"/>
                <w:u w:val="single"/>
              </w:rPr>
              <w:t>施工扬尘、施工机械废气和运输车辆尾气</w:t>
            </w:r>
            <w:r>
              <w:rPr>
                <w:rFonts w:hint="default" w:ascii="Times New Roman" w:hAnsi="Times New Roman" w:eastAsia="宋体" w:cs="Times New Roman"/>
                <w:color w:val="auto"/>
                <w:u w:val="single"/>
                <w:lang w:val="en-US" w:eastAsia="zh-CN"/>
              </w:rPr>
              <w:t>。</w:t>
            </w:r>
          </w:p>
          <w:p>
            <w:pPr>
              <w:ind w:firstLine="480"/>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lang w:val="en-US" w:eastAsia="zh-CN"/>
              </w:rPr>
              <w:t>（2）废水污染：施工期水污染源主要为施工区的施工废水和施工队伍的生活污水</w:t>
            </w:r>
            <w:r>
              <w:rPr>
                <w:sz w:val="24"/>
                <w:szCs w:val="24"/>
                <w:u w:val="single"/>
              </w:rPr>
              <w:t>及暴雨地表径流</w:t>
            </w:r>
            <w:r>
              <w:rPr>
                <w:rFonts w:hint="default" w:ascii="Times New Roman" w:hAnsi="Times New Roman" w:eastAsia="宋体" w:cs="Times New Roman"/>
                <w:color w:val="auto"/>
                <w:u w:val="single"/>
                <w:lang w:val="en-US" w:eastAsia="zh-CN"/>
              </w:rPr>
              <w:t>。施工废水主要包括以下几部分：①施工机械跑、冒、漏、滴的油污及露天机械经雨水冲刷后产生的含油污水；②施工物料、施工泥渣、生活垃圾受雨水冲刷产生的污水；③地基工程中产生的打桩废水；④机械设备运转的冷却水和洗涤水；⑤混凝土养护废水。施工废水中污染物主要有COD、SS、石油类等，通过设置简易沉淀池沉淀，清水回用。施工人员生活污水的排放量由施工队伍的人数确定，主要污染物为COD、氨氮、SS等。</w:t>
            </w:r>
          </w:p>
          <w:p>
            <w:pPr>
              <w:ind w:firstLine="480"/>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lang w:val="en-US" w:eastAsia="zh-CN"/>
              </w:rPr>
              <w:t xml:space="preserve">（3）噪声污染：施工期噪声主要为施工现场的各类机械设备噪声、物料装卸碰撞噪声、施工人员的活动噪声以及物料运输的交通噪声。施工单位应加强施工人员环保意识，合理安排施工时间，采用噪声较低的设备并定期维护，以减少本项目施工噪声对周边环境的影响。本项目工程量不大，施工期结束后噪声污染也随之消失。 </w:t>
            </w:r>
          </w:p>
          <w:p>
            <w:pPr>
              <w:ind w:firstLine="480"/>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（4）固废污染：施工期固体废弃物主要为施工过程中产生的</w:t>
            </w:r>
            <w:r>
              <w:rPr>
                <w:rFonts w:hint="eastAsia" w:ascii="宋体" w:hAnsi="宋体" w:eastAsia="宋体" w:cs="宋体"/>
                <w:color w:val="000000"/>
                <w:kern w:val="0"/>
                <w:sz w:val="24"/>
                <w:szCs w:val="24"/>
                <w:u w:val="single"/>
                <w:lang w:val="en-US" w:eastAsia="zh-CN" w:bidi="ar"/>
              </w:rPr>
              <w:t>废弃土石方、建筑垃圾、施工人员生活垃圾</w:t>
            </w:r>
            <w:r>
              <w:rPr>
                <w:rFonts w:hint="default" w:ascii="Times New Roman" w:hAnsi="Times New Roman" w:eastAsia="宋体" w:cs="Times New Roman"/>
                <w:color w:val="auto"/>
                <w:u w:val="single"/>
                <w:lang w:val="en-US" w:eastAsia="zh-CN"/>
              </w:rPr>
              <w:t>。</w:t>
            </w:r>
          </w:p>
          <w:p>
            <w:pPr>
              <w:pStyle w:val="2"/>
              <w:rPr>
                <w:rFonts w:hint="default"/>
                <w:lang w:val="en-US" w:eastAsia="zh-CN"/>
              </w:rPr>
            </w:pPr>
            <w:r>
              <w:rPr>
                <w:rFonts w:hint="eastAsia" w:ascii="Times New Roman" w:hAnsi="Times New Roman" w:eastAsia="宋体" w:cs="Times New Roman"/>
                <w:color w:val="auto"/>
                <w:kern w:val="2"/>
                <w:sz w:val="24"/>
                <w:szCs w:val="24"/>
                <w:u w:val="single"/>
                <w:lang w:val="en-US" w:eastAsia="zh-CN" w:bidi="ar-SA"/>
              </w:rPr>
              <w:t>（5）生态影响：工程在</w:t>
            </w:r>
            <w:r>
              <w:rPr>
                <w:rFonts w:hint="eastAsia" w:ascii="宋体" w:hAnsi="宋体" w:eastAsia="宋体" w:cs="宋体"/>
                <w:color w:val="000000"/>
                <w:kern w:val="0"/>
                <w:sz w:val="24"/>
                <w:szCs w:val="24"/>
                <w:u w:val="single"/>
                <w:lang w:val="en-US" w:eastAsia="zh-CN" w:bidi="ar"/>
              </w:rPr>
              <w:t>挖土、填土后裸露表面被雨水冲刷后将造成水土流失，影响陆地生态系统及其稳定性。</w:t>
            </w:r>
          </w:p>
          <w:p>
            <w:pPr>
              <w:adjustRightInd w:val="0"/>
              <w:snapToGrid w:val="0"/>
              <w:ind w:firstLine="0" w:firstLineChars="0"/>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single"/>
                <w:lang w:val="en-US" w:eastAsia="zh-CN"/>
              </w:rPr>
              <w:t>二、运营期</w:t>
            </w:r>
            <w:r>
              <w:rPr>
                <w:rFonts w:hint="default" w:ascii="Times New Roman" w:hAnsi="Times New Roman" w:eastAsia="宋体" w:cs="Times New Roman"/>
                <w:b/>
                <w:bCs/>
                <w:color w:val="auto"/>
                <w:u w:val="single"/>
              </w:rPr>
              <w:t>工艺流程</w:t>
            </w:r>
          </w:p>
          <w:p>
            <w:pPr>
              <w:ind w:left="0" w:leftChars="0" w:firstLine="0" w:firstLineChars="0"/>
              <w:jc w:val="left"/>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mc:AlternateContent>
                <mc:Choice Requires="wpc">
                  <w:drawing>
                    <wp:inline distT="0" distB="0" distL="0" distR="0">
                      <wp:extent cx="5210810" cy="6584950"/>
                      <wp:effectExtent l="0" t="0" r="1270" b="44450"/>
                      <wp:docPr id="81" name="画布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0" name="文本框 94"/>
                              <wps:cNvSpPr txBox="1"/>
                              <wps:spPr>
                                <a:xfrm>
                                  <a:off x="3528545" y="1761041"/>
                                  <a:ext cx="648135" cy="290830"/>
                                </a:xfrm>
                                <a:prstGeom prst="rect">
                                  <a:avLst/>
                                </a:prstGeom>
                                <a:solidFill>
                                  <a:schemeClr val="lt1"/>
                                </a:solidFill>
                                <a:ln w="6350">
                                  <a:noFill/>
                                </a:ln>
                              </wps:spPr>
                              <wps:txbx>
                                <w:txbxContent>
                                  <w:p>
                                    <w:pPr>
                                      <w:ind w:firstLine="0" w:firstLineChars="0"/>
                                    </w:pPr>
                                    <w:r>
                                      <w:rPr>
                                        <w:rFonts w:hint="eastAsia"/>
                                      </w:rPr>
                                      <w:t>冷凝水</w:t>
                                    </w:r>
                                  </w:p>
                                </w:txbxContent>
                              </wps:txbx>
                              <wps:bodyPr rot="0" spcFirstLastPara="0" vert="horz" wrap="square" lIns="91440" tIns="45720" rIns="91440" bIns="45720" numCol="1" spcCol="0" rtlCol="0" fromWordArt="0" anchor="t" anchorCtr="0" forceAA="0" compatLnSpc="1">
                                <a:noAutofit/>
                              </wps:bodyPr>
                            </wps:wsp>
                            <wps:wsp>
                              <wps:cNvPr id="73" name="文本框 94"/>
                              <wps:cNvSpPr txBox="1"/>
                              <wps:spPr>
                                <a:xfrm>
                                  <a:off x="3098930" y="4700244"/>
                                  <a:ext cx="690245" cy="335280"/>
                                </a:xfrm>
                                <a:prstGeom prst="rect">
                                  <a:avLst/>
                                </a:prstGeom>
                                <a:solidFill>
                                  <a:schemeClr val="lt1"/>
                                </a:solidFill>
                                <a:ln w="6350">
                                  <a:noFill/>
                                </a:ln>
                              </wps:spPr>
                              <wps:txbx>
                                <w:txbxContent>
                                  <w:p>
                                    <w:pPr>
                                      <w:ind w:firstLine="0" w:firstLineChars="0"/>
                                      <w:rPr>
                                        <w:sz w:val="15"/>
                                        <w:szCs w:val="15"/>
                                      </w:rPr>
                                    </w:pPr>
                                    <w:r>
                                      <w:rPr>
                                        <w:rFonts w:hint="eastAsia"/>
                                        <w:sz w:val="15"/>
                                        <w:szCs w:val="15"/>
                                      </w:rPr>
                                      <w:t>S、</w:t>
                                    </w:r>
                                    <w:r>
                                      <w:rPr>
                                        <w:sz w:val="15"/>
                                        <w:szCs w:val="15"/>
                                      </w:rPr>
                                      <w:t>N</w:t>
                                    </w:r>
                                  </w:p>
                                </w:txbxContent>
                              </wps:txbx>
                              <wps:bodyPr rot="0" spcFirstLastPara="0" vert="horz" wrap="square" lIns="91440" tIns="45720" rIns="91440" bIns="45720" numCol="1" spcCol="0" rtlCol="0" fromWordArt="0" anchor="t" anchorCtr="0" forceAA="0" compatLnSpc="1">
                                <a:noAutofit/>
                              </wps:bodyPr>
                            </wps:wsp>
                            <wps:wsp>
                              <wps:cNvPr id="74" name="文本框 94"/>
                              <wps:cNvSpPr txBox="1"/>
                              <wps:spPr>
                                <a:xfrm>
                                  <a:off x="1799590" y="4046855"/>
                                  <a:ext cx="690245" cy="335915"/>
                                </a:xfrm>
                                <a:prstGeom prst="rect">
                                  <a:avLst/>
                                </a:prstGeom>
                                <a:solidFill>
                                  <a:schemeClr val="lt1"/>
                                </a:solidFill>
                                <a:ln w="6350">
                                  <a:noFill/>
                                </a:ln>
                              </wps:spPr>
                              <wps:txbx>
                                <w:txbxContent>
                                  <w:p>
                                    <w:pPr>
                                      <w:ind w:firstLine="300"/>
                                      <w:rPr>
                                        <w:sz w:val="15"/>
                                        <w:szCs w:val="15"/>
                                      </w:rPr>
                                    </w:pPr>
                                    <w:r>
                                      <w:rPr>
                                        <w:rFonts w:hint="eastAsia"/>
                                        <w:sz w:val="15"/>
                                        <w:szCs w:val="15"/>
                                      </w:rPr>
                                      <w:t>N</w:t>
                                    </w:r>
                                  </w:p>
                                </w:txbxContent>
                              </wps:txbx>
                              <wps:bodyPr rot="0" spcFirstLastPara="0" vert="horz" wrap="square" lIns="91440" tIns="45720" rIns="91440" bIns="45720" numCol="1" spcCol="0" rtlCol="0" fromWordArt="0" anchor="t" anchorCtr="0" forceAA="0" compatLnSpc="1">
                                <a:noAutofit/>
                              </wps:bodyPr>
                            </wps:wsp>
                            <wps:wsp>
                              <wps:cNvPr id="75" name="文本框 94"/>
                              <wps:cNvSpPr txBox="1"/>
                              <wps:spPr>
                                <a:xfrm>
                                  <a:off x="1825310" y="512762"/>
                                  <a:ext cx="688975" cy="335915"/>
                                </a:xfrm>
                                <a:prstGeom prst="rect">
                                  <a:avLst/>
                                </a:prstGeom>
                                <a:solidFill>
                                  <a:schemeClr val="lt1"/>
                                </a:solidFill>
                                <a:ln w="6350">
                                  <a:noFill/>
                                </a:ln>
                              </wps:spPr>
                              <wps:txbx>
                                <w:txbxContent>
                                  <w:p>
                                    <w:pPr>
                                      <w:ind w:firstLine="0" w:firstLineChars="0"/>
                                      <w:rPr>
                                        <w:rFonts w:hint="default" w:eastAsia="宋体"/>
                                        <w:sz w:val="15"/>
                                        <w:szCs w:val="15"/>
                                        <w:lang w:val="en-US" w:eastAsia="zh-CN"/>
                                      </w:rPr>
                                    </w:pPr>
                                    <w:r>
                                      <w:rPr>
                                        <w:sz w:val="15"/>
                                        <w:szCs w:val="15"/>
                                      </w:rPr>
                                      <w:t>W</w:t>
                                    </w:r>
                                    <w:r>
                                      <w:rPr>
                                        <w:rFonts w:hint="eastAsia"/>
                                        <w:sz w:val="15"/>
                                        <w:szCs w:val="15"/>
                                        <w:lang w:eastAsia="zh-CN"/>
                                      </w:rPr>
                                      <w:t>、</w:t>
                                    </w:r>
                                    <w:r>
                                      <w:rPr>
                                        <w:rFonts w:hint="eastAsia"/>
                                        <w:sz w:val="15"/>
                                        <w:szCs w:val="15"/>
                                        <w:lang w:val="en-US" w:eastAsia="zh-CN"/>
                                      </w:rPr>
                                      <w:t>N、G</w:t>
                                    </w:r>
                                  </w:p>
                                </w:txbxContent>
                              </wps:txbx>
                              <wps:bodyPr rot="0" spcFirstLastPara="0" vert="horz" wrap="square" lIns="91440" tIns="45720" rIns="91440" bIns="45720" numCol="1" spcCol="0" rtlCol="0" fromWordArt="0" anchor="t" anchorCtr="0" forceAA="0" compatLnSpc="1">
                                <a:noAutofit/>
                              </wps:bodyPr>
                            </wps:wsp>
                            <wps:wsp>
                              <wps:cNvPr id="76" name="文本框 94"/>
                              <wps:cNvSpPr txBox="1"/>
                              <wps:spPr>
                                <a:xfrm>
                                  <a:off x="3208516" y="1003277"/>
                                  <a:ext cx="561330" cy="293298"/>
                                </a:xfrm>
                                <a:prstGeom prst="rect">
                                  <a:avLst/>
                                </a:prstGeom>
                                <a:solidFill>
                                  <a:schemeClr val="lt1"/>
                                </a:solidFill>
                                <a:ln w="6350">
                                  <a:solidFill>
                                    <a:prstClr val="black"/>
                                  </a:solidFill>
                                </a:ln>
                              </wps:spPr>
                              <wps:txbx>
                                <w:txbxContent>
                                  <w:p>
                                    <w:pPr>
                                      <w:ind w:firstLine="0" w:firstLineChars="0"/>
                                    </w:pPr>
                                    <w:r>
                                      <w:rPr>
                                        <w:rFonts w:hint="eastAsia"/>
                                      </w:rPr>
                                      <w:t>水箱</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 name="文本框 94"/>
                              <wps:cNvSpPr txBox="1"/>
                              <wps:spPr>
                                <a:xfrm>
                                  <a:off x="1939792" y="1906210"/>
                                  <a:ext cx="690245" cy="292735"/>
                                </a:xfrm>
                                <a:prstGeom prst="rect">
                                  <a:avLst/>
                                </a:prstGeom>
                                <a:solidFill>
                                  <a:schemeClr val="lt1"/>
                                </a:solidFill>
                                <a:ln w="6350">
                                  <a:solidFill>
                                    <a:prstClr val="black"/>
                                  </a:solidFill>
                                </a:ln>
                              </wps:spPr>
                              <wps:txbx>
                                <w:txbxContent>
                                  <w:p>
                                    <w:pPr>
                                      <w:ind w:firstLine="0" w:firstLineChars="0"/>
                                    </w:pPr>
                                    <w:r>
                                      <w:rPr>
                                        <w:rFonts w:hint="eastAsia"/>
                                      </w:rPr>
                                      <w:t>灭菌器</w:t>
                                    </w:r>
                                  </w:p>
                                </w:txbxContent>
                              </wps:txbx>
                              <wps:bodyPr rot="0" spcFirstLastPara="0" vert="horz" wrap="square" lIns="91440" tIns="45720" rIns="91440" bIns="45720" numCol="1" spcCol="0" rtlCol="0" fromWordArt="0" anchor="t" anchorCtr="0" forceAA="0" compatLnSpc="1">
                                <a:noAutofit/>
                              </wps:bodyPr>
                            </wps:wsp>
                            <wps:wsp>
                              <wps:cNvPr id="78" name="文本框 94"/>
                              <wps:cNvSpPr txBox="1"/>
                              <wps:spPr>
                                <a:xfrm>
                                  <a:off x="4901299" y="1000844"/>
                                  <a:ext cx="309952" cy="292735"/>
                                </a:xfrm>
                                <a:prstGeom prst="rect">
                                  <a:avLst/>
                                </a:prstGeom>
                                <a:solidFill>
                                  <a:schemeClr val="lt1"/>
                                </a:solidFill>
                                <a:ln w="6350">
                                  <a:noFill/>
                                </a:ln>
                              </wps:spPr>
                              <wps:txbx>
                                <w:txbxContent>
                                  <w:p>
                                    <w:pPr>
                                      <w:ind w:firstLine="0" w:firstLineChars="0"/>
                                    </w:pPr>
                                    <w:r>
                                      <w:rPr>
                                        <w:rFonts w:hint="eastAsia"/>
                                      </w:rPr>
                                      <w:t>水</w:t>
                                    </w:r>
                                  </w:p>
                                </w:txbxContent>
                              </wps:txbx>
                              <wps:bodyPr rot="0" spcFirstLastPara="0" vert="horz" wrap="square" lIns="91440" tIns="45720" rIns="91440" bIns="45720" numCol="1" spcCol="0" rtlCol="0" fromWordArt="0" anchor="t" anchorCtr="0" forceAA="0" compatLnSpc="1">
                                <a:noAutofit/>
                              </wps:bodyPr>
                            </wps:wsp>
                            <wps:wsp>
                              <wps:cNvPr id="79" name="文本框 94"/>
                              <wps:cNvSpPr txBox="1"/>
                              <wps:spPr>
                                <a:xfrm>
                                  <a:off x="1784350" y="1004570"/>
                                  <a:ext cx="986790" cy="292735"/>
                                </a:xfrm>
                                <a:prstGeom prst="rect">
                                  <a:avLst/>
                                </a:prstGeom>
                                <a:solidFill>
                                  <a:schemeClr val="lt1"/>
                                </a:solidFill>
                                <a:ln w="6350">
                                  <a:solidFill>
                                    <a:prstClr val="black"/>
                                  </a:solidFill>
                                </a:ln>
                              </wps:spPr>
                              <wps:txbx>
                                <w:txbxContent>
                                  <w:p>
                                    <w:pPr>
                                      <w:ind w:firstLine="0" w:firstLineChars="0"/>
                                    </w:pPr>
                                    <w:r>
                                      <w:rPr>
                                        <w:rFonts w:hint="eastAsia"/>
                                        <w:lang w:val="en-US" w:eastAsia="zh-CN"/>
                                      </w:rPr>
                                      <w:t>生物质</w:t>
                                    </w:r>
                                    <w:r>
                                      <w:rPr>
                                        <w:rFonts w:hint="eastAsia"/>
                                      </w:rPr>
                                      <w:t>锅炉</w:t>
                                    </w:r>
                                  </w:p>
                                </w:txbxContent>
                              </wps:txbx>
                              <wps:bodyPr rot="0" spcFirstLastPara="0" vert="horz" wrap="square" lIns="91440" tIns="45720" rIns="91440" bIns="45720" numCol="1" spcCol="0" rtlCol="0" fromWordArt="0" anchor="t" anchorCtr="0" forceAA="0" compatLnSpc="1">
                                <a:noAutofit/>
                              </wps:bodyPr>
                            </wps:wsp>
                            <wps:wsp>
                              <wps:cNvPr id="80" name="文本框 94"/>
                              <wps:cNvSpPr txBox="1"/>
                              <wps:spPr>
                                <a:xfrm>
                                  <a:off x="327025" y="1014095"/>
                                  <a:ext cx="690245" cy="292735"/>
                                </a:xfrm>
                                <a:prstGeom prst="rect">
                                  <a:avLst/>
                                </a:prstGeom>
                                <a:solidFill>
                                  <a:schemeClr val="lt1"/>
                                </a:solidFill>
                                <a:ln w="6350">
                                  <a:noFill/>
                                </a:ln>
                              </wps:spPr>
                              <wps:txbx>
                                <w:txbxContent>
                                  <w:p>
                                    <w:pPr>
                                      <w:ind w:firstLine="0" w:firstLineChars="0"/>
                                      <w:rPr>
                                        <w:rFonts w:hint="eastAsia" w:eastAsia="宋体"/>
                                        <w:lang w:val="en-US" w:eastAsia="zh-CN"/>
                                      </w:rPr>
                                    </w:pPr>
                                    <w:r>
                                      <w:rPr>
                                        <w:rFonts w:hint="eastAsia"/>
                                        <w:lang w:val="en-US" w:eastAsia="zh-CN"/>
                                      </w:rPr>
                                      <w:t>生物质</w:t>
                                    </w:r>
                                  </w:p>
                                </w:txbxContent>
                              </wps:txbx>
                              <wps:bodyPr rot="0" spcFirstLastPara="0" vert="horz" wrap="square" lIns="91440" tIns="45720" rIns="91440" bIns="45720" numCol="1" spcCol="0" rtlCol="0" fromWordArt="0" anchor="t" anchorCtr="0" forceAA="0" compatLnSpc="1">
                                <a:noAutofit/>
                              </wps:bodyPr>
                            </wps:wsp>
                            <wps:wsp>
                              <wps:cNvPr id="82" name="直接箭头连接符 97"/>
                              <wps:cNvCnPr>
                                <a:stCxn id="343" idx="1"/>
                                <a:endCxn id="124" idx="3"/>
                              </wps:cNvCnPr>
                              <wps:spPr>
                                <a:xfrm flipH="1">
                                  <a:off x="4718419" y="1147197"/>
                                  <a:ext cx="182880" cy="57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 name="直接箭头连接符 353"/>
                              <wps:cNvCnPr>
                                <a:endCxn id="345" idx="1"/>
                              </wps:cNvCnPr>
                              <wps:spPr>
                                <a:xfrm>
                                  <a:off x="962767" y="1144457"/>
                                  <a:ext cx="821690" cy="69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 name="直接箭头连接符 354"/>
                              <wps:cNvCnPr>
                                <a:endCxn id="342" idx="0"/>
                              </wps:cNvCnPr>
                              <wps:spPr>
                                <a:xfrm>
                                  <a:off x="2283233" y="1297737"/>
                                  <a:ext cx="1270" cy="6083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5" name="文本框 94"/>
                              <wps:cNvSpPr txBox="1"/>
                              <wps:spPr>
                                <a:xfrm>
                                  <a:off x="4298316" y="5782674"/>
                                  <a:ext cx="727166" cy="833785"/>
                                </a:xfrm>
                                <a:prstGeom prst="rect">
                                  <a:avLst/>
                                </a:prstGeom>
                                <a:solidFill>
                                  <a:schemeClr val="lt1"/>
                                </a:solidFill>
                                <a:ln w="6350">
                                  <a:noFill/>
                                </a:ln>
                              </wps:spPr>
                              <wps:txbx>
                                <w:txbxContent>
                                  <w:p>
                                    <w:pPr>
                                      <w:ind w:firstLine="0" w:firstLineChars="0"/>
                                      <w:rPr>
                                        <w:sz w:val="16"/>
                                        <w:szCs w:val="16"/>
                                      </w:rPr>
                                    </w:pPr>
                                    <w:r>
                                      <w:rPr>
                                        <w:sz w:val="16"/>
                                        <w:szCs w:val="16"/>
                                      </w:rPr>
                                      <w:t>N---</w:t>
                                    </w:r>
                                    <w:r>
                                      <w:rPr>
                                        <w:rFonts w:hint="eastAsia"/>
                                        <w:sz w:val="16"/>
                                        <w:szCs w:val="16"/>
                                      </w:rPr>
                                      <w:t>噪声</w:t>
                                    </w:r>
                                  </w:p>
                                  <w:p>
                                    <w:pPr>
                                      <w:ind w:firstLine="0" w:firstLineChars="0"/>
                                      <w:rPr>
                                        <w:sz w:val="16"/>
                                        <w:szCs w:val="16"/>
                                      </w:rPr>
                                    </w:pPr>
                                    <w:r>
                                      <w:rPr>
                                        <w:rFonts w:hint="eastAsia"/>
                                        <w:sz w:val="16"/>
                                        <w:szCs w:val="16"/>
                                      </w:rPr>
                                      <w:t>W</w:t>
                                    </w:r>
                                    <w:r>
                                      <w:rPr>
                                        <w:sz w:val="16"/>
                                        <w:szCs w:val="16"/>
                                      </w:rPr>
                                      <w:t>---</w:t>
                                    </w:r>
                                    <w:r>
                                      <w:rPr>
                                        <w:rFonts w:hint="eastAsia"/>
                                        <w:sz w:val="16"/>
                                        <w:szCs w:val="16"/>
                                      </w:rPr>
                                      <w:t>废水</w:t>
                                    </w:r>
                                  </w:p>
                                  <w:p>
                                    <w:pPr>
                                      <w:ind w:firstLine="0" w:firstLineChars="0"/>
                                      <w:rPr>
                                        <w:sz w:val="16"/>
                                        <w:szCs w:val="16"/>
                                      </w:rPr>
                                    </w:pPr>
                                    <w:r>
                                      <w:rPr>
                                        <w:rFonts w:hint="eastAsia"/>
                                        <w:sz w:val="16"/>
                                        <w:szCs w:val="16"/>
                                      </w:rPr>
                                      <w:t>G</w:t>
                                    </w:r>
                                    <w:r>
                                      <w:rPr>
                                        <w:sz w:val="16"/>
                                        <w:szCs w:val="16"/>
                                      </w:rPr>
                                      <w:t>---</w:t>
                                    </w:r>
                                    <w:r>
                                      <w:rPr>
                                        <w:rFonts w:hint="eastAsia"/>
                                        <w:sz w:val="16"/>
                                        <w:szCs w:val="16"/>
                                      </w:rPr>
                                      <w:t>废气</w:t>
                                    </w:r>
                                  </w:p>
                                  <w:p>
                                    <w:pPr>
                                      <w:ind w:firstLine="0" w:firstLineChars="0"/>
                                      <w:rPr>
                                        <w:sz w:val="16"/>
                                        <w:szCs w:val="16"/>
                                      </w:rPr>
                                    </w:pPr>
                                    <w:r>
                                      <w:rPr>
                                        <w:rFonts w:hint="eastAsia"/>
                                        <w:sz w:val="16"/>
                                        <w:szCs w:val="16"/>
                                      </w:rPr>
                                      <w:t>S</w:t>
                                    </w:r>
                                    <w:r>
                                      <w:rPr>
                                        <w:sz w:val="16"/>
                                        <w:szCs w:val="16"/>
                                      </w:rPr>
                                      <w:t>---</w:t>
                                    </w:r>
                                    <w:r>
                                      <w:rPr>
                                        <w:rFonts w:hint="eastAsia"/>
                                        <w:sz w:val="16"/>
                                        <w:szCs w:val="16"/>
                                      </w:rPr>
                                      <w:t>固废</w:t>
                                    </w:r>
                                  </w:p>
                                </w:txbxContent>
                              </wps:txbx>
                              <wps:bodyPr rot="0" spcFirstLastPara="0" vert="horz" wrap="square" lIns="91440" tIns="45720" rIns="91440" bIns="45720" numCol="1" spcCol="0" rtlCol="0" fromWordArt="0" anchor="t" anchorCtr="0" forceAA="0" compatLnSpc="1">
                                <a:noAutofit/>
                              </wps:bodyPr>
                            </wps:wsp>
                            <wps:wsp>
                              <wps:cNvPr id="86" name="直接箭头连接符 359"/>
                              <wps:cNvCnPr/>
                              <wps:spPr>
                                <a:xfrm flipV="1">
                                  <a:off x="2010436" y="728849"/>
                                  <a:ext cx="0" cy="263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 name="文本框 94"/>
                              <wps:cNvSpPr txBox="1"/>
                              <wps:spPr>
                                <a:xfrm>
                                  <a:off x="3993515" y="1007110"/>
                                  <a:ext cx="725170" cy="292100"/>
                                </a:xfrm>
                                <a:prstGeom prst="rect">
                                  <a:avLst/>
                                </a:prstGeom>
                                <a:solidFill>
                                  <a:schemeClr val="lt1"/>
                                </a:solidFill>
                                <a:ln w="6350">
                                  <a:solidFill>
                                    <a:prstClr val="black"/>
                                  </a:solidFill>
                                </a:ln>
                              </wps:spPr>
                              <wps:txbx>
                                <w:txbxContent>
                                  <w:p>
                                    <w:pPr>
                                      <w:ind w:firstLine="0" w:firstLineChars="0"/>
                                    </w:pPr>
                                    <w:r>
                                      <w:rPr>
                                        <w:rFonts w:hint="eastAsia"/>
                                      </w:rPr>
                                      <w:t>软水机</w:t>
                                    </w:r>
                                  </w:p>
                                </w:txbxContent>
                              </wps:txbx>
                              <wps:bodyPr rot="0" spcFirstLastPara="0" vert="horz" wrap="square" lIns="91440" tIns="45720" rIns="91440" bIns="45720" numCol="1" spcCol="0" rtlCol="0" fromWordArt="0" anchor="t" anchorCtr="0" forceAA="0" compatLnSpc="1">
                                <a:noAutofit/>
                              </wps:bodyPr>
                            </wps:wsp>
                            <wps:wsp>
                              <wps:cNvPr id="88" name="直接箭头连接符 125"/>
                              <wps:cNvCnPr>
                                <a:stCxn id="124" idx="1"/>
                              </wps:cNvCnPr>
                              <wps:spPr>
                                <a:xfrm flipH="1" flipV="1">
                                  <a:off x="3779175" y="1147029"/>
                                  <a:ext cx="21463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 name="文本框 94"/>
                              <wps:cNvSpPr txBox="1"/>
                              <wps:spPr>
                                <a:xfrm>
                                  <a:off x="554138" y="4512229"/>
                                  <a:ext cx="501487" cy="292100"/>
                                </a:xfrm>
                                <a:prstGeom prst="rect">
                                  <a:avLst/>
                                </a:prstGeom>
                                <a:solidFill>
                                  <a:schemeClr val="lt1"/>
                                </a:solidFill>
                                <a:ln w="6350">
                                  <a:solidFill>
                                    <a:prstClr val="black"/>
                                  </a:solidFill>
                                </a:ln>
                              </wps:spPr>
                              <wps:txbx>
                                <w:txbxContent>
                                  <w:p>
                                    <w:pPr>
                                      <w:ind w:firstLine="0" w:firstLineChars="0"/>
                                    </w:pPr>
                                    <w:r>
                                      <w:rPr>
                                        <w:rFonts w:hint="eastAsia"/>
                                      </w:rPr>
                                      <w:t>配料</w:t>
                                    </w:r>
                                  </w:p>
                                </w:txbxContent>
                              </wps:txbx>
                              <wps:bodyPr rot="0" spcFirstLastPara="0" vert="horz" wrap="square" lIns="91440" tIns="45720" rIns="91440" bIns="45720" numCol="1" spcCol="0" rtlCol="0" fromWordArt="0" anchor="t" anchorCtr="0" forceAA="0" compatLnSpc="1">
                                <a:noAutofit/>
                              </wps:bodyPr>
                            </wps:wsp>
                            <wps:wsp>
                              <wps:cNvPr id="90" name="文本框 94"/>
                              <wps:cNvSpPr txBox="1"/>
                              <wps:spPr>
                                <a:xfrm>
                                  <a:off x="2029256" y="2875905"/>
                                  <a:ext cx="535992" cy="291465"/>
                                </a:xfrm>
                                <a:prstGeom prst="rect">
                                  <a:avLst/>
                                </a:prstGeom>
                                <a:solidFill>
                                  <a:schemeClr val="lt1"/>
                                </a:solidFill>
                                <a:ln w="6350">
                                  <a:solidFill>
                                    <a:prstClr val="black"/>
                                  </a:solidFill>
                                </a:ln>
                              </wps:spPr>
                              <wps:txbx>
                                <w:txbxContent>
                                  <w:p>
                                    <w:pPr>
                                      <w:ind w:firstLine="0" w:firstLineChars="0"/>
                                    </w:pPr>
                                    <w:r>
                                      <w:rPr>
                                        <w:rFonts w:hint="eastAsia"/>
                                      </w:rPr>
                                      <w:t>灭菌</w:t>
                                    </w:r>
                                  </w:p>
                                </w:txbxContent>
                              </wps:txbx>
                              <wps:bodyPr rot="0" spcFirstLastPara="0" vert="horz" wrap="square" lIns="91440" tIns="45720" rIns="91440" bIns="45720" numCol="1" spcCol="0" rtlCol="0" fromWordArt="0" anchor="t" anchorCtr="0" forceAA="0" compatLnSpc="1">
                                <a:noAutofit/>
                              </wps:bodyPr>
                            </wps:wsp>
                            <wps:wsp>
                              <wps:cNvPr id="91" name="文本框 94"/>
                              <wps:cNvSpPr txBox="1"/>
                              <wps:spPr>
                                <a:xfrm>
                                  <a:off x="441960" y="3969385"/>
                                  <a:ext cx="1227455" cy="291465"/>
                                </a:xfrm>
                                <a:prstGeom prst="rect">
                                  <a:avLst/>
                                </a:prstGeom>
                                <a:solidFill>
                                  <a:schemeClr val="lt1"/>
                                </a:solidFill>
                                <a:ln w="6350">
                                  <a:solidFill>
                                    <a:prstClr val="black"/>
                                  </a:solidFill>
                                </a:ln>
                              </wps:spPr>
                              <wps:txbx>
                                <w:txbxContent>
                                  <w:p>
                                    <w:pPr>
                                      <w:ind w:firstLine="0" w:firstLineChars="0"/>
                                      <w:rPr>
                                        <w:rFonts w:hint="default" w:eastAsia="宋体"/>
                                        <w:lang w:val="en-US" w:eastAsia="zh-CN"/>
                                      </w:rPr>
                                    </w:pPr>
                                    <w:r>
                                      <w:rPr>
                                        <w:rFonts w:hint="eastAsia"/>
                                        <w:lang w:val="en-US" w:eastAsia="zh-CN"/>
                                      </w:rPr>
                                      <w:t>主料堆料预湿</w:t>
                                    </w:r>
                                  </w:p>
                                </w:txbxContent>
                              </wps:txbx>
                              <wps:bodyPr rot="0" spcFirstLastPara="0" vert="horz" wrap="square" lIns="91440" tIns="45720" rIns="91440" bIns="45720" numCol="1" spcCol="0" rtlCol="0" fromWordArt="0" anchor="t" anchorCtr="0" forceAA="0" compatLnSpc="1">
                                <a:noAutofit/>
                              </wps:bodyPr>
                            </wps:wsp>
                            <wps:wsp>
                              <wps:cNvPr id="92" name="文本框 94"/>
                              <wps:cNvSpPr txBox="1"/>
                              <wps:spPr>
                                <a:xfrm>
                                  <a:off x="369593" y="3413043"/>
                                  <a:ext cx="900538" cy="291465"/>
                                </a:xfrm>
                                <a:prstGeom prst="rect">
                                  <a:avLst/>
                                </a:prstGeom>
                                <a:solidFill>
                                  <a:schemeClr val="lt1"/>
                                </a:solidFill>
                                <a:ln w="6350">
                                  <a:solidFill>
                                    <a:prstClr val="black"/>
                                  </a:solidFill>
                                </a:ln>
                              </wps:spPr>
                              <wps:txbx>
                                <w:txbxContent>
                                  <w:p>
                                    <w:pPr>
                                      <w:ind w:firstLine="0" w:firstLineChars="0"/>
                                    </w:pPr>
                                    <w:r>
                                      <w:rPr>
                                        <w:rFonts w:hint="eastAsia"/>
                                      </w:rPr>
                                      <w:t>装瓶打孔</w:t>
                                    </w:r>
                                  </w:p>
                                </w:txbxContent>
                              </wps:txbx>
                              <wps:bodyPr rot="0" spcFirstLastPara="0" vert="horz" wrap="square" lIns="91440" tIns="45720" rIns="91440" bIns="45720" numCol="1" spcCol="0" rtlCol="0" fromWordArt="0" anchor="t" anchorCtr="0" forceAA="0" compatLnSpc="1">
                                <a:noAutofit/>
                              </wps:bodyPr>
                            </wps:wsp>
                            <wps:wsp>
                              <wps:cNvPr id="93" name="文本框 94"/>
                              <wps:cNvSpPr txBox="1"/>
                              <wps:spPr>
                                <a:xfrm>
                                  <a:off x="4045599" y="4068507"/>
                                  <a:ext cx="520976" cy="291465"/>
                                </a:xfrm>
                                <a:prstGeom prst="rect">
                                  <a:avLst/>
                                </a:prstGeom>
                                <a:solidFill>
                                  <a:schemeClr val="lt1"/>
                                </a:solidFill>
                                <a:ln w="6350">
                                  <a:solidFill>
                                    <a:prstClr val="black"/>
                                  </a:solidFill>
                                </a:ln>
                              </wps:spPr>
                              <wps:txbx>
                                <w:txbxContent>
                                  <w:p>
                                    <w:pPr>
                                      <w:ind w:firstLine="0" w:firstLineChars="0"/>
                                      <w:rPr>
                                        <w:rFonts w:hint="eastAsia" w:eastAsia="宋体"/>
                                        <w:lang w:val="en-US" w:eastAsia="zh-CN"/>
                                      </w:rPr>
                                    </w:pPr>
                                    <w:r>
                                      <w:rPr>
                                        <w:rFonts w:hint="eastAsia"/>
                                        <w:lang w:val="en-US" w:eastAsia="zh-CN"/>
                                      </w:rPr>
                                      <w:t>出菇</w:t>
                                    </w:r>
                                  </w:p>
                                </w:txbxContent>
                              </wps:txbx>
                              <wps:bodyPr rot="0" spcFirstLastPara="0" vert="horz" wrap="square" lIns="91440" tIns="45720" rIns="91440" bIns="45720" numCol="1" spcCol="0" rtlCol="0" fromWordArt="0" anchor="t" anchorCtr="0" forceAA="0" compatLnSpc="1">
                                <a:noAutofit/>
                              </wps:bodyPr>
                            </wps:wsp>
                            <wps:wsp>
                              <wps:cNvPr id="95" name="文本框 94"/>
                              <wps:cNvSpPr txBox="1"/>
                              <wps:spPr>
                                <a:xfrm>
                                  <a:off x="379374" y="2879358"/>
                                  <a:ext cx="909164" cy="291465"/>
                                </a:xfrm>
                                <a:prstGeom prst="rect">
                                  <a:avLst/>
                                </a:prstGeom>
                                <a:solidFill>
                                  <a:schemeClr val="lt1"/>
                                </a:solidFill>
                                <a:ln w="6350">
                                  <a:solidFill>
                                    <a:prstClr val="black"/>
                                  </a:solidFill>
                                </a:ln>
                              </wps:spPr>
                              <wps:txbx>
                                <w:txbxContent>
                                  <w:p>
                                    <w:pPr>
                                      <w:ind w:firstLine="0" w:firstLineChars="0"/>
                                    </w:pPr>
                                    <w:r>
                                      <w:rPr>
                                        <w:rFonts w:hint="eastAsia"/>
                                      </w:rPr>
                                      <w:t>装盖码垛</w:t>
                                    </w:r>
                                    <w:r>
                                      <w:cr/>
                                    </w:r>
                                  </w:p>
                                </w:txbxContent>
                              </wps:txbx>
                              <wps:bodyPr rot="0" spcFirstLastPara="0" vert="horz" wrap="square" lIns="91440" tIns="45720" rIns="91440" bIns="45720" numCol="1" spcCol="0" rtlCol="0" fromWordArt="0" anchor="t" anchorCtr="0" forceAA="0" compatLnSpc="1">
                                <a:noAutofit/>
                              </wps:bodyPr>
                            </wps:wsp>
                            <wps:wsp>
                              <wps:cNvPr id="96" name="文本框 94"/>
                              <wps:cNvSpPr txBox="1"/>
                              <wps:spPr>
                                <a:xfrm>
                                  <a:off x="4019721" y="3489424"/>
                                  <a:ext cx="526211" cy="291465"/>
                                </a:xfrm>
                                <a:prstGeom prst="rect">
                                  <a:avLst/>
                                </a:prstGeom>
                                <a:solidFill>
                                  <a:schemeClr val="lt1"/>
                                </a:solidFill>
                                <a:ln w="6350">
                                  <a:solidFill>
                                    <a:prstClr val="black"/>
                                  </a:solidFill>
                                </a:ln>
                              </wps:spPr>
                              <wps:txbx>
                                <w:txbxContent>
                                  <w:p>
                                    <w:pPr>
                                      <w:ind w:firstLine="0" w:firstLineChars="0"/>
                                      <w:rPr>
                                        <w:rFonts w:hint="eastAsia" w:eastAsia="宋体"/>
                                        <w:lang w:val="en-US" w:eastAsia="zh-CN"/>
                                      </w:rPr>
                                    </w:pPr>
                                    <w:r>
                                      <w:rPr>
                                        <w:rFonts w:hint="eastAsia"/>
                                        <w:lang w:val="en-US" w:eastAsia="zh-CN"/>
                                      </w:rPr>
                                      <w:t>培养</w:t>
                                    </w:r>
                                  </w:p>
                                </w:txbxContent>
                              </wps:txbx>
                              <wps:bodyPr rot="0" spcFirstLastPara="0" vert="horz" wrap="square" lIns="91440" tIns="45720" rIns="91440" bIns="45720" numCol="1" spcCol="0" rtlCol="0" fromWordArt="0" anchor="t" anchorCtr="0" forceAA="0" compatLnSpc="1">
                                <a:noAutofit/>
                              </wps:bodyPr>
                            </wps:wsp>
                            <wps:wsp>
                              <wps:cNvPr id="98" name="文本框 94"/>
                              <wps:cNvSpPr txBox="1"/>
                              <wps:spPr>
                                <a:xfrm>
                                  <a:off x="4019721" y="4643519"/>
                                  <a:ext cx="529602" cy="291465"/>
                                </a:xfrm>
                                <a:prstGeom prst="rect">
                                  <a:avLst/>
                                </a:prstGeom>
                                <a:solidFill>
                                  <a:schemeClr val="lt1"/>
                                </a:solidFill>
                                <a:ln w="6350">
                                  <a:solidFill>
                                    <a:prstClr val="black"/>
                                  </a:solidFill>
                                </a:ln>
                              </wps:spPr>
                              <wps:txbx>
                                <w:txbxContent>
                                  <w:p>
                                    <w:pPr>
                                      <w:ind w:firstLine="0" w:firstLineChars="0"/>
                                      <w:rPr>
                                        <w:rFonts w:hint="default" w:eastAsia="宋体"/>
                                        <w:lang w:val="en-US" w:eastAsia="zh-CN"/>
                                      </w:rPr>
                                    </w:pPr>
                                    <w:r>
                                      <w:rPr>
                                        <w:rFonts w:hint="eastAsia"/>
                                        <w:lang w:val="en-US" w:eastAsia="zh-CN"/>
                                      </w:rPr>
                                      <w:t>采收</w:t>
                                    </w:r>
                                  </w:p>
                                </w:txbxContent>
                              </wps:txbx>
                              <wps:bodyPr rot="0" spcFirstLastPara="0" vert="horz" wrap="square" lIns="91440" tIns="45720" rIns="91440" bIns="45720" numCol="1" spcCol="0" rtlCol="0" fromWordArt="0" anchor="t" anchorCtr="0" forceAA="0" compatLnSpc="1">
                                <a:noAutofit/>
                              </wps:bodyPr>
                            </wps:wsp>
                            <wps:wsp>
                              <wps:cNvPr id="99" name="文本框 94"/>
                              <wps:cNvSpPr txBox="1"/>
                              <wps:spPr>
                                <a:xfrm>
                                  <a:off x="4002467" y="2901966"/>
                                  <a:ext cx="564108" cy="291465"/>
                                </a:xfrm>
                                <a:prstGeom prst="rect">
                                  <a:avLst/>
                                </a:prstGeom>
                                <a:solidFill>
                                  <a:schemeClr val="lt1"/>
                                </a:solidFill>
                                <a:ln w="6350">
                                  <a:solidFill>
                                    <a:prstClr val="black"/>
                                  </a:solidFill>
                                </a:ln>
                              </wps:spPr>
                              <wps:txbx>
                                <w:txbxContent>
                                  <w:p>
                                    <w:pPr>
                                      <w:ind w:firstLine="0" w:firstLineChars="0"/>
                                    </w:pPr>
                                    <w:r>
                                      <w:rPr>
                                        <w:rFonts w:hint="eastAsia"/>
                                      </w:rPr>
                                      <w:t>接种</w:t>
                                    </w:r>
                                  </w:p>
                                </w:txbxContent>
                              </wps:txbx>
                              <wps:bodyPr rot="0" spcFirstLastPara="0" vert="horz" wrap="square" lIns="91440" tIns="45720" rIns="91440" bIns="45720" numCol="1" spcCol="0" rtlCol="0" fromWordArt="0" anchor="t" anchorCtr="0" forceAA="0" compatLnSpc="1">
                                <a:noAutofit/>
                              </wps:bodyPr>
                            </wps:wsp>
                            <wps:wsp>
                              <wps:cNvPr id="100" name="文本框 94"/>
                              <wps:cNvSpPr txBox="1"/>
                              <wps:spPr>
                                <a:xfrm>
                                  <a:off x="3053563" y="2879462"/>
                                  <a:ext cx="546855" cy="291465"/>
                                </a:xfrm>
                                <a:prstGeom prst="rect">
                                  <a:avLst/>
                                </a:prstGeom>
                                <a:solidFill>
                                  <a:schemeClr val="lt1"/>
                                </a:solidFill>
                                <a:ln w="6350">
                                  <a:solidFill>
                                    <a:prstClr val="black"/>
                                  </a:solidFill>
                                </a:ln>
                              </wps:spPr>
                              <wps:txbx>
                                <w:txbxContent>
                                  <w:p>
                                    <w:pPr>
                                      <w:ind w:firstLine="0" w:firstLineChars="0"/>
                                    </w:pPr>
                                    <w:r>
                                      <w:rPr>
                                        <w:rFonts w:hint="eastAsia"/>
                                      </w:rPr>
                                      <w:t>冷却</w:t>
                                    </w:r>
                                  </w:p>
                                </w:txbxContent>
                              </wps:txbx>
                              <wps:bodyPr rot="0" spcFirstLastPara="0" vert="horz" wrap="square" lIns="91440" tIns="45720" rIns="91440" bIns="45720" numCol="1" spcCol="0" rtlCol="0" fromWordArt="0" anchor="t" anchorCtr="0" forceAA="0" compatLnSpc="1">
                                <a:noAutofit/>
                              </wps:bodyPr>
                            </wps:wsp>
                            <wps:wsp>
                              <wps:cNvPr id="101" name="文本框 94"/>
                              <wps:cNvSpPr txBox="1"/>
                              <wps:spPr>
                                <a:xfrm>
                                  <a:off x="3964305" y="5232400"/>
                                  <a:ext cx="638810" cy="291465"/>
                                </a:xfrm>
                                <a:prstGeom prst="rect">
                                  <a:avLst/>
                                </a:prstGeom>
                                <a:solidFill>
                                  <a:schemeClr val="lt1"/>
                                </a:solidFill>
                                <a:ln w="6350">
                                  <a:solidFill>
                                    <a:prstClr val="black"/>
                                  </a:solidFill>
                                </a:ln>
                              </wps:spPr>
                              <wps:txbx>
                                <w:txbxContent>
                                  <w:p>
                                    <w:pPr>
                                      <w:ind w:firstLine="0" w:firstLineChars="0"/>
                                      <w:rPr>
                                        <w:rFonts w:hint="eastAsia" w:eastAsia="宋体"/>
                                        <w:lang w:val="en-US" w:eastAsia="zh-CN"/>
                                      </w:rPr>
                                    </w:pPr>
                                    <w:r>
                                      <w:rPr>
                                        <w:rFonts w:hint="eastAsia"/>
                                        <w:lang w:val="en-US" w:eastAsia="zh-CN"/>
                                      </w:rPr>
                                      <w:t>分级</w:t>
                                    </w:r>
                                  </w:p>
                                </w:txbxContent>
                              </wps:txbx>
                              <wps:bodyPr rot="0" spcFirstLastPara="0" vert="horz" wrap="square" lIns="91440" tIns="45720" rIns="91440" bIns="45720" numCol="1" spcCol="0" rtlCol="0" fromWordArt="0" anchor="t" anchorCtr="0" forceAA="0" compatLnSpc="1">
                                <a:noAutofit/>
                              </wps:bodyPr>
                            </wps:wsp>
                            <wps:wsp>
                              <wps:cNvPr id="102" name="直接箭头连接符 140"/>
                              <wps:cNvCnPr/>
                              <wps:spPr>
                                <a:xfrm>
                                  <a:off x="4269325" y="3193433"/>
                                  <a:ext cx="0" cy="287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 name="直接箭头连接符 141"/>
                              <wps:cNvCnPr>
                                <a:stCxn id="145" idx="1"/>
                              </wps:cNvCnPr>
                              <wps:spPr>
                                <a:xfrm flipH="1">
                                  <a:off x="2569140" y="5377007"/>
                                  <a:ext cx="349013" cy="35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 name="直接箭头连接符 142"/>
                              <wps:cNvCnPr/>
                              <wps:spPr>
                                <a:xfrm flipV="1">
                                  <a:off x="814085" y="4232750"/>
                                  <a:ext cx="0" cy="28440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 name="直接箭头连接符 143"/>
                              <wps:cNvCnPr/>
                              <wps:spPr>
                                <a:xfrm>
                                  <a:off x="2297252" y="2234242"/>
                                  <a:ext cx="0" cy="6070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6" name="直接箭头连接符 144"/>
                              <wps:cNvCnPr>
                                <a:stCxn id="139" idx="1"/>
                              </wps:cNvCnPr>
                              <wps:spPr>
                                <a:xfrm flipH="1">
                                  <a:off x="3563953" y="5378683"/>
                                  <a:ext cx="400419" cy="106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 name="文本框 94"/>
                              <wps:cNvSpPr txBox="1"/>
                              <wps:spPr>
                                <a:xfrm>
                                  <a:off x="2918460" y="5231130"/>
                                  <a:ext cx="545465" cy="291465"/>
                                </a:xfrm>
                                <a:prstGeom prst="rect">
                                  <a:avLst/>
                                </a:prstGeom>
                                <a:solidFill>
                                  <a:schemeClr val="lt1"/>
                                </a:solidFill>
                                <a:ln w="6350">
                                  <a:solidFill>
                                    <a:prstClr val="black"/>
                                  </a:solidFill>
                                </a:ln>
                              </wps:spPr>
                              <wps:txbx>
                                <w:txbxContent>
                                  <w:p>
                                    <w:pPr>
                                      <w:ind w:firstLine="0" w:firstLineChars="0"/>
                                    </w:pPr>
                                    <w:r>
                                      <w:rPr>
                                        <w:rFonts w:hint="eastAsia"/>
                                      </w:rPr>
                                      <w:t>包装</w:t>
                                    </w:r>
                                  </w:p>
                                </w:txbxContent>
                              </wps:txbx>
                              <wps:bodyPr rot="0" spcFirstLastPara="0" vert="horz" wrap="square" lIns="91440" tIns="45720" rIns="91440" bIns="45720" numCol="1" spcCol="0" rtlCol="0" fromWordArt="0" anchor="t" anchorCtr="0" forceAA="0" compatLnSpc="1">
                                <a:noAutofit/>
                              </wps:bodyPr>
                            </wps:wsp>
                            <wps:wsp>
                              <wps:cNvPr id="108" name="文本框 94"/>
                              <wps:cNvSpPr txBox="1"/>
                              <wps:spPr>
                                <a:xfrm>
                                  <a:off x="2025650" y="5231765"/>
                                  <a:ext cx="529590" cy="290830"/>
                                </a:xfrm>
                                <a:prstGeom prst="rect">
                                  <a:avLst/>
                                </a:prstGeom>
                                <a:solidFill>
                                  <a:schemeClr val="lt1"/>
                                </a:solidFill>
                                <a:ln w="6350">
                                  <a:solidFill>
                                    <a:prstClr val="black"/>
                                  </a:solidFill>
                                </a:ln>
                              </wps:spPr>
                              <wps:txbx>
                                <w:txbxContent>
                                  <w:p>
                                    <w:pPr>
                                      <w:ind w:firstLine="0" w:firstLineChars="0"/>
                                    </w:pPr>
                                    <w:r>
                                      <w:rPr>
                                        <w:rFonts w:hint="eastAsia"/>
                                      </w:rPr>
                                      <w:t>入库</w:t>
                                    </w:r>
                                  </w:p>
                                </w:txbxContent>
                              </wps:txbx>
                              <wps:bodyPr rot="0" spcFirstLastPara="0" vert="horz" wrap="square" lIns="91440" tIns="45720" rIns="91440" bIns="45720" numCol="1" spcCol="0" rtlCol="0" fromWordArt="0" anchor="t" anchorCtr="0" forceAA="0" compatLnSpc="1">
                                <a:noAutofit/>
                              </wps:bodyPr>
                            </wps:wsp>
                            <wps:wsp>
                              <wps:cNvPr id="109" name="直接箭头连接符 147"/>
                              <wps:cNvCnPr/>
                              <wps:spPr>
                                <a:xfrm flipV="1">
                                  <a:off x="814085" y="3685643"/>
                                  <a:ext cx="0" cy="283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 name="直接箭头连接符 148"/>
                              <wps:cNvCnPr/>
                              <wps:spPr>
                                <a:xfrm flipV="1">
                                  <a:off x="814085" y="3143918"/>
                                  <a:ext cx="0" cy="283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 name="直接箭头连接符 149"/>
                              <wps:cNvCnPr>
                                <a:endCxn id="130" idx="1"/>
                              </wps:cNvCnPr>
                              <wps:spPr>
                                <a:xfrm flipV="1">
                                  <a:off x="1288538" y="3021420"/>
                                  <a:ext cx="740718" cy="3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 name="直接箭头连接符 151"/>
                              <wps:cNvCnPr/>
                              <wps:spPr>
                                <a:xfrm>
                                  <a:off x="2565248" y="3036700"/>
                                  <a:ext cx="4883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 name="直接箭头连接符 152"/>
                              <wps:cNvCnPr/>
                              <wps:spPr>
                                <a:xfrm>
                                  <a:off x="3600418" y="3052174"/>
                                  <a:ext cx="40204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 name="直接箭头连接符 153"/>
                              <wps:cNvCnPr/>
                              <wps:spPr>
                                <a:xfrm>
                                  <a:off x="4298639" y="3780849"/>
                                  <a:ext cx="0" cy="287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 name="直接箭头连接符 154"/>
                              <wps:cNvCnPr/>
                              <wps:spPr>
                                <a:xfrm>
                                  <a:off x="4284717" y="4368398"/>
                                  <a:ext cx="0" cy="287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6" name="直接箭头连接符 155"/>
                              <wps:cNvCnPr/>
                              <wps:spPr>
                                <a:xfrm>
                                  <a:off x="4298639" y="4934946"/>
                                  <a:ext cx="0" cy="2863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 name="直接箭头连接符 156"/>
                              <wps:cNvCnPr/>
                              <wps:spPr>
                                <a:xfrm flipV="1">
                                  <a:off x="1720215" y="4116705"/>
                                  <a:ext cx="28448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 name="直接箭头连接符 158"/>
                              <wps:cNvCnPr/>
                              <wps:spPr>
                                <a:xfrm flipH="1" flipV="1">
                                  <a:off x="3695307" y="4815842"/>
                                  <a:ext cx="324414" cy="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9" name="连接符: 肘形 165"/>
                              <wps:cNvCnPr>
                                <a:stCxn id="94" idx="1"/>
                                <a:endCxn id="345" idx="3"/>
                              </wps:cNvCnPr>
                              <wps:spPr>
                                <a:xfrm rot="10800000" flipV="1">
                                  <a:off x="2770505" y="1149985"/>
                                  <a:ext cx="437515" cy="3175"/>
                                </a:xfrm>
                                <a:prstGeom prst="bentConnector3">
                                  <a:avLst>
                                    <a:gd name="adj1" fmla="val 4992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 name="连接符: 肘形 167"/>
                              <wps:cNvCnPr>
                                <a:stCxn id="342" idx="3"/>
                                <a:endCxn id="94" idx="2"/>
                              </wps:cNvCnPr>
                              <wps:spPr>
                                <a:xfrm flipV="1">
                                  <a:off x="2630037" y="1296447"/>
                                  <a:ext cx="859144" cy="755928"/>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 name="矩形 48"/>
                              <wps:cNvSpPr/>
                              <wps:spPr>
                                <a:xfrm>
                                  <a:off x="52705" y="427355"/>
                                  <a:ext cx="5081270" cy="1996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2" name="矩形 170"/>
                              <wps:cNvSpPr/>
                              <wps:spPr>
                                <a:xfrm>
                                  <a:off x="52422" y="2637138"/>
                                  <a:ext cx="5080635" cy="30476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23" name="文本框 94"/>
                              <wps:cNvSpPr txBox="1"/>
                              <wps:spPr>
                                <a:xfrm>
                                  <a:off x="106923" y="2096884"/>
                                  <a:ext cx="871855" cy="290830"/>
                                </a:xfrm>
                                <a:prstGeom prst="rect">
                                  <a:avLst/>
                                </a:prstGeom>
                                <a:solidFill>
                                  <a:schemeClr val="lt1"/>
                                </a:solidFill>
                                <a:ln w="6350">
                                  <a:noFill/>
                                </a:ln>
                              </wps:spPr>
                              <wps:txbx>
                                <w:txbxContent>
                                  <w:p>
                                    <w:pPr>
                                      <w:ind w:firstLine="0" w:firstLineChars="0"/>
                                    </w:pPr>
                                    <w:r>
                                      <w:rPr>
                                        <w:rFonts w:hint="eastAsia"/>
                                      </w:rPr>
                                      <w:t>锅炉工艺</w:t>
                                    </w:r>
                                  </w:p>
                                </w:txbxContent>
                              </wps:txbx>
                              <wps:bodyPr rot="0" spcFirstLastPara="0" vert="horz" wrap="square" lIns="91440" tIns="45720" rIns="91440" bIns="45720" numCol="1" spcCol="0" rtlCol="0" fromWordArt="0" anchor="t" anchorCtr="0" forceAA="0" compatLnSpc="1">
                                <a:noAutofit/>
                              </wps:bodyPr>
                            </wps:wsp>
                            <wps:wsp>
                              <wps:cNvPr id="127" name="文本框 94"/>
                              <wps:cNvSpPr txBox="1"/>
                              <wps:spPr>
                                <a:xfrm>
                                  <a:off x="86076" y="5377275"/>
                                  <a:ext cx="871855" cy="290195"/>
                                </a:xfrm>
                                <a:prstGeom prst="rect">
                                  <a:avLst/>
                                </a:prstGeom>
                                <a:solidFill>
                                  <a:schemeClr val="lt1"/>
                                </a:solidFill>
                                <a:ln w="6350">
                                  <a:noFill/>
                                </a:ln>
                              </wps:spPr>
                              <wps:txbx>
                                <w:txbxContent>
                                  <w:p>
                                    <w:pPr>
                                      <w:ind w:firstLine="0" w:firstLineChars="0"/>
                                    </w:pPr>
                                    <w:r>
                                      <w:rPr>
                                        <w:rFonts w:hint="eastAsia"/>
                                      </w:rPr>
                                      <w:t>生产工艺</w:t>
                                    </w:r>
                                  </w:p>
                                </w:txbxContent>
                              </wps:txbx>
                              <wps:bodyPr rot="0" spcFirstLastPara="0" vert="horz" wrap="square" lIns="91440" tIns="45720" rIns="91440" bIns="45720" numCol="1" spcCol="0" rtlCol="0" fromWordArt="0" anchor="t" anchorCtr="0" forceAA="0" compatLnSpc="1">
                                <a:noAutofit/>
                              </wps:bodyPr>
                            </wps:wsp>
                            <wps:wsp>
                              <wps:cNvPr id="128" name="文本框 94"/>
                              <wps:cNvSpPr txBox="1"/>
                              <wps:spPr>
                                <a:xfrm>
                                  <a:off x="4015105" y="1556385"/>
                                  <a:ext cx="688975" cy="195580"/>
                                </a:xfrm>
                                <a:prstGeom prst="rect">
                                  <a:avLst/>
                                </a:prstGeom>
                                <a:solidFill>
                                  <a:schemeClr val="lt1"/>
                                </a:solidFill>
                                <a:ln w="6350">
                                  <a:noFill/>
                                </a:ln>
                              </wps:spPr>
                              <wps:txbx>
                                <w:txbxContent>
                                  <w:p>
                                    <w:pPr>
                                      <w:ind w:firstLine="0" w:firstLineChars="0"/>
                                      <w:rPr>
                                        <w:rFonts w:hint="default" w:eastAsia="宋体"/>
                                        <w:sz w:val="15"/>
                                        <w:szCs w:val="15"/>
                                        <w:lang w:val="en-US" w:eastAsia="zh-CN"/>
                                      </w:rPr>
                                    </w:pPr>
                                    <w:r>
                                      <w:rPr>
                                        <w:sz w:val="15"/>
                                        <w:szCs w:val="15"/>
                                      </w:rPr>
                                      <w:t>W</w:t>
                                    </w:r>
                                    <w:r>
                                      <w:rPr>
                                        <w:rFonts w:hint="eastAsia"/>
                                        <w:sz w:val="15"/>
                                        <w:szCs w:val="15"/>
                                        <w:lang w:eastAsia="zh-CN"/>
                                      </w:rPr>
                                      <w:t>、</w:t>
                                    </w:r>
                                    <w:r>
                                      <w:rPr>
                                        <w:rFonts w:hint="eastAsia"/>
                                        <w:sz w:val="15"/>
                                        <w:szCs w:val="15"/>
                                        <w:lang w:val="en-US" w:eastAsia="zh-CN"/>
                                      </w:rPr>
                                      <w:t>N、S</w:t>
                                    </w:r>
                                  </w:p>
                                </w:txbxContent>
                              </wps:txbx>
                              <wps:bodyPr rot="0" spcFirstLastPara="0" vert="horz" wrap="square" lIns="91440" tIns="45720" rIns="91440" bIns="45720" numCol="1" spcCol="0" rtlCol="0" fromWordArt="0" anchor="t" anchorCtr="0" forceAA="0" compatLnSpc="1">
                                <a:noAutofit/>
                              </wps:bodyPr>
                            </wps:wsp>
                            <wps:wsp>
                              <wps:cNvPr id="129" name="直接箭头连接符 47"/>
                              <wps:cNvCnPr>
                                <a:stCxn id="124" idx="2"/>
                                <a:endCxn id="41" idx="0"/>
                              </wps:cNvCnPr>
                              <wps:spPr>
                                <a:xfrm>
                                  <a:off x="4356100" y="1299210"/>
                                  <a:ext cx="381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518.5pt;width:410.3pt;" coordsize="5210810,6584950" editas="canvas" o:gfxdata="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">
                      <o:lock v:ext="edit" aspectratio="f"/>
                      <v:shape id="_x0000_s1026" o:spid="_x0000_s1026" style="position:absolute;left:0;top:0;height:6584950;width:5210810;" fillcolor="#FFFFFF" filled="t" stroked="f" coordsize="21600,21600" o:gfxdata="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">
                        <v:fill on="t" focussize="0,0"/>
                        <v:stroke on="f"/>
                        <v:imagedata o:title=""/>
                        <o:lock v:ext="edit" aspectratio="t"/>
                      </v:shape>
                      <v:shape id="文本框 94" o:spid="_x0000_s1026" o:spt="202" type="#_x0000_t202" style="position:absolute;left:3528545;top:1761041;height:290830;width:648135;" fillcolor="#FFFFFF [3201]" filled="t" stroked="f" coordsize="21600,21600" o:gfxdata="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V/SDy0gAAAAYBAAAPAAAAAAAAAAEA&#10;IAAAACIAAABkcnMvZG93bnJldi54bWxQSwECFAAUAAAACACHTuJAFMQlv04CAABsBAAADgAAAAAA&#10;AAABACAAAAAhAQAAZHJzL2Uyb0RvYy54bWxQSwUGAAAAAAYABgBZAQAA4QUAAAAA&#10;">
                        <v:fill on="t" focussize="0,0"/>
                        <v:stroke on="f" weight="0.5pt"/>
                        <v:imagedata o:title=""/>
                        <o:lock v:ext="edit" aspectratio="f"/>
                        <v:textbox>
                          <w:txbxContent>
                            <w:p>
                              <w:pPr>
                                <w:ind w:firstLine="0" w:firstLineChars="0"/>
                              </w:pPr>
                              <w:r>
                                <w:rPr>
                                  <w:rFonts w:hint="eastAsia"/>
                                </w:rPr>
                                <w:t>冷凝水</w:t>
                              </w:r>
                            </w:p>
                          </w:txbxContent>
                        </v:textbox>
                      </v:shape>
                      <v:shape id="文本框 94" o:spid="_x0000_s1026" o:spt="202" type="#_x0000_t202" style="position:absolute;left:3098930;top:4700244;height:335280;width:690245;" fillcolor="#FFFFFF [3201]" filled="t" stroked="f" coordsize="21600,21600" o:gfxdata="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V/SDy0gAAAAYBAAAPAAAAAAAAAAEA&#10;IAAAACIAAABkcnMvZG93bnJldi54bWxQSwECFAAUAAAACACHTuJAo9JgOE4CAABsBAAADgAAAAAA&#10;AAABACAAAAAhAQAAZHJzL2Uyb0RvYy54bWxQSwUGAAAAAAYABgBZAQAA4QUAAAAA&#10;">
                        <v:fill on="t" focussize="0,0"/>
                        <v:stroke on="f" weight="0.5pt"/>
                        <v:imagedata o:title=""/>
                        <o:lock v:ext="edit" aspectratio="f"/>
                        <v:textbox>
                          <w:txbxContent>
                            <w:p>
                              <w:pPr>
                                <w:ind w:firstLine="0" w:firstLineChars="0"/>
                                <w:rPr>
                                  <w:sz w:val="15"/>
                                  <w:szCs w:val="15"/>
                                </w:rPr>
                              </w:pPr>
                              <w:r>
                                <w:rPr>
                                  <w:rFonts w:hint="eastAsia"/>
                                  <w:sz w:val="15"/>
                                  <w:szCs w:val="15"/>
                                </w:rPr>
                                <w:t>S、</w:t>
                              </w:r>
                              <w:r>
                                <w:rPr>
                                  <w:sz w:val="15"/>
                                  <w:szCs w:val="15"/>
                                </w:rPr>
                                <w:t>N</w:t>
                              </w:r>
                            </w:p>
                          </w:txbxContent>
                        </v:textbox>
                      </v:shape>
                      <v:shape id="文本框 94" o:spid="_x0000_s1026" o:spt="202" type="#_x0000_t202" style="position:absolute;left:1799590;top:4046855;height:335915;width:690245;" fillcolor="#FFFFFF [3201]" filled="t" stroked="f" coordsize="21600,21600" o:gfxdata="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X9IPLSAAAABgEAAA8AAAAAAAAAAQAg&#10;AAAAIgAAAGRycy9kb3ducmV2LnhtbFBLAQIUABQAAAAIAIdO4kBBjJIiTQIAAGwEAAAOAAAAAAAA&#10;AAEAIAAAACEBAABkcnMvZTJvRG9jLnhtbFBLBQYAAAAABgAGAFkBAADgBQAAAAA=&#10;">
                        <v:fill on="t" focussize="0,0"/>
                        <v:stroke on="f" weight="0.5pt"/>
                        <v:imagedata o:title=""/>
                        <o:lock v:ext="edit" aspectratio="f"/>
                        <v:textbox>
                          <w:txbxContent>
                            <w:p>
                              <w:pPr>
                                <w:ind w:firstLine="300"/>
                                <w:rPr>
                                  <w:sz w:val="15"/>
                                  <w:szCs w:val="15"/>
                                </w:rPr>
                              </w:pPr>
                              <w:r>
                                <w:rPr>
                                  <w:rFonts w:hint="eastAsia"/>
                                  <w:sz w:val="15"/>
                                  <w:szCs w:val="15"/>
                                </w:rPr>
                                <w:t>N</w:t>
                              </w:r>
                            </w:p>
                          </w:txbxContent>
                        </v:textbox>
                      </v:shape>
                      <v:shape id="文本框 94" o:spid="_x0000_s1026" o:spt="202" type="#_x0000_t202" style="position:absolute;left:1825310;top:512762;height:335915;width:688975;" fillcolor="#FFFFFF [3201]" filled="t" stroked="f" coordsize="21600,21600" o:gfxdata="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X9IPLSAAAABgEAAA8AAAAAAAAAAQAgAAAA&#10;IgAAAGRycy9kb3ducmV2LnhtbFBLAQIUABQAAAAIAIdO4kBCzWIDSgIAAGsEAAAOAAAAAAAAAAEA&#10;IAAAACEBAABkcnMvZTJvRG9jLnhtbFBLBQYAAAAABgAGAFkBAADdBQAAAAA=&#10;">
                        <v:fill on="t" focussize="0,0"/>
                        <v:stroke on="f" weight="0.5pt"/>
                        <v:imagedata o:title=""/>
                        <o:lock v:ext="edit" aspectratio="f"/>
                        <v:textbox>
                          <w:txbxContent>
                            <w:p>
                              <w:pPr>
                                <w:ind w:firstLine="0" w:firstLineChars="0"/>
                                <w:rPr>
                                  <w:rFonts w:hint="default" w:eastAsia="宋体"/>
                                  <w:sz w:val="15"/>
                                  <w:szCs w:val="15"/>
                                  <w:lang w:val="en-US" w:eastAsia="zh-CN"/>
                                </w:rPr>
                              </w:pPr>
                              <w:r>
                                <w:rPr>
                                  <w:sz w:val="15"/>
                                  <w:szCs w:val="15"/>
                                </w:rPr>
                                <w:t>W</w:t>
                              </w:r>
                              <w:r>
                                <w:rPr>
                                  <w:rFonts w:hint="eastAsia"/>
                                  <w:sz w:val="15"/>
                                  <w:szCs w:val="15"/>
                                  <w:lang w:eastAsia="zh-CN"/>
                                </w:rPr>
                                <w:t>、</w:t>
                              </w:r>
                              <w:r>
                                <w:rPr>
                                  <w:rFonts w:hint="eastAsia"/>
                                  <w:sz w:val="15"/>
                                  <w:szCs w:val="15"/>
                                  <w:lang w:val="en-US" w:eastAsia="zh-CN"/>
                                </w:rPr>
                                <w:t>N、G</w:t>
                              </w:r>
                            </w:p>
                          </w:txbxContent>
                        </v:textbox>
                      </v:shape>
                      <v:shape id="文本框 94" o:spid="_x0000_s1026" o:spt="202" type="#_x0000_t202" style="position:absolute;left:3208516;top:1003277;height:293298;width:561330;" fillcolor="#FFFFFF [3201]" filled="t" stroked="t" coordsize="21600,21600" o:gfxdata="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3rJuv0wAAAAYBAAAPAAAAAAAAAAEAIAAAACIAAABkcnMvZG93bnJldi54bWxQSwECFAAUAAAA&#10;CACHTuJAjuAa2WUCAADEBAAADgAAAAAAAAABACAAAAAiAQAAZHJzL2Uyb0RvYy54bWxQSwUGAAAA&#10;AAYABgBZAQAA+QUAAAAA&#10;">
                        <v:fill on="t" focussize="0,0"/>
                        <v:stroke weight="0.5pt" color="#000000" joinstyle="round"/>
                        <v:imagedata o:title=""/>
                        <o:lock v:ext="edit" aspectratio="f"/>
                        <v:textbox>
                          <w:txbxContent>
                            <w:p>
                              <w:pPr>
                                <w:ind w:firstLine="0" w:firstLineChars="0"/>
                              </w:pPr>
                              <w:r>
                                <w:rPr>
                                  <w:rFonts w:hint="eastAsia"/>
                                </w:rPr>
                                <w:t>水箱</w:t>
                              </w:r>
                            </w:p>
                          </w:txbxContent>
                        </v:textbox>
                      </v:shape>
                      <v:shape id="文本框 94" o:spid="_x0000_s1026" o:spt="202" type="#_x0000_t202" style="position:absolute;left:1939792;top:1906210;height:292735;width:690245;" fillcolor="#FFFFFF [3201]" filled="t" stroked="t" coordsize="21600,21600" o:gfxdata="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esm6/TAAAABgEAAA8AAAAA&#10;AAAAAQAgAAAAIgAAAGRycy9kb3ducmV2LnhtbFBLAQIUABQAAAAIAIdO4kA2rKzGUgIAAJQEAAAO&#10;AAAAAAAAAAEAIAAAACIBAABkcnMvZTJvRG9jLnhtbFBLBQYAAAAABgAGAFkBAADmBQAAAAA=&#10;">
                        <v:fill on="t" focussize="0,0"/>
                        <v:stroke weight="0.5pt" color="#000000" joinstyle="round"/>
                        <v:imagedata o:title=""/>
                        <o:lock v:ext="edit" aspectratio="f"/>
                        <v:textbox>
                          <w:txbxContent>
                            <w:p>
                              <w:pPr>
                                <w:ind w:firstLine="0" w:firstLineChars="0"/>
                              </w:pPr>
                              <w:r>
                                <w:rPr>
                                  <w:rFonts w:hint="eastAsia"/>
                                </w:rPr>
                                <w:t>灭菌器</w:t>
                              </w:r>
                            </w:p>
                          </w:txbxContent>
                        </v:textbox>
                      </v:shape>
                      <v:shape id="文本框 94" o:spid="_x0000_s1026" o:spt="202" type="#_x0000_t202" style="position:absolute;left:4901299;top:1000844;height:292735;width:309952;" fillcolor="#FFFFFF [3201]" filled="t" stroked="f" coordsize="21600,21600" o:gfxdata="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X9IPLSAAAABgEAAA8AAAAAAAAAAQAg&#10;AAAAIgAAAGRycy9kb3ducmV2LnhtbFBLAQIUABQAAAAIAIdO4kDnX4LQTQIAAGwEAAAOAAAAAAAA&#10;AAEAIAAAACEBAABkcnMvZTJvRG9jLnhtbFBLBQYAAAAABgAGAFkBAADgBQAAAAA=&#10;">
                        <v:fill on="t" focussize="0,0"/>
                        <v:stroke on="f" weight="0.5pt"/>
                        <v:imagedata o:title=""/>
                        <o:lock v:ext="edit" aspectratio="f"/>
                        <v:textbox>
                          <w:txbxContent>
                            <w:p>
                              <w:pPr>
                                <w:ind w:firstLine="0" w:firstLineChars="0"/>
                              </w:pPr>
                              <w:r>
                                <w:rPr>
                                  <w:rFonts w:hint="eastAsia"/>
                                </w:rPr>
                                <w:t>水</w:t>
                              </w:r>
                            </w:p>
                          </w:txbxContent>
                        </v:textbox>
                      </v:shape>
                      <v:shape id="文本框 94" o:spid="_x0000_s1026" o:spt="202" type="#_x0000_t202" style="position:absolute;left:1784350;top:1004570;height:292735;width:986790;" fillcolor="#FFFFFF [3201]" filled="t" stroked="t" coordsize="21600,21600" o:gfxdata="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96ybr9MAAAAGAQAADwAAAAAAAAAB&#10;ACAAAAAiAAAAZHJzL2Rvd25yZXYueG1sUEsBAhQAFAAAAAgAh07iQOjTuB5OAgAAlAQAAA4AAAAA&#10;AAAAAQAgAAAAIgEAAGRycy9lMm9Eb2MueG1sUEsFBgAAAAAGAAYAWQEAAOIFAAAAAA==&#10;">
                        <v:fill on="t" focussize="0,0"/>
                        <v:stroke weight="0.5pt" color="#000000" joinstyle="round"/>
                        <v:imagedata o:title=""/>
                        <o:lock v:ext="edit" aspectratio="f"/>
                        <v:textbox>
                          <w:txbxContent>
                            <w:p>
                              <w:pPr>
                                <w:ind w:firstLine="0" w:firstLineChars="0"/>
                              </w:pPr>
                              <w:r>
                                <w:rPr>
                                  <w:rFonts w:hint="eastAsia"/>
                                  <w:lang w:val="en-US" w:eastAsia="zh-CN"/>
                                </w:rPr>
                                <w:t>生物质</w:t>
                              </w:r>
                              <w:r>
                                <w:rPr>
                                  <w:rFonts w:hint="eastAsia"/>
                                </w:rPr>
                                <w:t>锅炉</w:t>
                              </w:r>
                            </w:p>
                          </w:txbxContent>
                        </v:textbox>
                      </v:shape>
                      <v:shape id="文本框 94" o:spid="_x0000_s1026" o:spt="202" type="#_x0000_t202" style="position:absolute;left:327025;top:1014095;height:292735;width:690245;" fillcolor="#FFFFFF [3201]" filled="t" stroked="f" coordsize="21600,21600" o:gfxdata="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1f0g8tIAAAAGAQAADwAAAAAAAAABACAA&#10;AAAiAAAAZHJzL2Rvd25yZXYueG1sUEsBAhQAFAAAAAgAh07iQBu6TJpMAgAAawQAAA4AAAAAAAAA&#10;AQAgAAAAIQEAAGRycy9lMm9Eb2MueG1sUEsFBgAAAAAGAAYAWQEAAN8FAAAAAA==&#10;">
                        <v:fill on="t" focussize="0,0"/>
                        <v:stroke on="f" weight="0.5pt"/>
                        <v:imagedata o:title=""/>
                        <o:lock v:ext="edit" aspectratio="f"/>
                        <v:textbox>
                          <w:txbxContent>
                            <w:p>
                              <w:pPr>
                                <w:ind w:firstLine="0" w:firstLineChars="0"/>
                                <w:rPr>
                                  <w:rFonts w:hint="eastAsia" w:eastAsia="宋体"/>
                                  <w:lang w:val="en-US" w:eastAsia="zh-CN"/>
                                </w:rPr>
                              </w:pPr>
                              <w:r>
                                <w:rPr>
                                  <w:rFonts w:hint="eastAsia"/>
                                  <w:lang w:val="en-US" w:eastAsia="zh-CN"/>
                                </w:rPr>
                                <w:t>生物质</w:t>
                              </w:r>
                            </w:p>
                          </w:txbxContent>
                        </v:textbox>
                      </v:shape>
                      <v:shape id="直接箭头连接符 97" o:spid="_x0000_s1026" o:spt="32" type="#_x0000_t32" style="position:absolute;left:4718419;top:1147197;flip:x;height:5715;width:182880;" filled="f" stroked="t" coordsize="21600,21600" o:gfxdata="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LsgQ1gAAAAYBAAAPAAAAAAAAAAEAIAAAACIAAABkcnMvZG93bnJldi54bWxQSwECFAAU&#10;AAAACACHTuJACPF8vCwCAAAoBAAADgAAAAAAAAABACAAAAAlAQAAZHJzL2Uyb0RvYy54bWxQSwUG&#10;AAAAAAYABgBZAQAAwwUAAAAA&#10;">
                        <v:fill on="f" focussize="0,0"/>
                        <v:stroke color="#000000 [3213]" joinstyle="round" endarrow="block"/>
                        <v:imagedata o:title=""/>
                        <o:lock v:ext="edit" aspectratio="f"/>
                      </v:shape>
                      <v:shape id="直接箭头连接符 353" o:spid="_x0000_s1026" o:spt="32" type="#_x0000_t32" style="position:absolute;left:962767;top:1144457;height:6985;width:821690;" filled="f" stroked="t" coordsize="21600,21600" o:gfxdata="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k2bzbWAAAABgEA&#10;AA8AAAAAAAAAAQAgAAAAIgAAAGRycy9kb3ducmV2LnhtbFBLAQIUABQAAAAIAIdO4kD//G/4HAIA&#10;AAMEAAAOAAAAAAAAAAEAIAAAACUBAABkcnMvZTJvRG9jLnhtbFBLBQYAAAAABgAGAFkBAACzBQAA&#10;AAA=&#10;">
                        <v:fill on="f" focussize="0,0"/>
                        <v:stroke color="#000000 [3213]" joinstyle="round" endarrow="block"/>
                        <v:imagedata o:title=""/>
                        <o:lock v:ext="edit" aspectratio="f"/>
                      </v:shape>
                      <v:shape id="直接箭头连接符 354" o:spid="_x0000_s1026" o:spt="32" type="#_x0000_t32" style="position:absolute;left:2283233;top:1297737;height:608330;width:1270;" filled="f" stroked="t" coordsize="21600,21600" o:gfxdata="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pNm821gAA&#10;AAYBAAAPAAAAAAAAAAEAIAAAACIAAABkcnMvZG93bnJldi54bWxQSwECFAAUAAAACACHTuJAnwjS&#10;miACAAAEBAAADgAAAAAAAAABACAAAAAlAQAAZHJzL2Uyb0RvYy54bWxQSwUGAAAAAAYABgBZAQAA&#10;twUAAAAA&#10;">
                        <v:fill on="f" focussize="0,0"/>
                        <v:stroke color="#000000 [3213]" joinstyle="round" endarrow="block"/>
                        <v:imagedata o:title=""/>
                        <o:lock v:ext="edit" aspectratio="f"/>
                      </v:shape>
                      <v:shape id="文本框 94" o:spid="_x0000_s1026" o:spt="202" type="#_x0000_t202" style="position:absolute;left:4298316;top:5782674;height:833785;width:727166;" fillcolor="#FFFFFF [3201]" filled="t" stroked="f" coordsize="21600,21600" o:gfxdata="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X9IPLSAAAABgEAAA8AAAAAAAAAAQAg&#10;AAAAIgAAAGRycy9kb3ducmV2LnhtbFBLAQIUABQAAAAIAIdO4kCMWN4oTQIAAGwEAAAOAAAAAAAA&#10;AAEAIAAAACEBAABkcnMvZTJvRG9jLnhtbFBLBQYAAAAABgAGAFkBAADgBQAAAAA=&#10;">
                        <v:fill on="t" focussize="0,0"/>
                        <v:stroke on="f" weight="0.5pt"/>
                        <v:imagedata o:title=""/>
                        <o:lock v:ext="edit" aspectratio="f"/>
                        <v:textbox>
                          <w:txbxContent>
                            <w:p>
                              <w:pPr>
                                <w:ind w:firstLine="0" w:firstLineChars="0"/>
                                <w:rPr>
                                  <w:sz w:val="16"/>
                                  <w:szCs w:val="16"/>
                                </w:rPr>
                              </w:pPr>
                              <w:r>
                                <w:rPr>
                                  <w:sz w:val="16"/>
                                  <w:szCs w:val="16"/>
                                </w:rPr>
                                <w:t>N---</w:t>
                              </w:r>
                              <w:r>
                                <w:rPr>
                                  <w:rFonts w:hint="eastAsia"/>
                                  <w:sz w:val="16"/>
                                  <w:szCs w:val="16"/>
                                </w:rPr>
                                <w:t>噪声</w:t>
                              </w:r>
                            </w:p>
                            <w:p>
                              <w:pPr>
                                <w:ind w:firstLine="0" w:firstLineChars="0"/>
                                <w:rPr>
                                  <w:sz w:val="16"/>
                                  <w:szCs w:val="16"/>
                                </w:rPr>
                              </w:pPr>
                              <w:r>
                                <w:rPr>
                                  <w:rFonts w:hint="eastAsia"/>
                                  <w:sz w:val="16"/>
                                  <w:szCs w:val="16"/>
                                </w:rPr>
                                <w:t>W</w:t>
                              </w:r>
                              <w:r>
                                <w:rPr>
                                  <w:sz w:val="16"/>
                                  <w:szCs w:val="16"/>
                                </w:rPr>
                                <w:t>---</w:t>
                              </w:r>
                              <w:r>
                                <w:rPr>
                                  <w:rFonts w:hint="eastAsia"/>
                                  <w:sz w:val="16"/>
                                  <w:szCs w:val="16"/>
                                </w:rPr>
                                <w:t>废水</w:t>
                              </w:r>
                            </w:p>
                            <w:p>
                              <w:pPr>
                                <w:ind w:firstLine="0" w:firstLineChars="0"/>
                                <w:rPr>
                                  <w:sz w:val="16"/>
                                  <w:szCs w:val="16"/>
                                </w:rPr>
                              </w:pPr>
                              <w:r>
                                <w:rPr>
                                  <w:rFonts w:hint="eastAsia"/>
                                  <w:sz w:val="16"/>
                                  <w:szCs w:val="16"/>
                                </w:rPr>
                                <w:t>G</w:t>
                              </w:r>
                              <w:r>
                                <w:rPr>
                                  <w:sz w:val="16"/>
                                  <w:szCs w:val="16"/>
                                </w:rPr>
                                <w:t>---</w:t>
                              </w:r>
                              <w:r>
                                <w:rPr>
                                  <w:rFonts w:hint="eastAsia"/>
                                  <w:sz w:val="16"/>
                                  <w:szCs w:val="16"/>
                                </w:rPr>
                                <w:t>废气</w:t>
                              </w:r>
                            </w:p>
                            <w:p>
                              <w:pPr>
                                <w:ind w:firstLine="0" w:firstLineChars="0"/>
                                <w:rPr>
                                  <w:sz w:val="16"/>
                                  <w:szCs w:val="16"/>
                                </w:rPr>
                              </w:pPr>
                              <w:r>
                                <w:rPr>
                                  <w:rFonts w:hint="eastAsia"/>
                                  <w:sz w:val="16"/>
                                  <w:szCs w:val="16"/>
                                </w:rPr>
                                <w:t>S</w:t>
                              </w:r>
                              <w:r>
                                <w:rPr>
                                  <w:sz w:val="16"/>
                                  <w:szCs w:val="16"/>
                                </w:rPr>
                                <w:t>---</w:t>
                              </w:r>
                              <w:r>
                                <w:rPr>
                                  <w:rFonts w:hint="eastAsia"/>
                                  <w:sz w:val="16"/>
                                  <w:szCs w:val="16"/>
                                </w:rPr>
                                <w:t>固废</w:t>
                              </w:r>
                            </w:p>
                          </w:txbxContent>
                        </v:textbox>
                      </v:shape>
                      <v:shape id="直接箭头连接符 359" o:spid="_x0000_s1026" o:spt="32" type="#_x0000_t32" style="position:absolute;left:2010436;top:728849;flip:y;height:263525;width:0;" filled="f" stroked="t" coordsize="21600,21600" o:gfxdata="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LsgQ1gAAAAYBAAAPAAAAAAAAAAEAIAAA&#10;ACIAAABkcnMvZG93bnJldi54bWxQSwECFAAUAAAACACHTuJARJypOA4CAADhAwAADgAAAAAAAAAB&#10;ACAAAAAlAQAAZHJzL2Uyb0RvYy54bWxQSwUGAAAAAAYABgBZAQAApQUAAAAA&#10;">
                        <v:fill on="f" focussize="0,0"/>
                        <v:stroke color="#000000 [3213]" joinstyle="round" endarrow="block"/>
                        <v:imagedata o:title=""/>
                        <o:lock v:ext="edit" aspectratio="f"/>
                      </v:shape>
                      <v:shape id="文本框 94" o:spid="_x0000_s1026" o:spt="202" type="#_x0000_t202" style="position:absolute;left:3993515;top:1007110;height:292100;width:725170;" fillcolor="#FFFFFF [3201]" filled="t" stroked="t" coordsize="21600,21600" o:gfxdata="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3rJuv0wAAAAYBAAAPAAAA&#10;AAAAAAEAIAAAACIAAABkcnMvZG93bnJldi54bWxQSwECFAAUAAAACACHTuJA456ZvFMCAACUBAAA&#10;DgAAAAAAAAABACAAAAAiAQAAZHJzL2Uyb0RvYy54bWxQSwUGAAAAAAYABgBZAQAA5wUAAAAA&#10;">
                        <v:fill on="t" focussize="0,0"/>
                        <v:stroke weight="0.5pt" color="#000000" joinstyle="round"/>
                        <v:imagedata o:title=""/>
                        <o:lock v:ext="edit" aspectratio="f"/>
                        <v:textbox>
                          <w:txbxContent>
                            <w:p>
                              <w:pPr>
                                <w:ind w:firstLine="0" w:firstLineChars="0"/>
                              </w:pPr>
                              <w:r>
                                <w:rPr>
                                  <w:rFonts w:hint="eastAsia"/>
                                </w:rPr>
                                <w:t>软水机</w:t>
                              </w:r>
                            </w:p>
                          </w:txbxContent>
                        </v:textbox>
                      </v:shape>
                      <v:shape id="直接箭头连接符 125" o:spid="_x0000_s1026" o:spt="32" type="#_x0000_t32" style="position:absolute;left:3779175;top:1147029;flip:x y;height:6350;width:214630;" filled="f" stroked="t" coordsize="21600,21600" o:gfxdata="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B9HHh1gAAAAYBAAAPAAAAAAAAAAEAIAAAACIAAABkcnMvZG93bnJldi54bWxQSwECFAAUAAAA&#10;CACHTuJAvvbrOikCAAAXBAAADgAAAAAAAAABACAAAAAlAQAAZHJzL2Uyb0RvYy54bWxQSwUGAAAA&#10;AAYABgBZAQAAwAUAAAAA&#10;">
                        <v:fill on="f" focussize="0,0"/>
                        <v:stroke color="#000000 [3213]" joinstyle="round" endarrow="block"/>
                        <v:imagedata o:title=""/>
                        <o:lock v:ext="edit" aspectratio="f"/>
                      </v:shape>
                      <v:shape id="文本框 94" o:spid="_x0000_s1026" o:spt="202" type="#_x0000_t202" style="position:absolute;left:554138;top:4512229;height:292100;width:501487;" fillcolor="#FFFFFF [3201]" filled="t" stroked="t" coordsize="21600,21600" o:gfxdata="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esm6/TAAAABgEAAA8A&#10;AAAAAAAAAQAgAAAAIgAAAGRycy9kb3ducmV2LnhtbFBLAQIUABQAAAAIAIdO4kBG57YiVQIAAJME&#10;AAAOAAAAAAAAAAEAIAAAACIBAABkcnMvZTJvRG9jLnhtbFBLBQYAAAAABgAGAFkBAADpBQAAAAA=&#10;">
                        <v:fill on="t" focussize="0,0"/>
                        <v:stroke weight="0.5pt" color="#000000" joinstyle="round"/>
                        <v:imagedata o:title=""/>
                        <o:lock v:ext="edit" aspectratio="f"/>
                        <v:textbox>
                          <w:txbxContent>
                            <w:p>
                              <w:pPr>
                                <w:ind w:firstLine="0" w:firstLineChars="0"/>
                              </w:pPr>
                              <w:r>
                                <w:rPr>
                                  <w:rFonts w:hint="eastAsia"/>
                                </w:rPr>
                                <w:t>配料</w:t>
                              </w:r>
                            </w:p>
                          </w:txbxContent>
                        </v:textbox>
                      </v:shape>
                      <v:shape id="文本框 94" o:spid="_x0000_s1026" o:spt="202" type="#_x0000_t202" style="position:absolute;left:2029256;top:2875905;height:291465;width:535992;" fillcolor="#FFFFFF [3201]" filled="t" stroked="t" coordsize="21600,21600" o:gfxdata="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esm6/TAAAABgEAAA8A&#10;AAAAAAAAAQAgAAAAIgAAAGRycy9kb3ducmV2LnhtbFBLAQIUABQAAAAIAIdO4kDlgnCpVQIAAJQE&#10;AAAOAAAAAAAAAAEAIAAAACIBAABkcnMvZTJvRG9jLnhtbFBLBQYAAAAABgAGAFkBAADpBQAAAAA=&#10;">
                        <v:fill on="t" focussize="0,0"/>
                        <v:stroke weight="0.5pt" color="#000000" joinstyle="round"/>
                        <v:imagedata o:title=""/>
                        <o:lock v:ext="edit" aspectratio="f"/>
                        <v:textbox>
                          <w:txbxContent>
                            <w:p>
                              <w:pPr>
                                <w:ind w:firstLine="0" w:firstLineChars="0"/>
                              </w:pPr>
                              <w:r>
                                <w:rPr>
                                  <w:rFonts w:hint="eastAsia"/>
                                </w:rPr>
                                <w:t>灭菌</w:t>
                              </w:r>
                            </w:p>
                          </w:txbxContent>
                        </v:textbox>
                      </v:shape>
                      <v:shape id="文本框 94" o:spid="_x0000_s1026" o:spt="202" type="#_x0000_t202" style="position:absolute;left:441960;top:3969385;height:291465;width:1227455;" fillcolor="#FFFFFF [3201]" filled="t" stroked="t" coordsize="21600,21600" o:gfxdata="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esm6/TAAAABgEAAA8A&#10;AAAAAAAAAQAgAAAAIgAAAGRycy9kb3ducmV2LnhtbFBLAQIUABQAAAAIAIdO4kAzPaqFVQIAAJQE&#10;AAAOAAAAAAAAAAEAIAAAACIBAABkcnMvZTJvRG9jLnhtbFBLBQYAAAAABgAGAFkBAADpBQAAAAA=&#10;">
                        <v:fill on="t" focussize="0,0"/>
                        <v:stroke weight="0.5pt" color="#000000" joinstyle="round"/>
                        <v:imagedata o:title=""/>
                        <o:lock v:ext="edit" aspectratio="f"/>
                        <v:textbox>
                          <w:txbxContent>
                            <w:p>
                              <w:pPr>
                                <w:ind w:firstLine="0" w:firstLineChars="0"/>
                                <w:rPr>
                                  <w:rFonts w:hint="default" w:eastAsia="宋体"/>
                                  <w:lang w:val="en-US" w:eastAsia="zh-CN"/>
                                </w:rPr>
                              </w:pPr>
                              <w:r>
                                <w:rPr>
                                  <w:rFonts w:hint="eastAsia"/>
                                  <w:lang w:val="en-US" w:eastAsia="zh-CN"/>
                                </w:rPr>
                                <w:t>主料堆料预湿</w:t>
                              </w:r>
                            </w:p>
                          </w:txbxContent>
                        </v:textbox>
                      </v:shape>
                      <v:shape id="文本框 94" o:spid="_x0000_s1026" o:spt="202" type="#_x0000_t202" style="position:absolute;left:369593;top:3413043;height:291465;width:900538;" fillcolor="#FFFFFF [3201]" filled="t" stroked="t" coordsize="21600,21600" o:gfxdata="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esm6/TAAAABgEAAA8AAAAA&#10;AAAAAQAgAAAAIgAAAGRycy9kb3ducmV2LnhtbFBLAQIUABQAAAAIAIdO4kAaejIMUgIAAJMEAAAO&#10;AAAAAAAAAAEAIAAAACIBAABkcnMvZTJvRG9jLnhtbFBLBQYAAAAABgAGAFkBAADmBQAAAAA=&#10;">
                        <v:fill on="t" focussize="0,0"/>
                        <v:stroke weight="0.5pt" color="#000000" joinstyle="round"/>
                        <v:imagedata o:title=""/>
                        <o:lock v:ext="edit" aspectratio="f"/>
                        <v:textbox>
                          <w:txbxContent>
                            <w:p>
                              <w:pPr>
                                <w:ind w:firstLine="0" w:firstLineChars="0"/>
                              </w:pPr>
                              <w:r>
                                <w:rPr>
                                  <w:rFonts w:hint="eastAsia"/>
                                </w:rPr>
                                <w:t>装瓶打孔</w:t>
                              </w:r>
                            </w:p>
                          </w:txbxContent>
                        </v:textbox>
                      </v:shape>
                      <v:shape id="文本框 94" o:spid="_x0000_s1026" o:spt="202" type="#_x0000_t202" style="position:absolute;left:4045599;top:4068507;height:291465;width:520976;" fillcolor="#FFFFFF [3201]" filled="t" stroked="t" coordsize="21600,21600" o:gfxdata="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3rJuv0wAAAAYBAAAPAAAA&#10;AAAAAAEAIAAAACIAAABkcnMvZG93bnJldi54bWxQSwECFAAUAAAACACHTuJAzaTGDlMCAACUBAAA&#10;DgAAAAAAAAABACAAAAAiAQAAZHJzL2Uyb0RvYy54bWxQSwUGAAAAAAYABgBZAQAA5wUAAAAA&#10;">
                        <v:fill on="t" focussize="0,0"/>
                        <v:stroke weight="0.5pt" color="#000000" joinstyle="round"/>
                        <v:imagedata o:title=""/>
                        <o:lock v:ext="edit" aspectratio="f"/>
                        <v:textbox>
                          <w:txbxContent>
                            <w:p>
                              <w:pPr>
                                <w:ind w:firstLine="0" w:firstLineChars="0"/>
                                <w:rPr>
                                  <w:rFonts w:hint="eastAsia" w:eastAsia="宋体"/>
                                  <w:lang w:val="en-US" w:eastAsia="zh-CN"/>
                                </w:rPr>
                              </w:pPr>
                              <w:r>
                                <w:rPr>
                                  <w:rFonts w:hint="eastAsia"/>
                                  <w:lang w:val="en-US" w:eastAsia="zh-CN"/>
                                </w:rPr>
                                <w:t>出菇</w:t>
                              </w:r>
                            </w:p>
                          </w:txbxContent>
                        </v:textbox>
                      </v:shape>
                      <v:shape id="文本框 94" o:spid="_x0000_s1026" o:spt="202" type="#_x0000_t202" style="position:absolute;left:379374;top:2879358;height:291465;width:909164;" fillcolor="#FFFFFF [3201]" filled="t" stroked="t" coordsize="21600,21600" o:gfxdata="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3rJuv0wAAAAYBAAAPAAAAAAAA&#10;AAEAIAAAACIAAABkcnMvZG93bnJldi54bWxQSwECFAAUAAAACACHTuJAeit9VlACAACTBAAADgAA&#10;AAAAAAABACAAAAAiAQAAZHJzL2Uyb0RvYy54bWxQSwUGAAAAAAYABgBZAQAA5AUAAAAA&#10;">
                        <v:fill on="t" focussize="0,0"/>
                        <v:stroke weight="0.5pt" color="#000000" joinstyle="round"/>
                        <v:imagedata o:title=""/>
                        <o:lock v:ext="edit" aspectratio="f"/>
                        <v:textbox>
                          <w:txbxContent>
                            <w:p>
                              <w:pPr>
                                <w:ind w:firstLine="0" w:firstLineChars="0"/>
                              </w:pPr>
                              <w:r>
                                <w:rPr>
                                  <w:rFonts w:hint="eastAsia"/>
                                </w:rPr>
                                <w:t>装盖码垛</w:t>
                              </w:r>
                              <w:r>
                                <w:cr/>
                              </w:r>
                            </w:p>
                          </w:txbxContent>
                        </v:textbox>
                      </v:shape>
                      <v:shape id="文本框 94" o:spid="_x0000_s1026" o:spt="202" type="#_x0000_t202" style="position:absolute;left:4019721;top:3489424;height:291465;width:526211;" fillcolor="#FFFFFF [3201]" filled="t" stroked="t" coordsize="21600,21600" o:gfxdata="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96ybr9MAAAAGAQAADwAA&#10;AAAAAAABACAAAAAiAAAAZHJzL2Rvd25yZXYueG1sUEsBAhQAFAAAAAgAh07iQBTsueVUAgAAlAQA&#10;AA4AAAAAAAAAAQAgAAAAIgEAAGRycy9lMm9Eb2MueG1sUEsFBgAAAAAGAAYAWQEAAOgFAAAAAA==&#10;">
                        <v:fill on="t" focussize="0,0"/>
                        <v:stroke weight="0.5pt" color="#000000" joinstyle="round"/>
                        <v:imagedata o:title=""/>
                        <o:lock v:ext="edit" aspectratio="f"/>
                        <v:textbox>
                          <w:txbxContent>
                            <w:p>
                              <w:pPr>
                                <w:ind w:firstLine="0" w:firstLineChars="0"/>
                                <w:rPr>
                                  <w:rFonts w:hint="eastAsia" w:eastAsia="宋体"/>
                                  <w:lang w:val="en-US" w:eastAsia="zh-CN"/>
                                </w:rPr>
                              </w:pPr>
                              <w:r>
                                <w:rPr>
                                  <w:rFonts w:hint="eastAsia"/>
                                  <w:lang w:val="en-US" w:eastAsia="zh-CN"/>
                                </w:rPr>
                                <w:t>培养</w:t>
                              </w:r>
                            </w:p>
                          </w:txbxContent>
                        </v:textbox>
                      </v:shape>
                      <v:shape id="文本框 94" o:spid="_x0000_s1026" o:spt="202" type="#_x0000_t202" style="position:absolute;left:4019721;top:4643519;height:291465;width:529602;" fillcolor="#FFFFFF [3201]" filled="t" stroked="t" coordsize="21600,21600" o:gfxdata="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3rJuv0wAAAAYBAAAPAAAA&#10;AAAAAAEAIAAAACIAAABkcnMvZG93bnJldi54bWxQSwECFAAUAAAACACHTuJA2OuDTlMCAACUBAAA&#10;DgAAAAAAAAABACAAAAAiAQAAZHJzL2Uyb0RvYy54bWxQSwUGAAAAAAYABgBZAQAA5wUAAAAA&#10;">
                        <v:fill on="t" focussize="0,0"/>
                        <v:stroke weight="0.5pt" color="#000000" joinstyle="round"/>
                        <v:imagedata o:title=""/>
                        <o:lock v:ext="edit" aspectratio="f"/>
                        <v:textbox>
                          <w:txbxContent>
                            <w:p>
                              <w:pPr>
                                <w:ind w:firstLine="0" w:firstLineChars="0"/>
                                <w:rPr>
                                  <w:rFonts w:hint="default" w:eastAsia="宋体"/>
                                  <w:lang w:val="en-US" w:eastAsia="zh-CN"/>
                                </w:rPr>
                              </w:pPr>
                              <w:r>
                                <w:rPr>
                                  <w:rFonts w:hint="eastAsia"/>
                                  <w:lang w:val="en-US" w:eastAsia="zh-CN"/>
                                </w:rPr>
                                <w:t>采收</w:t>
                              </w:r>
                            </w:p>
                          </w:txbxContent>
                        </v:textbox>
                      </v:shape>
                      <v:shape id="文本框 94" o:spid="_x0000_s1026" o:spt="202" type="#_x0000_t202" style="position:absolute;left:4002467;top:2901966;height:291465;width:564108;" fillcolor="#FFFFFF [3201]" filled="t" stroked="t" coordsize="21600,21600" o:gfxdata="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esm6/TAAAABgEAAA8AAAAA&#10;AAAAAQAgAAAAIgAAAGRycy9kb3ducmV2LnhtbFBLAQIUABQAAAAIAIdO4kCZVP8FUgIAAJQEAAAO&#10;AAAAAAAAAAEAIAAAACIBAABkcnMvZTJvRG9jLnhtbFBLBQYAAAAABgAGAFkBAADmBQAAAAA=&#10;">
                        <v:fill on="t" focussize="0,0"/>
                        <v:stroke weight="0.5pt" color="#000000" joinstyle="round"/>
                        <v:imagedata o:title=""/>
                        <o:lock v:ext="edit" aspectratio="f"/>
                        <v:textbox>
                          <w:txbxContent>
                            <w:p>
                              <w:pPr>
                                <w:ind w:firstLine="0" w:firstLineChars="0"/>
                              </w:pPr>
                              <w:r>
                                <w:rPr>
                                  <w:rFonts w:hint="eastAsia"/>
                                </w:rPr>
                                <w:t>接种</w:t>
                              </w:r>
                            </w:p>
                          </w:txbxContent>
                        </v:textbox>
                      </v:shape>
                      <v:shape id="文本框 94" o:spid="_x0000_s1026" o:spt="202" type="#_x0000_t202" style="position:absolute;left:3053563;top:2879462;height:291465;width:546855;" fillcolor="#FFFFFF [3201]" filled="t" stroked="t" coordsize="21600,21600" o:gfxdata="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96ybr9MAAAAGAQAADwAA&#10;AAAAAAABACAAAAAiAAAAZHJzL2Rvd25yZXYueG1sUEsBAhQAFAAAAAgAh07iQALibfBUAgAAlQQA&#10;AA4AAAAAAAAAAQAgAAAAIgEAAGRycy9lMm9Eb2MueG1sUEsFBgAAAAAGAAYAWQEAAOgFAAAAAA==&#10;">
                        <v:fill on="t" focussize="0,0"/>
                        <v:stroke weight="0.5pt" color="#000000" joinstyle="round"/>
                        <v:imagedata o:title=""/>
                        <o:lock v:ext="edit" aspectratio="f"/>
                        <v:textbox>
                          <w:txbxContent>
                            <w:p>
                              <w:pPr>
                                <w:ind w:firstLine="0" w:firstLineChars="0"/>
                              </w:pPr>
                              <w:r>
                                <w:rPr>
                                  <w:rFonts w:hint="eastAsia"/>
                                </w:rPr>
                                <w:t>冷却</w:t>
                              </w:r>
                            </w:p>
                          </w:txbxContent>
                        </v:textbox>
                      </v:shape>
                      <v:shape id="文本框 94" o:spid="_x0000_s1026" o:spt="202" type="#_x0000_t202" style="position:absolute;left:3964305;top:5232400;height:291465;width:638810;" fillcolor="#FFFFFF [3201]" filled="t" stroked="t" coordsize="21600,21600" o:gfxdata="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96ybr9MAAAAGAQAADwAAAAAA&#10;AAABACAAAAAiAAAAZHJzL2Rvd25yZXYueG1sUEsBAhQAFAAAAAgAh07iQIIShgJRAgAAlQQAAA4A&#10;AAAAAAAAAQAgAAAAIgEAAGRycy9lMm9Eb2MueG1sUEsFBgAAAAAGAAYAWQEAAOUFAAAAAA==&#10;">
                        <v:fill on="t" focussize="0,0"/>
                        <v:stroke weight="0.5pt" color="#000000" joinstyle="round"/>
                        <v:imagedata o:title=""/>
                        <o:lock v:ext="edit" aspectratio="f"/>
                        <v:textbox>
                          <w:txbxContent>
                            <w:p>
                              <w:pPr>
                                <w:ind w:firstLine="0" w:firstLineChars="0"/>
                                <w:rPr>
                                  <w:rFonts w:hint="eastAsia" w:eastAsia="宋体"/>
                                  <w:lang w:val="en-US" w:eastAsia="zh-CN"/>
                                </w:rPr>
                              </w:pPr>
                              <w:r>
                                <w:rPr>
                                  <w:rFonts w:hint="eastAsia"/>
                                  <w:lang w:val="en-US" w:eastAsia="zh-CN"/>
                                </w:rPr>
                                <w:t>分级</w:t>
                              </w:r>
                            </w:p>
                          </w:txbxContent>
                        </v:textbox>
                      </v:shape>
                      <v:shape id="直接箭头连接符 140" o:spid="_x0000_s1026" o:spt="32" type="#_x0000_t32" style="position:absolute;left:4269325;top:3193433;height:287850;width:0;" filled="f" stroked="t" coordsize="21600,21600" o:gfxdata="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pNm821gAAAAYBAAAPAAAAAAAAAAEAIAAAACIA&#10;AABkcnMvZG93bnJldi54bWxQSwECFAAUAAAACACHTuJAPFFZvQsCAADZAwAADgAAAAAAAAABACAA&#10;AAAlAQAAZHJzL2Uyb0RvYy54bWxQSwUGAAAAAAYABgBZAQAAogUAAAAA&#10;">
                        <v:fill on="f" focussize="0,0"/>
                        <v:stroke color="#000000 [3213]" joinstyle="round" endarrow="block"/>
                        <v:imagedata o:title=""/>
                        <o:lock v:ext="edit" aspectratio="f"/>
                      </v:shape>
                      <v:shape id="直接箭头连接符 141" o:spid="_x0000_s1026" o:spt="32" type="#_x0000_t32" style="position:absolute;left:2569140;top:5377007;flip:x;height:357;width:349013;" filled="f" stroked="t" coordsize="21600,21600" o:gfxdata="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2S7I&#10;ENYAAAAGAQAADwAAAAAAAAABACAAAAAiAAAAZHJzL2Rvd25yZXYueG1sUEsBAhQAFAAAAAgAh07i&#10;QMuaUKckAgAADQQAAA4AAAAAAAAAAQAgAAAAJQEAAGRycy9lMm9Eb2MueG1sUEsFBgAAAAAGAAYA&#10;WQEAALsFAAAAAA==&#10;">
                        <v:fill on="f" focussize="0,0"/>
                        <v:stroke color="#000000 [3213]" joinstyle="round" endarrow="block"/>
                        <v:imagedata o:title=""/>
                        <o:lock v:ext="edit" aspectratio="f"/>
                      </v:shape>
                      <v:shape id="直接箭头连接符 142" o:spid="_x0000_s1026" o:spt="32" type="#_x0000_t32" style="position:absolute;left:814085;top:4232750;flip:y;height:284404;width:0;" filled="f" stroked="t" coordsize="21600,21600" o:gfxdata="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S7IENYAAAAGAQAADwAAAAAAAAABACAA&#10;AAAiAAAAZHJzL2Rvd25yZXYueG1sUEsBAhQAFAAAAAgAh07iQJscB1QPAgAA4gMAAA4AAAAAAAAA&#10;AQAgAAAAJQEAAGRycy9lMm9Eb2MueG1sUEsFBgAAAAAGAAYAWQEAAKYFAAAAAA==&#10;">
                        <v:fill on="f" focussize="0,0"/>
                        <v:stroke color="#000000 [3213]" joinstyle="round" endarrow="block"/>
                        <v:imagedata o:title=""/>
                        <o:lock v:ext="edit" aspectratio="f"/>
                      </v:shape>
                      <v:shape id="直接箭头连接符 143" o:spid="_x0000_s1026" o:spt="32" type="#_x0000_t32" style="position:absolute;left:2297252;top:2234242;height:607051;width:0;" filled="f" stroked="t" coordsize="21600,21600" o:gfxdata="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TZvNtYAAAAGAQAADwAAAAAAAAABACAAAAAiAAAA&#10;ZHJzL2Rvd25yZXYueG1sUEsBAhQAFAAAAAgAh07iQOiwqfIJAgAA2QMAAA4AAAAAAAAAAQAgAAAA&#10;JQEAAGRycy9lMm9Eb2MueG1sUEsFBgAAAAAGAAYAWQEAAKAFAAAAAA==&#10;">
                        <v:fill on="f" focussize="0,0"/>
                        <v:stroke color="#000000 [3213]" joinstyle="round" endarrow="block"/>
                        <v:imagedata o:title=""/>
                        <o:lock v:ext="edit" aspectratio="f"/>
                      </v:shape>
                      <v:shape id="直接箭头连接符 144" o:spid="_x0000_s1026" o:spt="32" type="#_x0000_t32" style="position:absolute;left:3563953;top:5378683;flip:x;height:10661;width:400419;" filled="f" stroked="t" coordsize="21600,21600" o:gfxdata="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2S7I&#10;ENYAAAAGAQAADwAAAAAAAAABACAAAAAiAAAAZHJzL2Rvd25yZXYueG1sUEsBAhQAFAAAAAgAh07i&#10;QJnl1/kkAgAADwQAAA4AAAAAAAAAAQAgAAAAJQEAAGRycy9lMm9Eb2MueG1sUEsFBgAAAAAGAAYA&#10;WQEAALsFAAAAAA==&#10;">
                        <v:fill on="f" focussize="0,0"/>
                        <v:stroke color="#000000 [3213]" joinstyle="round" endarrow="block"/>
                        <v:imagedata o:title=""/>
                        <o:lock v:ext="edit" aspectratio="f"/>
                      </v:shape>
                      <v:shape id="文本框 94" o:spid="_x0000_s1026" o:spt="202" type="#_x0000_t202" style="position:absolute;left:2918460;top:5231130;height:291465;width:545465;" fillcolor="#FFFFFF [3201]" filled="t" stroked="t" coordsize="21600,21600" o:gfxdata="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esm6/TAAAABgEAAA8AAAAA&#10;AAAAAQAgAAAAIgAAAGRycy9kb3ducmV2LnhtbFBLAQIUABQAAAAIAIdO4kC1G+hWUgIAAJUEAAAO&#10;AAAAAAAAAAEAIAAAACIBAABkcnMvZTJvRG9jLnhtbFBLBQYAAAAABgAGAFkBAADmBQAAAAA=&#10;">
                        <v:fill on="t" focussize="0,0"/>
                        <v:stroke weight="0.5pt" color="#000000" joinstyle="round"/>
                        <v:imagedata o:title=""/>
                        <o:lock v:ext="edit" aspectratio="f"/>
                        <v:textbox>
                          <w:txbxContent>
                            <w:p>
                              <w:pPr>
                                <w:ind w:firstLine="0" w:firstLineChars="0"/>
                              </w:pPr>
                              <w:r>
                                <w:rPr>
                                  <w:rFonts w:hint="eastAsia"/>
                                </w:rPr>
                                <w:t>包装</w:t>
                              </w:r>
                            </w:p>
                          </w:txbxContent>
                        </v:textbox>
                      </v:shape>
                      <v:shape id="文本框 94" o:spid="_x0000_s1026" o:spt="202" type="#_x0000_t202" style="position:absolute;left:2025650;top:5231765;height:290830;width:529590;" fillcolor="#FFFFFF [3201]" filled="t" stroked="t" coordsize="21600,21600" o:gfxdata="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3rJuv0wAAAAYBAAAP&#10;AAAAAAAAAAEAIAAAACIAAABkcnMvZG93bnJldi54bWxQSwECFAAUAAAACACHTuJA5doaNFYCAACV&#10;BAAADgAAAAAAAAABACAAAAAiAQAAZHJzL2Uyb0RvYy54bWxQSwUGAAAAAAYABgBZAQAA6gUAAAAA&#10;">
                        <v:fill on="t" focussize="0,0"/>
                        <v:stroke weight="0.5pt" color="#000000" joinstyle="round"/>
                        <v:imagedata o:title=""/>
                        <o:lock v:ext="edit" aspectratio="f"/>
                        <v:textbox>
                          <w:txbxContent>
                            <w:p>
                              <w:pPr>
                                <w:ind w:firstLine="0" w:firstLineChars="0"/>
                              </w:pPr>
                              <w:r>
                                <w:rPr>
                                  <w:rFonts w:hint="eastAsia"/>
                                </w:rPr>
                                <w:t>入库</w:t>
                              </w:r>
                            </w:p>
                          </w:txbxContent>
                        </v:textbox>
                      </v:shape>
                      <v:shape id="直接箭头连接符 147" o:spid="_x0000_s1026" o:spt="32" type="#_x0000_t32" style="position:absolute;left:814085;top:3685643;flip:y;height:283845;width:0;" filled="f" stroked="t" coordsize="21600,21600" o:gfxdata="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S7IENYAAAAGAQAADwAAAAAAAAABACAA&#10;AAAiAAAAZHJzL2Rvd25yZXYueG1sUEsBAhQAFAAAAAgAh07iQDnqdC8PAgAA4gMAAA4AAAAAAAAA&#10;AQAgAAAAJQEAAGRycy9lMm9Eb2MueG1sUEsFBgAAAAAGAAYAWQEAAKYFAAAAAA==&#10;">
                        <v:fill on="f" focussize="0,0"/>
                        <v:stroke color="#000000 [3213]" joinstyle="round" endarrow="block"/>
                        <v:imagedata o:title=""/>
                        <o:lock v:ext="edit" aspectratio="f"/>
                      </v:shape>
                      <v:shape id="直接箭头连接符 148" o:spid="_x0000_s1026" o:spt="32" type="#_x0000_t32" style="position:absolute;left:814085;top:3143918;flip:y;height:283845;width:0;" filled="f" stroked="t" coordsize="21600,21600" o:gfxdata="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kuyBDWAAAABgEAAA8AAAAAAAAAAQAg&#10;AAAAIgAAAGRycy9kb3ducmV2LnhtbFBLAQIUABQAAAAIAIdO4kDPFQApEAIAAOIDAAAOAAAAAAAA&#10;AAEAIAAAACUBAABkcnMvZTJvRG9jLnhtbFBLBQYAAAAABgAGAFkBAACnBQAAAAA=&#10;">
                        <v:fill on="f" focussize="0,0"/>
                        <v:stroke color="#000000 [3213]" joinstyle="round" endarrow="block"/>
                        <v:imagedata o:title=""/>
                        <o:lock v:ext="edit" aspectratio="f"/>
                      </v:shape>
                      <v:shape id="直接箭头连接符 149" o:spid="_x0000_s1026" o:spt="32" type="#_x0000_t32" style="position:absolute;left:1288538;top:3021420;flip:y;height:353;width:740718;" filled="f" stroked="t" coordsize="21600,21600" o:gfxdata="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kuyBDW&#10;AAAABgEAAA8AAAAAAAAAAQAgAAAAIgAAAGRycy9kb3ducmV2LnhtbFBLAQIUABQAAAAIAIdO4kAK&#10;21ZSIgIAAA4EAAAOAAAAAAAAAAEAIAAAACUBAABkcnMvZTJvRG9jLnhtbFBLBQYAAAAABgAGAFkB&#10;AAC5BQAAAAA=&#10;">
                        <v:fill on="f" focussize="0,0"/>
                        <v:stroke color="#000000 [3213]" joinstyle="round" endarrow="block"/>
                        <v:imagedata o:title=""/>
                        <o:lock v:ext="edit" aspectratio="f"/>
                      </v:shape>
                      <v:shape id="直接箭头连接符 151" o:spid="_x0000_s1026" o:spt="32" type="#_x0000_t32" style="position:absolute;left:2565248;top:3036700;height:0;width:488315;" filled="f" stroked="t" coordsize="21600,21600" o:gfxdata="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k2bzbWAAAABgEAAA8AAAAAAAAAAQAgAAAAIgAA&#10;AGRycy9kb3ducmV2LnhtbFBLAQIUABQAAAAIAIdO4kDZvkF+CgIAANkDAAAOAAAAAAAAAAEAIAAA&#10;ACUBAABkcnMvZTJvRG9jLnhtbFBLBQYAAAAABgAGAFkBAAChBQAAAAA=&#10;">
                        <v:fill on="f" focussize="0,0"/>
                        <v:stroke color="#000000 [3213]" joinstyle="round" endarrow="block"/>
                        <v:imagedata o:title=""/>
                        <o:lock v:ext="edit" aspectratio="f"/>
                      </v:shape>
                      <v:shape id="直接箭头连接符 152" o:spid="_x0000_s1026" o:spt="32" type="#_x0000_t32" style="position:absolute;left:3600418;top:3052174;height:0;width:402049;" filled="f" stroked="t" coordsize="21600,21600" o:gfxdata="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pNm821gAAAAYBAAAPAAAAAAAAAAEAIAAAACIA&#10;AABkcnMvZG93bnJldi54bWxQSwECFAAUAAAACACHTuJAAFY+HAsCAADZAwAADgAAAAAAAAABACAA&#10;AAAlAQAAZHJzL2Uyb0RvYy54bWxQSwUGAAAAAAYABgBZAQAAogUAAAAA&#10;">
                        <v:fill on="f" focussize="0,0"/>
                        <v:stroke color="#000000 [3213]" joinstyle="round" endarrow="block"/>
                        <v:imagedata o:title=""/>
                        <o:lock v:ext="edit" aspectratio="f"/>
                      </v:shape>
                      <v:shape id="直接箭头连接符 153" o:spid="_x0000_s1026" o:spt="32" type="#_x0000_t32" style="position:absolute;left:4298639;top:3780849;height:287655;width:0;" filled="f" stroked="t" coordsize="21600,21600" o:gfxdata="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pNm821gAAAAYBAAAPAAAAAAAAAAEAIAAAACIA&#10;AABkcnMvZG93bnJldi54bWxQSwECFAAUAAAACACHTuJAm+XDZAsCAADZAwAADgAAAAAAAAABACAA&#10;AAAlAQAAZHJzL2Uyb0RvYy54bWxQSwUGAAAAAAYABgBZAQAAogUAAAAA&#10;">
                        <v:fill on="f" focussize="0,0"/>
                        <v:stroke color="#000000 [3213]" joinstyle="round" endarrow="block"/>
                        <v:imagedata o:title=""/>
                        <o:lock v:ext="edit" aspectratio="f"/>
                      </v:shape>
                      <v:shape id="直接箭头连接符 154" o:spid="_x0000_s1026" o:spt="32" type="#_x0000_t32" style="position:absolute;left:4284717;top:4368398;height:287020;width:0;" filled="f" stroked="t" coordsize="21600,21600" o:gfxdata="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TZvNtYAAAAGAQAADwAAAAAAAAABACAAAAAi&#10;AAAAZHJzL2Rvd25yZXYueG1sUEsBAhQAFAAAAAgAh07iQBDmHbUMAgAA2QMAAA4AAAAAAAAAAQAg&#10;AAAAJQEAAGRycy9lMm9Eb2MueG1sUEsFBgAAAAAGAAYAWQEAAKMFAAAAAA==&#10;">
                        <v:fill on="f" focussize="0,0"/>
                        <v:stroke color="#000000 [3213]" joinstyle="round" endarrow="block"/>
                        <v:imagedata o:title=""/>
                        <o:lock v:ext="edit" aspectratio="f"/>
                      </v:shape>
                      <v:shape id="直接箭头连接符 155" o:spid="_x0000_s1026" o:spt="32" type="#_x0000_t32" style="position:absolute;left:4298639;top:4934946;height:286385;width:0;" filled="f" stroked="t" coordsize="21600,21600" o:gfxdata="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k2bzbWAAAABgEAAA8AAAAAAAAAAQAgAAAAIgAA&#10;AGRycy9kb3ducmV2LnhtbFBLAQIUABQAAAAIAIdO4kAZ97dACgIAANkDAAAOAAAAAAAAAAEAIAAA&#10;ACUBAABkcnMvZTJvRG9jLnhtbFBLBQYAAAAABgAGAFkBAAChBQAAAAA=&#10;">
                        <v:fill on="f" focussize="0,0"/>
                        <v:stroke color="#000000 [3213]" joinstyle="round" endarrow="block"/>
                        <v:imagedata o:title=""/>
                        <o:lock v:ext="edit" aspectratio="f"/>
                      </v:shape>
                      <v:shape id="直接箭头连接符 156" o:spid="_x0000_s1026" o:spt="32" type="#_x0000_t32" style="position:absolute;left:1720215;top:4116705;flip:y;height:9525;width:284480;" filled="f" stroked="t" coordsize="21600,21600" o:gfxdata="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kuyBDWAAAABgEAAA8AAAAAAAAAAQAg&#10;AAAAIgAAAGRycy9kb3ducmV2LnhtbFBLAQIUABQAAAAIAIdO4kDW2r1FEAIAAOYDAAAOAAAAAAAA&#10;AAEAIAAAACUBAABkcnMvZTJvRG9jLnhtbFBLBQYAAAAABgAGAFkBAACnBQAAAAA=&#10;">
                        <v:fill on="f" focussize="0,0"/>
                        <v:stroke color="#000000 [3213]" joinstyle="round" endarrow="block"/>
                        <v:imagedata o:title=""/>
                        <o:lock v:ext="edit" aspectratio="f"/>
                      </v:shape>
                      <v:shape id="直接箭头连接符 158" o:spid="_x0000_s1026" o:spt="32" type="#_x0000_t32" style="position:absolute;left:3695307;top:4815842;flip:x y;height:1;width:324414;" filled="f" stroked="t" coordsize="21600,21600" o:gfxdata="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fRx4dYAAAAGAQAADwAAAAAA&#10;AAABACAAAAAiAAAAZHJzL2Rvd25yZXYueG1sUEsBAhQAFAAAAAgAh07iQCekR08VAgAA7QMAAA4A&#10;AAAAAAAAAQAgAAAAJQEAAGRycy9lMm9Eb2MueG1sUEsFBgAAAAAGAAYAWQEAAKwFAAAAAA==&#10;">
                        <v:fill on="f" focussize="0,0"/>
                        <v:stroke color="#000000 [3213]" joinstyle="round" endarrow="block"/>
                        <v:imagedata o:title=""/>
                        <o:lock v:ext="edit" aspectratio="f"/>
                      </v:shape>
                      <v:shape id="连接符: 肘形 165" o:spid="_x0000_s1026" o:spt="34" type="#_x0000_t34" style="position:absolute;left:2770505;top:1149985;flip:y;height:3175;width:437515;rotation:11796480f;" filled="f" stroked="t" coordsize="21600,21600" o:gfxdata="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hiOANcAAAAGAQAADwAAAAAA&#10;AAABACAAAAAiAAAAZHJzL2Rvd25yZXYueG1sUEsBAhQAFAAAAAgAh07iQI1OH01NAgAAXQQAAA4A&#10;AAAAAAAAAQAgAAAAJgEAAGRycy9lMm9Eb2MueG1sUEsFBgAAAAAGAAYAWQEAAOUFAAAAAA==&#10;" adj="10784">
                        <v:fill on="f" focussize="0,0"/>
                        <v:stroke color="#000000 [3213]" joinstyle="round" endarrow="block"/>
                        <v:imagedata o:title=""/>
                        <o:lock v:ext="edit" aspectratio="f"/>
                      </v:shape>
                      <v:shape id="连接符: 肘形 167" o:spid="_x0000_s1026" o:spt="33" type="#_x0000_t33" style="position:absolute;left:2630037;top:1296447;flip:y;height:755928;width:859144;" filled="f" stroked="t" coordsize="21600,21600" o:gfxdata="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w2j0/WAAAABgEAAA8AAAAAAAAAAQAgAAAAIgAAAGRycy9kb3ducmV2LnhtbFBLAQIUABQA&#10;AAAIAIdO4kCt0HQOKwIAACMEAAAOAAAAAAAAAAEAIAAAACUBAABkcnMvZTJvRG9jLnhtbFBLBQYA&#10;AAAABgAGAFkBAADCBQAAAAA=&#10;">
                        <v:fill on="f" focussize="0,0"/>
                        <v:stroke color="#000000 [3213]" joinstyle="round" endarrow="block"/>
                        <v:imagedata o:title=""/>
                        <o:lock v:ext="edit" aspectratio="f"/>
                      </v:shape>
                      <v:rect id="矩形 48" o:spid="_x0000_s1026" o:spt="1" style="position:absolute;left:52705;top:427355;height:1996440;width:5081270;v-text-anchor:middle;" filled="f" stroked="t" coordsize="21600,21600" o:gfxdata="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F2hGLXAAAABgEAAA8AAAAAAAAAAQAgAAAAIgAAAGRycy9kb3ducmV2LnhtbFBL&#10;AQIUABQAAAAIAIdO4kBJc4ONaQIAAMEEAAAOAAAAAAAAAAEAIAAAACYBAABkcnMvZTJvRG9jLnht&#10;bFBLBQYAAAAABgAGAFkBAAABBgAAAAA=&#10;">
                        <v:fill on="f" focussize="0,0"/>
                        <v:stroke weight="2pt" color="#000000 [3213]" joinstyle="round"/>
                        <v:imagedata o:title=""/>
                        <o:lock v:ext="edit" aspectratio="f"/>
                      </v:rect>
                      <v:rect id="矩形 170" o:spid="_x0000_s1026" o:spt="1" style="position:absolute;left:52422;top:2637138;height:3047669;width:5080635;v-text-anchor:middle;" filled="f" stroked="t" coordsize="21600,21600" o:gfxdata="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BdoRi1wAA&#10;AAYBAAAPAAAAAAAAAAEAIAAAACIAAABkcnMvZG93bnJldi54bWxQSwECFAAUAAAACACHTuJAJyNe&#10;sVgCAACTBAAADgAAAAAAAAABACAAAAAmAQAAZHJzL2Uyb0RvYy54bWxQSwUGAAAAAAYABgBZAQAA&#10;8AUAAAAA&#10;">
                        <v:fill on="f" focussize="0,0"/>
                        <v:stroke weight="2pt" color="#000000 [3213]" joinstyle="round"/>
                        <v:imagedata o:title=""/>
                        <o:lock v:ext="edit" aspectratio="f"/>
                      </v:rect>
                      <v:shape id="文本框 94" o:spid="_x0000_s1026" o:spt="202" type="#_x0000_t202" style="position:absolute;left:106923;top:2096884;height:290830;width:871855;" fillcolor="#FFFFFF [3201]" filled="t" stroked="f" coordsize="21600,21600" o:gfxdata="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X9IPLSAAAABgEAAA8AAAAAAAAAAQAg&#10;AAAAIgAAAGRycy9kb3ducmV2LnhtbFBLAQIUABQAAAAIAIdO4kAnwKXiTQIAAGwEAAAOAAAAAAAA&#10;AAEAIAAAACEBAABkcnMvZTJvRG9jLnhtbFBLBQYAAAAABgAGAFkBAADgBQAAAAA=&#10;">
                        <v:fill on="t" focussize="0,0"/>
                        <v:stroke on="f" weight="0.5pt"/>
                        <v:imagedata o:title=""/>
                        <o:lock v:ext="edit" aspectratio="f"/>
                        <v:textbox>
                          <w:txbxContent>
                            <w:p>
                              <w:pPr>
                                <w:ind w:firstLine="0" w:firstLineChars="0"/>
                              </w:pPr>
                              <w:r>
                                <w:rPr>
                                  <w:rFonts w:hint="eastAsia"/>
                                </w:rPr>
                                <w:t>锅炉工艺</w:t>
                              </w:r>
                            </w:p>
                          </w:txbxContent>
                        </v:textbox>
                      </v:shape>
                      <v:shape id="文本框 94" o:spid="_x0000_s1026" o:spt="202" type="#_x0000_t202" style="position:absolute;left:86076;top:5377275;height:290195;width:871855;" fillcolor="#FFFFFF [3201]" filled="t" stroked="f" coordsize="21600,21600" o:gfxdata="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X9IPLSAAAABgEAAA8AAAAAAAAAAQAg&#10;AAAAIgAAAGRycy9kb3ducmV2LnhtbFBLAQIUABQAAAAIAIdO4kBgOpQhTQIAAGsEAAAOAAAAAAAA&#10;AAEAIAAAACEBAABkcnMvZTJvRG9jLnhtbFBLBQYAAAAABgAGAFkBAADgBQAAAAA=&#10;">
                        <v:fill on="t" focussize="0,0"/>
                        <v:stroke on="f" weight="0.5pt"/>
                        <v:imagedata o:title=""/>
                        <o:lock v:ext="edit" aspectratio="f"/>
                        <v:textbox>
                          <w:txbxContent>
                            <w:p>
                              <w:pPr>
                                <w:ind w:firstLine="0" w:firstLineChars="0"/>
                              </w:pPr>
                              <w:r>
                                <w:rPr>
                                  <w:rFonts w:hint="eastAsia"/>
                                </w:rPr>
                                <w:t>生产工艺</w:t>
                              </w:r>
                            </w:p>
                          </w:txbxContent>
                        </v:textbox>
                      </v:shape>
                      <v:shape id="文本框 94" o:spid="_x0000_s1026" o:spt="202" type="#_x0000_t202" style="position:absolute;left:4015105;top:1556385;height:195580;width:688975;" fillcolor="#FFFFFF [3201]" filled="t" stroked="f" coordsize="21600,21600" o:gfxdata="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X9IPLSAAAABgEAAA8AAAAAAAAAAQAg&#10;AAAAIgAAAGRycy9kb3ducmV2LnhtbFBLAQIUABQAAAAIAIdO4kDwZAA9TQIAAG0EAAAOAAAAAAAA&#10;AAEAIAAAACEBAABkcnMvZTJvRG9jLnhtbFBLBQYAAAAABgAGAFkBAADgBQAAAAA=&#10;">
                        <v:fill on="t" focussize="0,0"/>
                        <v:stroke on="f" weight="0.5pt"/>
                        <v:imagedata o:title=""/>
                        <o:lock v:ext="edit" aspectratio="f"/>
                        <v:textbox>
                          <w:txbxContent>
                            <w:p>
                              <w:pPr>
                                <w:ind w:firstLine="0" w:firstLineChars="0"/>
                                <w:rPr>
                                  <w:rFonts w:hint="default" w:eastAsia="宋体"/>
                                  <w:sz w:val="15"/>
                                  <w:szCs w:val="15"/>
                                  <w:lang w:val="en-US" w:eastAsia="zh-CN"/>
                                </w:rPr>
                              </w:pPr>
                              <w:r>
                                <w:rPr>
                                  <w:sz w:val="15"/>
                                  <w:szCs w:val="15"/>
                                </w:rPr>
                                <w:t>W</w:t>
                              </w:r>
                              <w:r>
                                <w:rPr>
                                  <w:rFonts w:hint="eastAsia"/>
                                  <w:sz w:val="15"/>
                                  <w:szCs w:val="15"/>
                                  <w:lang w:eastAsia="zh-CN"/>
                                </w:rPr>
                                <w:t>、</w:t>
                              </w:r>
                              <w:r>
                                <w:rPr>
                                  <w:rFonts w:hint="eastAsia"/>
                                  <w:sz w:val="15"/>
                                  <w:szCs w:val="15"/>
                                  <w:lang w:val="en-US" w:eastAsia="zh-CN"/>
                                </w:rPr>
                                <w:t>N、S</w:t>
                              </w:r>
                            </w:p>
                          </w:txbxContent>
                        </v:textbox>
                      </v:shape>
                      <v:shape id="直接箭头连接符 47" o:spid="_x0000_s1026" o:spt="32" type="#_x0000_t32" style="position:absolute;left:4356100;top:1299210;height:257175;width:3810;" filled="f" stroked="t" coordsize="21600,21600" o:gfxdata="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Nm82&#10;1gAAAAYBAAAPAAAAAAAAAAEAIAAAACIAAABkcnMvZG93bnJldi54bWxQSwECFAAUAAAACACHTuJA&#10;obtWriMCAAAeBAAADgAAAAAAAAABACAAAAAlAQAAZHJzL2Uyb0RvYy54bWxQSwUGAAAAAAYABgBZ&#10;AQAAugUAAAAA&#10;">
                        <v:fill on="f" focussize="0,0"/>
                        <v:stroke color="#000000 [3213]" joinstyle="round" endarrow="block"/>
                        <v:imagedata o:title=""/>
                        <o:lock v:ext="edit" aspectratio="f"/>
                      </v:shape>
                      <w10:wrap type="none"/>
                      <w10:anchorlock/>
                    </v:group>
                  </w:pict>
                </mc:Fallback>
              </mc:AlternateContent>
            </w:r>
          </w:p>
          <w:p>
            <w:pPr>
              <w:spacing w:line="240" w:lineRule="auto"/>
              <w:ind w:firstLine="0" w:firstLineChars="0"/>
              <w:jc w:val="center"/>
              <w:rPr>
                <w:rFonts w:hint="default" w:ascii="Times New Roman" w:hAnsi="Times New Roman" w:eastAsia="宋体" w:cs="Times New Roman"/>
                <w:b/>
                <w:bCs/>
                <w:color w:val="auto"/>
                <w:kern w:val="0"/>
                <w:sz w:val="21"/>
                <w:u w:val="single"/>
              </w:rPr>
            </w:pPr>
            <w:r>
              <w:rPr>
                <w:rFonts w:hint="default" w:ascii="Times New Roman" w:hAnsi="Times New Roman" w:eastAsia="宋体" w:cs="Times New Roman"/>
                <w:b/>
                <w:bCs/>
                <w:color w:val="auto"/>
                <w:kern w:val="0"/>
                <w:sz w:val="21"/>
                <w:u w:val="single"/>
              </w:rPr>
              <w:t>图2-</w:t>
            </w:r>
            <w:r>
              <w:rPr>
                <w:rFonts w:hint="default" w:ascii="Times New Roman" w:hAnsi="Times New Roman" w:eastAsia="宋体" w:cs="Times New Roman"/>
                <w:b/>
                <w:bCs/>
                <w:color w:val="auto"/>
                <w:kern w:val="0"/>
                <w:sz w:val="21"/>
                <w:u w:val="single"/>
                <w:lang w:val="en-US" w:eastAsia="zh-CN"/>
              </w:rPr>
              <w:t>2</w:t>
            </w:r>
            <w:r>
              <w:rPr>
                <w:rFonts w:hint="default" w:ascii="Times New Roman" w:hAnsi="Times New Roman" w:eastAsia="宋体" w:cs="Times New Roman"/>
                <w:b/>
                <w:bCs/>
                <w:color w:val="auto"/>
                <w:kern w:val="0"/>
                <w:sz w:val="21"/>
                <w:u w:val="single"/>
              </w:rPr>
              <w:t xml:space="preserve"> 工艺流程图</w:t>
            </w:r>
          </w:p>
          <w:p>
            <w:pPr>
              <w:ind w:firstLine="482"/>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single"/>
              </w:rPr>
              <w:t>锅炉工艺简述</w:t>
            </w:r>
          </w:p>
          <w:p>
            <w:pPr>
              <w:ind w:firstLine="480"/>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软水机用于处理水质，原水在一定的压力</w:t>
            </w:r>
            <w:r>
              <w:rPr>
                <w:rFonts w:hint="default" w:ascii="Times New Roman" w:hAnsi="Times New Roman" w:cs="Times New Roman"/>
                <w:color w:val="auto"/>
                <w:u w:val="single"/>
                <w:lang w:eastAsia="zh-CN"/>
              </w:rPr>
              <w:t>（</w:t>
            </w:r>
            <w:r>
              <w:rPr>
                <w:rFonts w:hint="default" w:ascii="Times New Roman" w:hAnsi="Times New Roman" w:eastAsia="宋体" w:cs="Times New Roman"/>
                <w:color w:val="auto"/>
                <w:u w:val="single"/>
              </w:rPr>
              <w:t>0.2-0.6Mpa</w:t>
            </w:r>
            <w:r>
              <w:rPr>
                <w:rFonts w:hint="default" w:ascii="Times New Roman" w:hAnsi="Times New Roman" w:cs="Times New Roman"/>
                <w:color w:val="auto"/>
                <w:u w:val="single"/>
                <w:lang w:eastAsia="zh-CN"/>
              </w:rPr>
              <w:t>）</w:t>
            </w:r>
            <w:r>
              <w:rPr>
                <w:rFonts w:hint="default" w:ascii="Times New Roman" w:hAnsi="Times New Roman" w:eastAsia="宋体" w:cs="Times New Roman"/>
                <w:color w:val="auto"/>
                <w:u w:val="single"/>
              </w:rPr>
              <w:t>、流量下，通过控制器阀腔，进入装有离子交换树脂的容器</w:t>
            </w:r>
            <w:r>
              <w:rPr>
                <w:rFonts w:hint="default" w:ascii="Times New Roman" w:hAnsi="Times New Roman" w:cs="Times New Roman"/>
                <w:color w:val="auto"/>
                <w:u w:val="single"/>
                <w:lang w:eastAsia="zh-CN"/>
              </w:rPr>
              <w:t>（</w:t>
            </w:r>
            <w:r>
              <w:rPr>
                <w:rFonts w:hint="default" w:ascii="Times New Roman" w:hAnsi="Times New Roman" w:eastAsia="宋体" w:cs="Times New Roman"/>
                <w:color w:val="auto"/>
                <w:u w:val="single"/>
              </w:rPr>
              <w:t>树脂罐</w:t>
            </w:r>
            <w:r>
              <w:rPr>
                <w:rFonts w:hint="default" w:ascii="Times New Roman" w:hAnsi="Times New Roman" w:cs="Times New Roman"/>
                <w:color w:val="auto"/>
                <w:u w:val="single"/>
                <w:lang w:eastAsia="zh-CN"/>
              </w:rPr>
              <w:t>）</w:t>
            </w:r>
            <w:r>
              <w:rPr>
                <w:rFonts w:hint="default" w:ascii="Times New Roman" w:hAnsi="Times New Roman" w:eastAsia="宋体" w:cs="Times New Roman"/>
                <w:color w:val="auto"/>
                <w:u w:val="single"/>
              </w:rPr>
              <w:t>，树脂中所含的Na+与水中的阳离子</w:t>
            </w:r>
            <w:r>
              <w:rPr>
                <w:rFonts w:hint="default" w:ascii="Times New Roman" w:hAnsi="Times New Roman" w:cs="Times New Roman"/>
                <w:color w:val="auto"/>
                <w:u w:val="single"/>
                <w:lang w:eastAsia="zh-CN"/>
              </w:rPr>
              <w:t>（</w:t>
            </w:r>
            <w:r>
              <w:rPr>
                <w:rFonts w:hint="default" w:ascii="Times New Roman" w:hAnsi="Times New Roman" w:eastAsia="宋体" w:cs="Times New Roman"/>
                <w:color w:val="auto"/>
                <w:u w:val="single"/>
              </w:rPr>
              <w:t>Ca</w:t>
            </w:r>
            <w:r>
              <w:rPr>
                <w:rFonts w:hint="default" w:ascii="Times New Roman" w:hAnsi="Times New Roman" w:eastAsia="宋体" w:cs="Times New Roman"/>
                <w:color w:val="auto"/>
                <w:u w:val="single"/>
                <w:vertAlign w:val="superscript"/>
              </w:rPr>
              <w:t>2+</w:t>
            </w:r>
            <w:r>
              <w:rPr>
                <w:rFonts w:hint="default" w:ascii="Times New Roman" w:hAnsi="Times New Roman" w:eastAsia="宋体" w:cs="Times New Roman"/>
                <w:color w:val="auto"/>
                <w:u w:val="single"/>
              </w:rPr>
              <w:t>，Mg</w:t>
            </w:r>
            <w:r>
              <w:rPr>
                <w:rFonts w:hint="default" w:ascii="Times New Roman" w:hAnsi="Times New Roman" w:eastAsia="宋体" w:cs="Times New Roman"/>
                <w:color w:val="auto"/>
                <w:u w:val="single"/>
                <w:vertAlign w:val="superscript"/>
              </w:rPr>
              <w:t>2+</w:t>
            </w:r>
            <w:r>
              <w:rPr>
                <w:rFonts w:hint="default" w:ascii="Times New Roman" w:hAnsi="Times New Roman" w:eastAsia="宋体" w:cs="Times New Roman"/>
                <w:color w:val="auto"/>
                <w:u w:val="single"/>
              </w:rPr>
              <w:t>，Fe</w:t>
            </w:r>
            <w:r>
              <w:rPr>
                <w:rFonts w:hint="default" w:ascii="Times New Roman" w:hAnsi="Times New Roman" w:eastAsia="宋体" w:cs="Times New Roman"/>
                <w:color w:val="auto"/>
                <w:u w:val="single"/>
                <w:vertAlign w:val="superscript"/>
              </w:rPr>
              <w:t>2</w:t>
            </w:r>
            <w:r>
              <w:rPr>
                <w:rFonts w:hint="default" w:ascii="Times New Roman" w:hAnsi="Times New Roman" w:eastAsia="宋体" w:cs="Times New Roman"/>
                <w:color w:val="auto"/>
                <w:u w:val="single"/>
              </w:rPr>
              <w:t>等</w:t>
            </w:r>
            <w:r>
              <w:rPr>
                <w:rFonts w:hint="default" w:ascii="Times New Roman" w:hAnsi="Times New Roman" w:cs="Times New Roman"/>
                <w:color w:val="auto"/>
                <w:u w:val="single"/>
                <w:lang w:eastAsia="zh-CN"/>
              </w:rPr>
              <w:t>）</w:t>
            </w:r>
            <w:r>
              <w:rPr>
                <w:rFonts w:hint="default" w:ascii="Times New Roman" w:hAnsi="Times New Roman" w:eastAsia="宋体" w:cs="Times New Roman"/>
                <w:color w:val="auto"/>
                <w:u w:val="single"/>
              </w:rPr>
              <w:t>进行交换，使经过处理后水的Ca</w:t>
            </w:r>
            <w:r>
              <w:rPr>
                <w:rFonts w:hint="default" w:ascii="Times New Roman" w:hAnsi="Times New Roman" w:eastAsia="宋体" w:cs="Times New Roman"/>
                <w:color w:val="auto"/>
                <w:u w:val="single"/>
                <w:vertAlign w:val="superscript"/>
              </w:rPr>
              <w:t>2+</w:t>
            </w:r>
            <w:r>
              <w:rPr>
                <w:rFonts w:hint="default" w:ascii="Times New Roman" w:hAnsi="Times New Roman" w:eastAsia="宋体" w:cs="Times New Roman"/>
                <w:color w:val="auto"/>
                <w:u w:val="single"/>
              </w:rPr>
              <w:t>，Mg</w:t>
            </w:r>
            <w:r>
              <w:rPr>
                <w:rFonts w:hint="default" w:ascii="Times New Roman" w:hAnsi="Times New Roman" w:eastAsia="宋体" w:cs="Times New Roman"/>
                <w:color w:val="auto"/>
                <w:u w:val="single"/>
                <w:vertAlign w:val="superscript"/>
              </w:rPr>
              <w:t>2+</w:t>
            </w:r>
            <w:r>
              <w:rPr>
                <w:rFonts w:hint="default" w:ascii="Times New Roman" w:hAnsi="Times New Roman" w:eastAsia="宋体" w:cs="Times New Roman"/>
                <w:color w:val="auto"/>
                <w:u w:val="single"/>
              </w:rPr>
              <w:t>离子含量达到既定的要求</w:t>
            </w:r>
            <w:r>
              <w:rPr>
                <w:rFonts w:hint="default" w:ascii="Times New Roman" w:hAnsi="Times New Roman" w:cs="Times New Roman"/>
                <w:color w:val="auto"/>
                <w:u w:val="single"/>
                <w:lang w:eastAsia="zh-CN"/>
              </w:rPr>
              <w:t>（</w:t>
            </w:r>
            <w:r>
              <w:rPr>
                <w:rFonts w:hint="default" w:ascii="Times New Roman" w:hAnsi="Times New Roman" w:eastAsia="宋体" w:cs="Times New Roman"/>
                <w:color w:val="auto"/>
                <w:u w:val="single"/>
              </w:rPr>
              <w:t>0.6mmol/L、30mg/L</w:t>
            </w:r>
            <w:r>
              <w:rPr>
                <w:rFonts w:hint="default" w:ascii="Times New Roman" w:hAnsi="Times New Roman" w:cs="Times New Roman"/>
                <w:color w:val="auto"/>
                <w:u w:val="single"/>
                <w:lang w:eastAsia="zh-CN"/>
              </w:rPr>
              <w:t>）</w:t>
            </w:r>
            <w:r>
              <w:rPr>
                <w:rFonts w:hint="default" w:ascii="Times New Roman" w:hAnsi="Times New Roman" w:eastAsia="宋体" w:cs="Times New Roman"/>
                <w:color w:val="auto"/>
                <w:u w:val="single"/>
              </w:rPr>
              <w:t>，实现了硬水的软化，防止水垢和其他杂质对锅炉的影响，确保水质符合蒸汽锅炉的要求；</w:t>
            </w:r>
          </w:p>
          <w:p>
            <w:pPr>
              <w:ind w:firstLine="480"/>
              <w:rPr>
                <w:rFonts w:hint="default" w:ascii="Times New Roman" w:hAnsi="Times New Roman" w:eastAsia="宋体" w:cs="Times New Roman"/>
                <w:color w:val="auto"/>
                <w:u w:val="single"/>
              </w:rPr>
            </w:pPr>
            <w:r>
              <w:rPr>
                <w:rFonts w:hint="eastAsia" w:ascii="宋体" w:hAnsi="宋体" w:eastAsia="宋体" w:cs="宋体"/>
                <w:color w:val="auto"/>
                <w:kern w:val="0"/>
                <w:sz w:val="24"/>
                <w:szCs w:val="24"/>
                <w:u w:val="single"/>
                <w:lang w:val="en-US" w:eastAsia="zh-CN" w:bidi="ar"/>
              </w:rPr>
              <w:t>本项目</w:t>
            </w:r>
            <w:r>
              <w:rPr>
                <w:rFonts w:hint="eastAsia" w:ascii="宋体" w:hAnsi="宋体" w:cs="宋体"/>
                <w:color w:val="auto"/>
                <w:kern w:val="0"/>
                <w:sz w:val="24"/>
                <w:szCs w:val="24"/>
                <w:u w:val="single"/>
                <w:lang w:val="en-US" w:eastAsia="zh-CN" w:bidi="ar"/>
              </w:rPr>
              <w:t>拟采用的</w:t>
            </w:r>
            <w:r>
              <w:rPr>
                <w:rFonts w:hint="eastAsia" w:ascii="宋体" w:hAnsi="宋体" w:eastAsia="宋体" w:cs="宋体"/>
                <w:color w:val="auto"/>
                <w:kern w:val="0"/>
                <w:sz w:val="24"/>
                <w:szCs w:val="24"/>
                <w:u w:val="single"/>
                <w:lang w:val="en-US" w:eastAsia="zh-CN" w:bidi="ar"/>
              </w:rPr>
              <w:t>生物质锅炉为</w:t>
            </w:r>
            <w:r>
              <w:rPr>
                <w:rFonts w:hint="eastAsia" w:ascii="宋体" w:hAnsi="宋体" w:cs="宋体"/>
                <w:color w:val="auto"/>
                <w:kern w:val="0"/>
                <w:sz w:val="24"/>
                <w:szCs w:val="24"/>
                <w:u w:val="single"/>
                <w:lang w:val="en-US" w:eastAsia="zh-CN" w:bidi="ar"/>
              </w:rPr>
              <w:t>6t/h</w:t>
            </w:r>
            <w:r>
              <w:rPr>
                <w:rFonts w:hint="eastAsia" w:ascii="宋体" w:hAnsi="宋体" w:eastAsia="宋体" w:cs="宋体"/>
                <w:color w:val="auto"/>
                <w:kern w:val="0"/>
                <w:sz w:val="24"/>
                <w:szCs w:val="24"/>
                <w:u w:val="single"/>
                <w:lang w:val="en-US" w:eastAsia="zh-CN" w:bidi="ar"/>
              </w:rPr>
              <w:t>卧式</w:t>
            </w:r>
            <w:r>
              <w:rPr>
                <w:rFonts w:hint="eastAsia" w:ascii="宋体" w:hAnsi="宋体" w:cs="宋体"/>
                <w:color w:val="auto"/>
                <w:kern w:val="0"/>
                <w:sz w:val="24"/>
                <w:szCs w:val="24"/>
                <w:u w:val="single"/>
                <w:lang w:val="en-US" w:eastAsia="zh-CN" w:bidi="ar"/>
              </w:rPr>
              <w:t>层</w:t>
            </w:r>
            <w:r>
              <w:rPr>
                <w:rFonts w:hint="eastAsia" w:ascii="宋体" w:hAnsi="宋体" w:eastAsia="宋体" w:cs="宋体"/>
                <w:color w:val="auto"/>
                <w:kern w:val="0"/>
                <w:sz w:val="24"/>
                <w:szCs w:val="24"/>
                <w:u w:val="single"/>
                <w:lang w:val="en-US" w:eastAsia="zh-CN" w:bidi="ar"/>
              </w:rPr>
              <w:t>燃</w:t>
            </w:r>
            <w:r>
              <w:rPr>
                <w:rFonts w:hint="eastAsia" w:ascii="宋体" w:hAnsi="宋体" w:cs="宋体"/>
                <w:color w:val="auto"/>
                <w:kern w:val="0"/>
                <w:sz w:val="24"/>
                <w:szCs w:val="24"/>
                <w:u w:val="single"/>
                <w:lang w:val="en-US" w:eastAsia="zh-CN" w:bidi="ar"/>
              </w:rPr>
              <w:t>式</w:t>
            </w:r>
            <w:r>
              <w:rPr>
                <w:rFonts w:hint="eastAsia" w:ascii="宋体" w:hAnsi="宋体" w:eastAsia="宋体" w:cs="宋体"/>
                <w:color w:val="auto"/>
                <w:kern w:val="0"/>
                <w:sz w:val="24"/>
                <w:szCs w:val="24"/>
                <w:u w:val="single"/>
                <w:lang w:val="en-US" w:eastAsia="zh-CN" w:bidi="ar"/>
              </w:rPr>
              <w:t>生物质蒸汽锅炉</w:t>
            </w:r>
            <w:r>
              <w:rPr>
                <w:rFonts w:hint="eastAsia" w:ascii="宋体" w:hAnsi="宋体" w:cs="宋体"/>
                <w:color w:val="auto"/>
                <w:kern w:val="0"/>
                <w:sz w:val="24"/>
                <w:szCs w:val="24"/>
                <w:u w:val="single"/>
                <w:lang w:val="en-US" w:eastAsia="zh-CN" w:bidi="ar"/>
              </w:rPr>
              <w:t>，型号为 SZL6-1.25-S；</w:t>
            </w:r>
            <w:r>
              <w:rPr>
                <w:rFonts w:hint="default" w:ascii="Times New Roman" w:hAnsi="Times New Roman" w:eastAsia="宋体" w:cs="Times New Roman"/>
                <w:color w:val="auto"/>
                <w:u w:val="single"/>
              </w:rPr>
              <w:t>锅炉使用成型生物质燃料燃烧加热软化水，使其变成水蒸气，产生的蒸汽通过管道输送至现有工程需要用热的生产工序，大部分蒸汽冷凝回收至锅炉循环使用，少部分蒸发。</w:t>
            </w:r>
          </w:p>
          <w:p>
            <w:pPr>
              <w:ind w:firstLine="482"/>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single"/>
              </w:rPr>
              <w:t>生产工艺简述</w:t>
            </w:r>
          </w:p>
          <w:p>
            <w:pPr>
              <w:ind w:firstLine="480"/>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rPr>
              <w:t>1、配料、倒料拌料：将木屑</w:t>
            </w:r>
            <w:r>
              <w:rPr>
                <w:rFonts w:hint="default" w:ascii="Times New Roman" w:hAnsi="Times New Roman" w:eastAsia="宋体" w:cs="Times New Roman"/>
                <w:color w:val="auto"/>
                <w:u w:val="single"/>
                <w:lang w:eastAsia="zh-CN"/>
              </w:rPr>
              <w:t>、</w:t>
            </w:r>
            <w:r>
              <w:rPr>
                <w:rFonts w:hint="default" w:ascii="Times New Roman" w:hAnsi="Times New Roman" w:eastAsia="宋体" w:cs="Times New Roman"/>
                <w:color w:val="auto"/>
                <w:u w:val="single"/>
              </w:rPr>
              <w:t>麸皮</w:t>
            </w:r>
            <w:r>
              <w:rPr>
                <w:rFonts w:hint="default" w:ascii="Times New Roman" w:hAnsi="Times New Roman" w:eastAsia="宋体" w:cs="Times New Roman"/>
                <w:color w:val="auto"/>
                <w:u w:val="single"/>
                <w:lang w:eastAsia="zh-CN"/>
              </w:rPr>
              <w:t>、</w:t>
            </w:r>
            <w:r>
              <w:rPr>
                <w:rFonts w:hint="default" w:ascii="Times New Roman" w:hAnsi="Times New Roman" w:eastAsia="宋体" w:cs="Times New Roman"/>
                <w:color w:val="auto"/>
                <w:u w:val="single"/>
                <w:lang w:val="en-US" w:eastAsia="zh-CN"/>
              </w:rPr>
              <w:t>石膏、石灰等</w:t>
            </w:r>
            <w:r>
              <w:rPr>
                <w:rFonts w:hint="default" w:ascii="Times New Roman" w:hAnsi="Times New Roman" w:eastAsia="宋体" w:cs="Times New Roman"/>
                <w:color w:val="auto"/>
                <w:u w:val="single"/>
              </w:rPr>
              <w:t>原料按一定混合比例配置并加水搅拌混合均匀</w:t>
            </w:r>
            <w:r>
              <w:rPr>
                <w:rFonts w:hint="default" w:ascii="Times New Roman" w:hAnsi="Times New Roman" w:eastAsia="宋体" w:cs="Times New Roman"/>
                <w:color w:val="auto"/>
                <w:u w:val="single"/>
                <w:lang w:eastAsia="zh-CN"/>
              </w:rPr>
              <w:t>。</w:t>
            </w:r>
          </w:p>
          <w:p>
            <w:pPr>
              <w:ind w:firstLine="480"/>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2装瓶打孔：装瓶采用机械化作业，拌料均匀，装瓶计量准确，原料紧松一致，并对养料进行打孔，以便后续养菌出菇。</w:t>
            </w:r>
          </w:p>
          <w:p>
            <w:pPr>
              <w:ind w:firstLine="480"/>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3、装盖码垛：将装好瓶的养料使用无纺布密封，按一定数量放入灭菌锅内灭菌。</w:t>
            </w:r>
          </w:p>
          <w:p>
            <w:pPr>
              <w:ind w:firstLine="480"/>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4、灭菌：采用大型高压杀菌锅（123℃)通蒸汽加压杀菌，</w:t>
            </w:r>
            <w:r>
              <w:rPr>
                <w:rFonts w:hint="default" w:ascii="Times New Roman" w:hAnsi="Times New Roman" w:eastAsia="宋体" w:cs="Times New Roman"/>
                <w:i w:val="0"/>
                <w:iCs w:val="0"/>
                <w:caps w:val="0"/>
                <w:color w:val="auto"/>
                <w:spacing w:val="0"/>
                <w:sz w:val="24"/>
                <w:szCs w:val="24"/>
                <w:u w:val="single"/>
                <w:shd w:val="clear"/>
              </w:rPr>
              <w:t>高压蒸汽灭菌在快速灭杀微生物的同时，能促进培养料（如木屑、棉籽壳）的软化腐熟，释放更多可吸收养分，缩短后续发酵周期</w:t>
            </w:r>
            <w:r>
              <w:rPr>
                <w:rFonts w:hint="default" w:ascii="Times New Roman" w:hAnsi="Times New Roman" w:eastAsia="Arial" w:cs="Times New Roman"/>
                <w:i w:val="0"/>
                <w:iCs w:val="0"/>
                <w:caps w:val="0"/>
                <w:color w:val="auto"/>
                <w:spacing w:val="0"/>
                <w:sz w:val="24"/>
                <w:szCs w:val="24"/>
                <w:u w:val="single"/>
                <w:shd w:val="clear" w:fill="FFFFFF"/>
              </w:rPr>
              <w:t>‌</w:t>
            </w:r>
            <w:r>
              <w:rPr>
                <w:rFonts w:hint="default" w:ascii="Times New Roman" w:hAnsi="Times New Roman" w:eastAsia="宋体" w:cs="Times New Roman"/>
                <w:color w:val="auto"/>
                <w:u w:val="single"/>
              </w:rPr>
              <w:t>。</w:t>
            </w:r>
          </w:p>
          <w:p>
            <w:pPr>
              <w:keepNext w:val="0"/>
              <w:keepLines w:val="0"/>
              <w:widowControl/>
              <w:suppressLineNumbers w:val="0"/>
              <w:jc w:val="left"/>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5、冷却接种：待温度降至60℃左右时</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lang w:val="en-US" w:eastAsia="zh-CN"/>
              </w:rPr>
              <w:t>将</w:t>
            </w:r>
            <w:r>
              <w:rPr>
                <w:rFonts w:hint="default" w:ascii="Times New Roman" w:hAnsi="Times New Roman" w:eastAsia="宋体" w:cs="Times New Roman"/>
                <w:color w:val="auto"/>
                <w:u w:val="single"/>
              </w:rPr>
              <w:t>灭菌的菌瓶及时移至冷却室内冷却至</w:t>
            </w:r>
            <w:r>
              <w:rPr>
                <w:rFonts w:hint="default" w:ascii="Times New Roman" w:hAnsi="Times New Roman" w:eastAsia="宋体" w:cs="Times New Roman"/>
                <w:color w:val="auto"/>
                <w:u w:val="single"/>
                <w:lang w:val="en-US" w:eastAsia="zh-CN"/>
              </w:rPr>
              <w:t>25</w:t>
            </w:r>
            <w:r>
              <w:rPr>
                <w:rFonts w:hint="default" w:ascii="Times New Roman" w:hAnsi="Times New Roman" w:eastAsia="宋体" w:cs="Times New Roman"/>
                <w:color w:val="auto"/>
                <w:u w:val="single"/>
              </w:rPr>
              <w:t>℃以下时，在无菌接种生产线上</w:t>
            </w:r>
            <w:r>
              <w:rPr>
                <w:rFonts w:hint="default" w:ascii="Times New Roman" w:hAnsi="Times New Roman" w:cs="Times New Roman"/>
                <w:color w:val="auto"/>
                <w:u w:val="single"/>
                <w:lang w:val="en-US" w:eastAsia="zh-CN"/>
              </w:rPr>
              <w:t>进行</w:t>
            </w:r>
            <w:r>
              <w:rPr>
                <w:rFonts w:hint="default" w:ascii="Times New Roman" w:hAnsi="Times New Roman" w:eastAsia="宋体" w:cs="Times New Roman"/>
                <w:color w:val="auto"/>
                <w:u w:val="single"/>
              </w:rPr>
              <w:t>接种</w:t>
            </w:r>
            <w:r>
              <w:rPr>
                <w:rFonts w:hint="default" w:ascii="Times New Roman" w:hAnsi="Times New Roman" w:cs="Times New Roman"/>
                <w:color w:val="auto"/>
                <w:u w:val="single"/>
                <w:lang w:eastAsia="zh-CN"/>
              </w:rPr>
              <w:t>，</w:t>
            </w:r>
            <w:r>
              <w:rPr>
                <w:rFonts w:hint="default" w:ascii="Times New Roman" w:hAnsi="Times New Roman" w:eastAsia="Arial" w:cs="Times New Roman"/>
                <w:i w:val="0"/>
                <w:iCs w:val="0"/>
                <w:caps w:val="0"/>
                <w:color w:val="auto"/>
                <w:spacing w:val="0"/>
                <w:sz w:val="24"/>
                <w:szCs w:val="24"/>
                <w:u w:val="single"/>
                <w:shd w:val="clear" w:fill="FFFFFF"/>
              </w:rPr>
              <w:t>接种过程需迅速精准，减少暴露时间</w:t>
            </w:r>
            <w:r>
              <w:rPr>
                <w:rFonts w:hint="default" w:ascii="Times New Roman" w:hAnsi="Times New Roman" w:eastAsia="宋体" w:cs="Times New Roman"/>
                <w:i w:val="0"/>
                <w:iCs w:val="0"/>
                <w:caps w:val="0"/>
                <w:color w:val="auto"/>
                <w:spacing w:val="0"/>
                <w:sz w:val="24"/>
                <w:szCs w:val="24"/>
                <w:u w:val="single"/>
                <w:shd w:val="clear" w:fill="FFFFFF"/>
                <w:lang w:eastAsia="zh-CN"/>
              </w:rPr>
              <w:t>，</w:t>
            </w:r>
            <w:r>
              <w:rPr>
                <w:rFonts w:hint="default" w:ascii="Times New Roman" w:hAnsi="Times New Roman" w:eastAsia="Arial" w:cs="Times New Roman"/>
                <w:i w:val="0"/>
                <w:iCs w:val="0"/>
                <w:caps w:val="0"/>
                <w:color w:val="auto"/>
                <w:spacing w:val="0"/>
                <w:sz w:val="24"/>
                <w:szCs w:val="24"/>
                <w:u w:val="single"/>
                <w:shd w:val="clear" w:fill="FFFFFF"/>
              </w:rPr>
              <w:t>菌种暴露区域需用酒精棉球实时消毒‌</w:t>
            </w:r>
            <w:r>
              <w:rPr>
                <w:rFonts w:hint="default" w:ascii="Times New Roman" w:hAnsi="Times New Roman" w:eastAsia="宋体" w:cs="Times New Roman"/>
                <w:i w:val="0"/>
                <w:iCs w:val="0"/>
                <w:caps w:val="0"/>
                <w:color w:val="auto"/>
                <w:spacing w:val="0"/>
                <w:sz w:val="24"/>
                <w:szCs w:val="24"/>
                <w:u w:val="single"/>
                <w:shd w:val="clear" w:fill="FFFFFF"/>
                <w:lang w:eastAsia="zh-CN"/>
              </w:rPr>
              <w:t>，</w:t>
            </w:r>
            <w:r>
              <w:rPr>
                <w:rFonts w:hint="default" w:ascii="Times New Roman" w:hAnsi="Times New Roman" w:eastAsia="宋体" w:cs="Times New Roman"/>
                <w:i w:val="0"/>
                <w:iCs w:val="0"/>
                <w:caps w:val="0"/>
                <w:color w:val="auto"/>
                <w:spacing w:val="0"/>
                <w:sz w:val="24"/>
                <w:szCs w:val="24"/>
                <w:u w:val="single"/>
                <w:shd w:val="clear" w:fill="FFFFFF"/>
                <w:lang w:val="en-US" w:eastAsia="zh-CN"/>
              </w:rPr>
              <w:t>保证</w:t>
            </w:r>
            <w:r>
              <w:rPr>
                <w:rFonts w:hint="default" w:ascii="Times New Roman" w:hAnsi="Times New Roman" w:eastAsia="宋体" w:cs="Times New Roman"/>
                <w:color w:val="auto"/>
                <w:u w:val="single"/>
              </w:rPr>
              <w:t>杂菌污染少，接种成品率高，生产率高。</w:t>
            </w:r>
            <w:r>
              <w:rPr>
                <w:rFonts w:hint="default" w:ascii="Times New Roman" w:hAnsi="Times New Roman" w:eastAsia="宋体" w:cs="Times New Roman"/>
                <w:color w:val="auto"/>
                <w:kern w:val="0"/>
                <w:sz w:val="24"/>
                <w:szCs w:val="24"/>
                <w:u w:val="single"/>
                <w:lang w:val="en-US" w:eastAsia="zh-CN" w:bidi="ar"/>
              </w:rPr>
              <w:t>冷却室内制冷设备采用R134a制冷剂。</w:t>
            </w:r>
          </w:p>
          <w:p>
            <w:pPr>
              <w:ind w:firstLine="480"/>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5、</w:t>
            </w:r>
            <w:r>
              <w:rPr>
                <w:rFonts w:hint="default" w:ascii="Times New Roman" w:hAnsi="Times New Roman" w:eastAsia="宋体" w:cs="Times New Roman"/>
                <w:color w:val="auto"/>
                <w:u w:val="single"/>
                <w:lang w:val="en-US" w:eastAsia="zh-CN"/>
              </w:rPr>
              <w:t>培养</w:t>
            </w:r>
            <w:r>
              <w:rPr>
                <w:rFonts w:hint="default" w:ascii="Times New Roman" w:hAnsi="Times New Roman" w:eastAsia="宋体" w:cs="Times New Roman"/>
                <w:color w:val="auto"/>
                <w:u w:val="single"/>
              </w:rPr>
              <w:t>：发菌室恒温23-25℃，黑暗。随着菌丝的生长，室内CO</w:t>
            </w:r>
            <w:r>
              <w:rPr>
                <w:rFonts w:hint="default" w:ascii="Times New Roman" w:hAnsi="Times New Roman" w:eastAsia="宋体" w:cs="Times New Roman"/>
                <w:color w:val="auto"/>
                <w:u w:val="single"/>
                <w:vertAlign w:val="subscript"/>
              </w:rPr>
              <w:t>2</w:t>
            </w:r>
            <w:r>
              <w:rPr>
                <w:rFonts w:hint="default" w:ascii="Times New Roman" w:hAnsi="Times New Roman" w:eastAsia="宋体" w:cs="Times New Roman"/>
                <w:color w:val="auto"/>
                <w:u w:val="single"/>
              </w:rPr>
              <w:t>浓度由正常空气中的量0.03%逐渐上升0.22%，较高浓度CO</w:t>
            </w:r>
            <w:r>
              <w:rPr>
                <w:rFonts w:hint="default" w:ascii="Times New Roman" w:hAnsi="Times New Roman" w:eastAsia="宋体" w:cs="Times New Roman"/>
                <w:color w:val="auto"/>
                <w:u w:val="single"/>
                <w:vertAlign w:val="subscript"/>
              </w:rPr>
              <w:t>2</w:t>
            </w:r>
            <w:r>
              <w:rPr>
                <w:rFonts w:hint="default" w:ascii="Times New Roman" w:hAnsi="Times New Roman" w:eastAsia="宋体" w:cs="Times New Roman"/>
                <w:color w:val="auto"/>
                <w:u w:val="single"/>
              </w:rPr>
              <w:t>可刺激菌丝生长，所以培养期间少量换气即可。培养</w:t>
            </w:r>
            <w:r>
              <w:rPr>
                <w:rFonts w:hint="default" w:ascii="Times New Roman" w:hAnsi="Times New Roman" w:eastAsia="宋体" w:cs="Times New Roman"/>
                <w:color w:val="auto"/>
                <w:u w:val="single"/>
                <w:lang w:val="en-US" w:eastAsia="zh-CN"/>
              </w:rPr>
              <w:t>45-55</w:t>
            </w:r>
            <w:r>
              <w:rPr>
                <w:rFonts w:hint="default" w:ascii="Times New Roman" w:hAnsi="Times New Roman" w:eastAsia="宋体" w:cs="Times New Roman"/>
                <w:color w:val="auto"/>
                <w:u w:val="single"/>
              </w:rPr>
              <w:t>天左右菌丝可满</w:t>
            </w:r>
            <w:r>
              <w:rPr>
                <w:rFonts w:hint="default" w:ascii="Times New Roman" w:hAnsi="Times New Roman" w:eastAsia="宋体" w:cs="Times New Roman"/>
                <w:color w:val="auto"/>
                <w:u w:val="single"/>
                <w:lang w:eastAsia="zh-CN"/>
              </w:rPr>
              <w:t>棒</w:t>
            </w:r>
            <w:r>
              <w:rPr>
                <w:rFonts w:hint="default" w:ascii="Times New Roman" w:hAnsi="Times New Roman" w:eastAsia="宋体" w:cs="Times New Roman"/>
                <w:color w:val="auto"/>
                <w:u w:val="single"/>
              </w:rPr>
              <w:t>。</w:t>
            </w:r>
          </w:p>
          <w:p>
            <w:pPr>
              <w:widowControl w:val="0"/>
              <w:spacing w:after="0" w:line="360" w:lineRule="auto"/>
              <w:ind w:firstLine="472" w:firstLineChars="197"/>
              <w:jc w:val="both"/>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6、</w:t>
            </w:r>
            <w:r>
              <w:rPr>
                <w:rFonts w:hint="default" w:ascii="Times New Roman" w:hAnsi="Times New Roman" w:eastAsia="宋体" w:cs="Times New Roman"/>
                <w:color w:val="auto"/>
                <w:u w:val="single"/>
                <w:lang w:val="en-US" w:eastAsia="zh-CN"/>
              </w:rPr>
              <w:t>出菇</w:t>
            </w:r>
            <w:r>
              <w:rPr>
                <w:rFonts w:hint="default" w:ascii="Times New Roman" w:hAnsi="Times New Roman" w:eastAsia="宋体" w:cs="Times New Roman"/>
                <w:color w:val="auto"/>
                <w:u w:val="single"/>
              </w:rPr>
              <w:t>：出菇期要求菇房内气温保持在23~32℃。水分管理：水分是通过覆土层的喷水来调节土层的湿度。覆土后10~15天，土面上就会冒出棒形原基。随着子实体的生长发育，要逐渐增加喷水次数，菇棚内的相对湿度要保持在80%~90%。子实体采收后停止喷水，降低土层含水量，改善通气状况，促使菌丝恢复生长。</w:t>
            </w:r>
          </w:p>
          <w:p>
            <w:pPr>
              <w:keepNext w:val="0"/>
              <w:keepLines w:val="0"/>
              <w:widowControl/>
              <w:suppressLineNumbers w:val="0"/>
              <w:jc w:val="left"/>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7、</w:t>
            </w:r>
            <w:r>
              <w:rPr>
                <w:rFonts w:hint="default" w:ascii="Times New Roman" w:hAnsi="Times New Roman" w:eastAsia="宋体" w:cs="Times New Roman"/>
                <w:color w:val="auto"/>
                <w:u w:val="single"/>
                <w:lang w:val="en-US" w:eastAsia="zh-CN"/>
              </w:rPr>
              <w:t>采收</w:t>
            </w:r>
            <w:r>
              <w:rPr>
                <w:rFonts w:hint="default" w:ascii="Times New Roman" w:hAnsi="Times New Roman" w:eastAsia="宋体" w:cs="Times New Roman"/>
                <w:color w:val="auto"/>
                <w:u w:val="single"/>
              </w:rPr>
              <w:t>：待菇体长至七八成熟，菌柄长10~15厘米，子实体呈漏斗状，孢子尚未弹射时为采收适期。采摘时轻轻旋转拔起，采摘下的菇体用小刀削除菇柄基部表皮杂物。每潮菇采完后应及时补充覆土，清理床面的死菇和老化菌丝，停水养菌3~5天后再喷水出菇。</w:t>
            </w:r>
            <w:r>
              <w:rPr>
                <w:rFonts w:hint="default" w:ascii="Times New Roman" w:hAnsi="Times New Roman" w:eastAsia="宋体" w:cs="Times New Roman"/>
                <w:color w:val="auto"/>
                <w:kern w:val="0"/>
                <w:sz w:val="24"/>
                <w:szCs w:val="24"/>
                <w:u w:val="single"/>
                <w:lang w:val="en-US" w:eastAsia="zh-CN" w:bidi="ar"/>
              </w:rPr>
              <w:t>根据客户要求，采收时按照一类品、二类品、三类品进行分类，称重后包装进冷库待售。</w:t>
            </w:r>
          </w:p>
          <w:p>
            <w:pPr>
              <w:ind w:firstLine="0" w:firstLineChars="0"/>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single"/>
              </w:rPr>
              <w:t>二、营运期主要产污环节</w:t>
            </w:r>
          </w:p>
          <w:p>
            <w:pPr>
              <w:ind w:firstLine="480"/>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项目运营期的产物情况一览表见下表。</w:t>
            </w:r>
          </w:p>
          <w:p>
            <w:pPr>
              <w:pStyle w:val="7"/>
              <w:rPr>
                <w:rFonts w:hint="default" w:ascii="Times New Roman" w:hAnsi="Times New Roman" w:eastAsia="宋体" w:cs="Times New Roman"/>
                <w:color w:val="auto"/>
                <w:kern w:val="0"/>
                <w:sz w:val="21"/>
                <w:u w:val="single"/>
              </w:rPr>
            </w:pPr>
            <w:r>
              <w:rPr>
                <w:rFonts w:hint="default" w:ascii="Times New Roman" w:hAnsi="Times New Roman" w:eastAsia="宋体" w:cs="Times New Roman"/>
                <w:color w:val="auto"/>
                <w:kern w:val="0"/>
                <w:sz w:val="21"/>
                <w:u w:val="single"/>
              </w:rPr>
              <w:t>表2-</w:t>
            </w:r>
            <w:r>
              <w:rPr>
                <w:rFonts w:hint="eastAsia" w:cs="Times New Roman"/>
                <w:color w:val="auto"/>
                <w:kern w:val="0"/>
                <w:sz w:val="21"/>
                <w:u w:val="single"/>
                <w:lang w:val="en-US" w:eastAsia="zh-CN"/>
              </w:rPr>
              <w:t>7</w:t>
            </w:r>
            <w:r>
              <w:rPr>
                <w:rFonts w:hint="default" w:ascii="Times New Roman" w:hAnsi="Times New Roman" w:eastAsia="宋体" w:cs="Times New Roman"/>
                <w:color w:val="auto"/>
                <w:kern w:val="0"/>
                <w:sz w:val="21"/>
                <w:u w:val="single"/>
              </w:rPr>
              <w:t>运营期污染物产生情况一览表</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2583"/>
              <w:gridCol w:w="1590"/>
              <w:gridCol w:w="3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jc w:val="center"/>
              </w:trPr>
              <w:tc>
                <w:tcPr>
                  <w:tcW w:w="551" w:type="pct"/>
                  <w:vAlign w:val="center"/>
                </w:tcPr>
                <w:p>
                  <w:pPr>
                    <w:pStyle w:val="48"/>
                    <w:widowControl w:val="0"/>
                    <w:rPr>
                      <w:rFonts w:hint="default" w:ascii="Times New Roman" w:hAnsi="Times New Roman" w:eastAsia="宋体" w:cs="Times New Roman"/>
                      <w:b/>
                      <w:color w:val="auto"/>
                      <w:kern w:val="2"/>
                      <w:u w:val="single"/>
                    </w:rPr>
                  </w:pPr>
                  <w:r>
                    <w:rPr>
                      <w:rFonts w:hint="default" w:ascii="Times New Roman" w:hAnsi="Times New Roman" w:eastAsia="宋体" w:cs="Times New Roman"/>
                      <w:b/>
                      <w:color w:val="auto"/>
                      <w:kern w:val="2"/>
                      <w:u w:val="single"/>
                    </w:rPr>
                    <w:t>环境因素</w:t>
                  </w:r>
                </w:p>
              </w:tc>
              <w:tc>
                <w:tcPr>
                  <w:tcW w:w="1552" w:type="pct"/>
                  <w:vAlign w:val="center"/>
                </w:tcPr>
                <w:p>
                  <w:pPr>
                    <w:pStyle w:val="48"/>
                    <w:widowControl w:val="0"/>
                    <w:rPr>
                      <w:rFonts w:hint="default" w:ascii="Times New Roman" w:hAnsi="Times New Roman" w:eastAsia="宋体" w:cs="Times New Roman"/>
                      <w:b/>
                      <w:color w:val="auto"/>
                      <w:kern w:val="2"/>
                      <w:u w:val="single"/>
                    </w:rPr>
                  </w:pPr>
                  <w:r>
                    <w:rPr>
                      <w:rFonts w:hint="default" w:ascii="Times New Roman" w:hAnsi="Times New Roman" w:eastAsia="宋体" w:cs="Times New Roman"/>
                      <w:b/>
                      <w:color w:val="auto"/>
                      <w:kern w:val="2"/>
                      <w:u w:val="single"/>
                    </w:rPr>
                    <w:t>污染源</w:t>
                  </w:r>
                </w:p>
              </w:tc>
              <w:tc>
                <w:tcPr>
                  <w:tcW w:w="955" w:type="pct"/>
                  <w:vAlign w:val="center"/>
                </w:tcPr>
                <w:p>
                  <w:pPr>
                    <w:pStyle w:val="48"/>
                    <w:widowControl w:val="0"/>
                    <w:rPr>
                      <w:rFonts w:hint="default" w:ascii="Times New Roman" w:hAnsi="Times New Roman" w:eastAsia="宋体" w:cs="Times New Roman"/>
                      <w:b/>
                      <w:color w:val="auto"/>
                      <w:kern w:val="2"/>
                      <w:u w:val="single"/>
                    </w:rPr>
                  </w:pPr>
                  <w:r>
                    <w:rPr>
                      <w:rFonts w:hint="default" w:ascii="Times New Roman" w:hAnsi="Times New Roman" w:eastAsia="宋体" w:cs="Times New Roman"/>
                      <w:b/>
                      <w:color w:val="auto"/>
                      <w:kern w:val="2"/>
                      <w:u w:val="single"/>
                    </w:rPr>
                    <w:t>主要污染因子</w:t>
                  </w:r>
                </w:p>
              </w:tc>
              <w:tc>
                <w:tcPr>
                  <w:tcW w:w="1941" w:type="pct"/>
                  <w:vAlign w:val="center"/>
                </w:tcPr>
                <w:p>
                  <w:pPr>
                    <w:pStyle w:val="48"/>
                    <w:widowControl w:val="0"/>
                    <w:rPr>
                      <w:rFonts w:hint="default" w:ascii="Times New Roman" w:hAnsi="Times New Roman" w:eastAsia="宋体" w:cs="Times New Roman"/>
                      <w:b/>
                      <w:color w:val="auto"/>
                      <w:kern w:val="2"/>
                      <w:u w:val="single"/>
                    </w:rPr>
                  </w:pPr>
                  <w:r>
                    <w:rPr>
                      <w:rFonts w:hint="default" w:ascii="Times New Roman" w:hAnsi="Times New Roman" w:eastAsia="宋体" w:cs="Times New Roman"/>
                      <w:b/>
                      <w:color w:val="auto"/>
                      <w:kern w:val="2"/>
                      <w:u w:val="single"/>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551" w:type="pct"/>
                  <w:vMerge w:val="restart"/>
                  <w:vAlign w:val="center"/>
                </w:tcPr>
                <w:p>
                  <w:pPr>
                    <w:pStyle w:val="48"/>
                    <w:widowControl w:val="0"/>
                    <w:rPr>
                      <w:rFonts w:hint="default" w:ascii="Times New Roman" w:hAnsi="Times New Roman" w:eastAsia="宋体" w:cs="Times New Roman"/>
                      <w:color w:val="auto"/>
                      <w:kern w:val="2"/>
                      <w:u w:val="single"/>
                    </w:rPr>
                  </w:pPr>
                  <w:r>
                    <w:rPr>
                      <w:rFonts w:hint="default" w:ascii="Times New Roman" w:hAnsi="Times New Roman" w:eastAsia="宋体" w:cs="Times New Roman"/>
                      <w:color w:val="auto"/>
                      <w:kern w:val="2"/>
                      <w:u w:val="single"/>
                    </w:rPr>
                    <w:t>废水</w:t>
                  </w:r>
                </w:p>
              </w:tc>
              <w:tc>
                <w:tcPr>
                  <w:tcW w:w="1552" w:type="pct"/>
                  <w:vAlign w:val="center"/>
                </w:tcPr>
                <w:p>
                  <w:pPr>
                    <w:pStyle w:val="48"/>
                    <w:widowControl w:val="0"/>
                    <w:rPr>
                      <w:rFonts w:hint="default" w:ascii="Times New Roman" w:hAnsi="Times New Roman" w:eastAsia="宋体" w:cs="Times New Roman"/>
                      <w:color w:val="auto"/>
                      <w:kern w:val="2"/>
                      <w:u w:val="single"/>
                    </w:rPr>
                  </w:pPr>
                  <w:r>
                    <w:rPr>
                      <w:rFonts w:hint="default" w:ascii="Times New Roman" w:hAnsi="Times New Roman" w:eastAsia="宋体" w:cs="Times New Roman"/>
                      <w:color w:val="auto"/>
                      <w:kern w:val="2"/>
                      <w:u w:val="single"/>
                    </w:rPr>
                    <w:t>生活废水</w:t>
                  </w:r>
                </w:p>
              </w:tc>
              <w:tc>
                <w:tcPr>
                  <w:tcW w:w="955" w:type="pct"/>
                  <w:vAlign w:val="center"/>
                </w:tcPr>
                <w:p>
                  <w:pPr>
                    <w:pStyle w:val="48"/>
                    <w:widowControl w:val="0"/>
                    <w:rPr>
                      <w:rFonts w:hint="default" w:ascii="Times New Roman" w:hAnsi="Times New Roman" w:eastAsia="宋体" w:cs="Times New Roman"/>
                      <w:color w:val="auto"/>
                      <w:kern w:val="2"/>
                      <w:u w:val="single"/>
                    </w:rPr>
                  </w:pPr>
                  <w:r>
                    <w:rPr>
                      <w:rFonts w:hint="default" w:ascii="Times New Roman" w:hAnsi="Times New Roman" w:eastAsia="宋体" w:cs="Times New Roman"/>
                      <w:color w:val="auto"/>
                      <w:kern w:val="2"/>
                      <w:u w:val="single"/>
                    </w:rPr>
                    <w:t>COD、NH</w:t>
                  </w:r>
                  <w:r>
                    <w:rPr>
                      <w:rFonts w:hint="default" w:ascii="Times New Roman" w:hAnsi="Times New Roman" w:eastAsia="宋体" w:cs="Times New Roman"/>
                      <w:color w:val="auto"/>
                      <w:kern w:val="2"/>
                      <w:u w:val="single"/>
                      <w:vertAlign w:val="subscript"/>
                    </w:rPr>
                    <w:t>3</w:t>
                  </w:r>
                  <w:r>
                    <w:rPr>
                      <w:rFonts w:hint="default" w:ascii="Times New Roman" w:hAnsi="Times New Roman" w:eastAsia="宋体" w:cs="Times New Roman"/>
                      <w:color w:val="auto"/>
                      <w:kern w:val="2"/>
                      <w:u w:val="single"/>
                    </w:rPr>
                    <w:t>-N等</w:t>
                  </w:r>
                </w:p>
              </w:tc>
              <w:tc>
                <w:tcPr>
                  <w:tcW w:w="1941" w:type="pct"/>
                  <w:vMerge w:val="restart"/>
                  <w:vAlign w:val="center"/>
                </w:tcPr>
                <w:p>
                  <w:pPr>
                    <w:pStyle w:val="48"/>
                    <w:widowControl w:val="0"/>
                    <w:rPr>
                      <w:rFonts w:hint="default" w:ascii="Times New Roman" w:hAnsi="Times New Roman" w:eastAsia="宋体" w:cs="Times New Roman"/>
                      <w:color w:val="auto"/>
                      <w:kern w:val="2"/>
                      <w:u w:val="single"/>
                    </w:rPr>
                  </w:pPr>
                  <w:r>
                    <w:rPr>
                      <w:rFonts w:hint="default" w:ascii="Times New Roman" w:hAnsi="Times New Roman" w:eastAsia="宋体" w:cs="Times New Roman"/>
                      <w:color w:val="auto"/>
                      <w:kern w:val="2"/>
                      <w:u w:val="single"/>
                      <w:lang w:val="en-US" w:eastAsia="zh-CN"/>
                    </w:rPr>
                    <w:t>生活污水经化粪池预处理，</w:t>
                  </w:r>
                  <w:r>
                    <w:rPr>
                      <w:rFonts w:hint="eastAsia" w:cs="Times New Roman"/>
                      <w:color w:val="auto"/>
                      <w:kern w:val="2"/>
                      <w:u w:val="single"/>
                      <w:lang w:val="en-US" w:eastAsia="zh-CN"/>
                    </w:rPr>
                    <w:t>食堂废水经隔油池预处理后一并经自建一体化污水处理设施处理达标后给周边菜地做农肥使用；</w:t>
                  </w:r>
                  <w:r>
                    <w:rPr>
                      <w:rFonts w:hint="default" w:ascii="Times New Roman" w:hAnsi="Times New Roman" w:eastAsia="宋体" w:cs="Times New Roman"/>
                      <w:color w:val="auto"/>
                      <w:kern w:val="2"/>
                      <w:u w:val="single"/>
                      <w:lang w:val="en-US" w:eastAsia="zh-CN"/>
                    </w:rPr>
                    <w:t>锅炉</w:t>
                  </w:r>
                  <w:r>
                    <w:rPr>
                      <w:rFonts w:hint="eastAsia" w:cs="Times New Roman"/>
                      <w:color w:val="auto"/>
                      <w:kern w:val="2"/>
                      <w:u w:val="single"/>
                      <w:lang w:val="en-US" w:eastAsia="zh-CN"/>
                    </w:rPr>
                    <w:t>排污水</w:t>
                  </w:r>
                  <w:r>
                    <w:rPr>
                      <w:rFonts w:hint="default" w:ascii="Times New Roman" w:hAnsi="Times New Roman" w:eastAsia="宋体" w:cs="Times New Roman"/>
                      <w:color w:val="auto"/>
                      <w:kern w:val="2"/>
                      <w:u w:val="single"/>
                      <w:lang w:val="en-US" w:eastAsia="zh-CN"/>
                    </w:rPr>
                    <w:t>、软水制备废水收集进入厂区沉淀池处理后直接用于主料预湿工序，不外排。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551" w:type="pct"/>
                  <w:vMerge w:val="continue"/>
                  <w:vAlign w:val="center"/>
                </w:tcPr>
                <w:p>
                  <w:pPr>
                    <w:pStyle w:val="48"/>
                    <w:widowControl w:val="0"/>
                    <w:rPr>
                      <w:rFonts w:hint="default" w:ascii="Times New Roman" w:hAnsi="Times New Roman" w:eastAsia="宋体" w:cs="Times New Roman"/>
                      <w:color w:val="auto"/>
                      <w:kern w:val="2"/>
                      <w:u w:val="single"/>
                    </w:rPr>
                  </w:pPr>
                </w:p>
              </w:tc>
              <w:tc>
                <w:tcPr>
                  <w:tcW w:w="1552" w:type="pct"/>
                  <w:vAlign w:val="center"/>
                </w:tcPr>
                <w:p>
                  <w:pPr>
                    <w:pStyle w:val="48"/>
                    <w:widowControl w:val="0"/>
                    <w:rPr>
                      <w:rFonts w:hint="default" w:ascii="Times New Roman" w:hAnsi="Times New Roman" w:eastAsia="宋体" w:cs="Times New Roman"/>
                      <w:color w:val="auto"/>
                      <w:kern w:val="2"/>
                      <w:u w:val="single"/>
                    </w:rPr>
                  </w:pPr>
                  <w:r>
                    <w:rPr>
                      <w:rFonts w:hint="default" w:ascii="Times New Roman" w:hAnsi="Times New Roman" w:eastAsia="宋体" w:cs="Times New Roman"/>
                      <w:color w:val="auto"/>
                      <w:kern w:val="2"/>
                      <w:u w:val="single"/>
                    </w:rPr>
                    <w:t>食堂废水</w:t>
                  </w:r>
                </w:p>
              </w:tc>
              <w:tc>
                <w:tcPr>
                  <w:tcW w:w="955" w:type="pct"/>
                  <w:vAlign w:val="center"/>
                </w:tcPr>
                <w:p>
                  <w:pPr>
                    <w:pStyle w:val="48"/>
                    <w:widowControl w:val="0"/>
                    <w:rPr>
                      <w:rFonts w:hint="default" w:ascii="Times New Roman" w:hAnsi="Times New Roman" w:eastAsia="宋体" w:cs="Times New Roman"/>
                      <w:color w:val="auto"/>
                      <w:kern w:val="2"/>
                      <w:u w:val="single"/>
                    </w:rPr>
                  </w:pPr>
                  <w:r>
                    <w:rPr>
                      <w:rFonts w:hint="default" w:ascii="Times New Roman" w:hAnsi="Times New Roman" w:eastAsia="宋体" w:cs="Times New Roman"/>
                      <w:color w:val="auto"/>
                      <w:kern w:val="2"/>
                      <w:u w:val="single"/>
                    </w:rPr>
                    <w:t>COD、NH</w:t>
                  </w:r>
                  <w:r>
                    <w:rPr>
                      <w:rFonts w:hint="default" w:ascii="Times New Roman" w:hAnsi="Times New Roman" w:eastAsia="宋体" w:cs="Times New Roman"/>
                      <w:color w:val="auto"/>
                      <w:kern w:val="2"/>
                      <w:u w:val="single"/>
                      <w:vertAlign w:val="subscript"/>
                    </w:rPr>
                    <w:t>3</w:t>
                  </w:r>
                  <w:r>
                    <w:rPr>
                      <w:rFonts w:hint="default" w:ascii="Times New Roman" w:hAnsi="Times New Roman" w:eastAsia="宋体" w:cs="Times New Roman"/>
                      <w:color w:val="auto"/>
                      <w:kern w:val="2"/>
                      <w:u w:val="single"/>
                    </w:rPr>
                    <w:t>-N</w:t>
                  </w:r>
                  <w:r>
                    <w:rPr>
                      <w:rFonts w:hint="eastAsia" w:cs="Times New Roman"/>
                      <w:color w:val="auto"/>
                      <w:kern w:val="2"/>
                      <w:u w:val="single"/>
                      <w:lang w:eastAsia="zh-CN"/>
                    </w:rPr>
                    <w:t>、</w:t>
                  </w:r>
                  <w:r>
                    <w:rPr>
                      <w:rFonts w:hint="eastAsia" w:cs="Times New Roman"/>
                      <w:color w:val="auto"/>
                      <w:kern w:val="2"/>
                      <w:u w:val="single"/>
                      <w:lang w:val="en-US" w:eastAsia="zh-CN"/>
                    </w:rPr>
                    <w:t>动植物油</w:t>
                  </w:r>
                  <w:r>
                    <w:rPr>
                      <w:rFonts w:hint="default" w:ascii="Times New Roman" w:hAnsi="Times New Roman" w:eastAsia="宋体" w:cs="Times New Roman"/>
                      <w:color w:val="auto"/>
                      <w:kern w:val="2"/>
                      <w:u w:val="single"/>
                    </w:rPr>
                    <w:t>等</w:t>
                  </w:r>
                </w:p>
              </w:tc>
              <w:tc>
                <w:tcPr>
                  <w:tcW w:w="1941" w:type="pct"/>
                  <w:vMerge w:val="continue"/>
                  <w:vAlign w:val="center"/>
                </w:tcPr>
                <w:p>
                  <w:pPr>
                    <w:pStyle w:val="48"/>
                    <w:widowControl w:val="0"/>
                    <w:rPr>
                      <w:rFonts w:hint="default" w:ascii="Times New Roman" w:hAnsi="Times New Roman" w:eastAsia="宋体" w:cs="Times New Roman"/>
                      <w:color w:val="auto"/>
                      <w:kern w:val="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551" w:type="pct"/>
                  <w:vMerge w:val="continue"/>
                  <w:vAlign w:val="center"/>
                </w:tcPr>
                <w:p>
                  <w:pPr>
                    <w:pStyle w:val="48"/>
                    <w:widowControl w:val="0"/>
                    <w:rPr>
                      <w:rFonts w:hint="default" w:ascii="Times New Roman" w:hAnsi="Times New Roman" w:eastAsia="宋体" w:cs="Times New Roman"/>
                      <w:color w:val="auto"/>
                      <w:kern w:val="2"/>
                      <w:u w:val="single"/>
                    </w:rPr>
                  </w:pPr>
                </w:p>
              </w:tc>
              <w:tc>
                <w:tcPr>
                  <w:tcW w:w="1552" w:type="pct"/>
                  <w:vAlign w:val="center"/>
                </w:tcPr>
                <w:p>
                  <w:pPr>
                    <w:pStyle w:val="48"/>
                    <w:widowControl w:val="0"/>
                    <w:rPr>
                      <w:rFonts w:hint="default" w:ascii="Times New Roman" w:hAnsi="Times New Roman" w:eastAsia="宋体" w:cs="Times New Roman"/>
                      <w:color w:val="auto"/>
                      <w:kern w:val="2"/>
                      <w:u w:val="single"/>
                    </w:rPr>
                  </w:pPr>
                  <w:r>
                    <w:rPr>
                      <w:rFonts w:hint="default" w:ascii="Times New Roman" w:hAnsi="Times New Roman" w:eastAsia="宋体" w:cs="Times New Roman"/>
                      <w:color w:val="auto"/>
                      <w:kern w:val="2"/>
                      <w:u w:val="single"/>
                    </w:rPr>
                    <w:t>锅炉排</w:t>
                  </w:r>
                  <w:r>
                    <w:rPr>
                      <w:rFonts w:hint="eastAsia" w:cs="Times New Roman"/>
                      <w:color w:val="auto"/>
                      <w:kern w:val="2"/>
                      <w:u w:val="single"/>
                      <w:lang w:val="en-US" w:eastAsia="zh-CN"/>
                    </w:rPr>
                    <w:t>污</w:t>
                  </w:r>
                  <w:r>
                    <w:rPr>
                      <w:rFonts w:hint="default" w:ascii="Times New Roman" w:hAnsi="Times New Roman" w:eastAsia="宋体" w:cs="Times New Roman"/>
                      <w:color w:val="auto"/>
                      <w:kern w:val="2"/>
                      <w:u w:val="single"/>
                    </w:rPr>
                    <w:t>水</w:t>
                  </w:r>
                </w:p>
              </w:tc>
              <w:tc>
                <w:tcPr>
                  <w:tcW w:w="955" w:type="pct"/>
                  <w:vAlign w:val="center"/>
                </w:tcPr>
                <w:p>
                  <w:pPr>
                    <w:pStyle w:val="48"/>
                    <w:widowControl w:val="0"/>
                    <w:rPr>
                      <w:rFonts w:hint="default" w:ascii="Times New Roman" w:hAnsi="Times New Roman" w:eastAsia="宋体" w:cs="Times New Roman"/>
                      <w:color w:val="auto"/>
                      <w:kern w:val="2"/>
                      <w:u w:val="single"/>
                      <w:lang w:val="en-US" w:eastAsia="zh-CN"/>
                    </w:rPr>
                  </w:pPr>
                  <w:r>
                    <w:rPr>
                      <w:rFonts w:hint="default" w:ascii="Times New Roman" w:hAnsi="Times New Roman" w:eastAsia="宋体" w:cs="Times New Roman"/>
                      <w:color w:val="auto"/>
                      <w:kern w:val="2"/>
                      <w:u w:val="single"/>
                    </w:rPr>
                    <w:t>SS</w:t>
                  </w:r>
                  <w:r>
                    <w:rPr>
                      <w:rFonts w:hint="eastAsia" w:cs="Times New Roman"/>
                      <w:color w:val="auto"/>
                      <w:kern w:val="2"/>
                      <w:u w:val="single"/>
                      <w:lang w:eastAsia="zh-CN"/>
                    </w:rPr>
                    <w:t>、</w:t>
                  </w:r>
                  <w:r>
                    <w:rPr>
                      <w:rFonts w:hint="eastAsia" w:cs="Times New Roman"/>
                      <w:color w:val="auto"/>
                      <w:kern w:val="2"/>
                      <w:u w:val="single"/>
                      <w:lang w:val="en-US" w:eastAsia="zh-CN"/>
                    </w:rPr>
                    <w:t>COD</w:t>
                  </w:r>
                </w:p>
              </w:tc>
              <w:tc>
                <w:tcPr>
                  <w:tcW w:w="1941" w:type="pct"/>
                  <w:vMerge w:val="continue"/>
                  <w:vAlign w:val="center"/>
                </w:tcPr>
                <w:p>
                  <w:pPr>
                    <w:pStyle w:val="48"/>
                    <w:widowControl w:val="0"/>
                    <w:rPr>
                      <w:rFonts w:hint="default" w:ascii="Times New Roman" w:hAnsi="Times New Roman" w:eastAsia="宋体" w:cs="Times New Roman"/>
                      <w:color w:val="auto"/>
                      <w:kern w:val="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551" w:type="pct"/>
                  <w:vMerge w:val="continue"/>
                  <w:vAlign w:val="center"/>
                </w:tcPr>
                <w:p>
                  <w:pPr>
                    <w:pStyle w:val="48"/>
                    <w:widowControl w:val="0"/>
                    <w:rPr>
                      <w:rFonts w:hint="default" w:ascii="Times New Roman" w:hAnsi="Times New Roman" w:eastAsia="宋体" w:cs="Times New Roman"/>
                      <w:color w:val="auto"/>
                      <w:kern w:val="2"/>
                      <w:u w:val="single"/>
                    </w:rPr>
                  </w:pPr>
                </w:p>
              </w:tc>
              <w:tc>
                <w:tcPr>
                  <w:tcW w:w="1552" w:type="pct"/>
                  <w:vAlign w:val="center"/>
                </w:tcPr>
                <w:p>
                  <w:pPr>
                    <w:pStyle w:val="48"/>
                    <w:widowControl w:val="0"/>
                    <w:rPr>
                      <w:rFonts w:hint="default" w:ascii="Times New Roman" w:hAnsi="Times New Roman" w:eastAsia="宋体" w:cs="Times New Roman"/>
                      <w:color w:val="auto"/>
                      <w:kern w:val="2"/>
                      <w:u w:val="single"/>
                    </w:rPr>
                  </w:pPr>
                  <w:r>
                    <w:rPr>
                      <w:rFonts w:hint="eastAsia" w:cs="Times New Roman"/>
                      <w:color w:val="auto"/>
                      <w:kern w:val="2"/>
                      <w:u w:val="single"/>
                      <w:lang w:val="en-US" w:eastAsia="zh-CN"/>
                    </w:rPr>
                    <w:t>软化处理</w:t>
                  </w:r>
                  <w:r>
                    <w:rPr>
                      <w:rFonts w:hint="default" w:ascii="Times New Roman" w:hAnsi="Times New Roman" w:eastAsia="宋体" w:cs="Times New Roman"/>
                      <w:color w:val="auto"/>
                      <w:kern w:val="2"/>
                      <w:u w:val="single"/>
                    </w:rPr>
                    <w:t>废水</w:t>
                  </w:r>
                </w:p>
              </w:tc>
              <w:tc>
                <w:tcPr>
                  <w:tcW w:w="955" w:type="pct"/>
                  <w:vAlign w:val="center"/>
                </w:tcPr>
                <w:p>
                  <w:pPr>
                    <w:pStyle w:val="48"/>
                    <w:widowControl w:val="0"/>
                    <w:rPr>
                      <w:rFonts w:hint="default" w:ascii="Times New Roman" w:hAnsi="Times New Roman" w:eastAsia="宋体" w:cs="Times New Roman"/>
                      <w:color w:val="auto"/>
                      <w:kern w:val="2"/>
                      <w:u w:val="single"/>
                    </w:rPr>
                  </w:pPr>
                  <w:r>
                    <w:rPr>
                      <w:rFonts w:hint="default" w:ascii="Times New Roman" w:hAnsi="Times New Roman" w:eastAsia="宋体" w:cs="Times New Roman"/>
                      <w:color w:val="auto"/>
                      <w:kern w:val="2"/>
                      <w:u w:val="single"/>
                    </w:rPr>
                    <w:t>Ca</w:t>
                  </w:r>
                  <w:r>
                    <w:rPr>
                      <w:rFonts w:hint="default" w:ascii="Times New Roman" w:hAnsi="Times New Roman" w:eastAsia="宋体" w:cs="Times New Roman"/>
                      <w:color w:val="auto"/>
                      <w:kern w:val="2"/>
                      <w:u w:val="single"/>
                      <w:vertAlign w:val="superscript"/>
                    </w:rPr>
                    <w:t>2+</w:t>
                  </w:r>
                  <w:r>
                    <w:rPr>
                      <w:rFonts w:hint="default" w:ascii="Times New Roman" w:hAnsi="Times New Roman" w:eastAsia="宋体" w:cs="Times New Roman"/>
                      <w:color w:val="auto"/>
                      <w:kern w:val="2"/>
                      <w:u w:val="single"/>
                    </w:rPr>
                    <w:t>、Mg</w:t>
                  </w:r>
                  <w:r>
                    <w:rPr>
                      <w:rFonts w:hint="default" w:ascii="Times New Roman" w:hAnsi="Times New Roman" w:eastAsia="宋体" w:cs="Times New Roman"/>
                      <w:color w:val="auto"/>
                      <w:kern w:val="2"/>
                      <w:u w:val="single"/>
                      <w:vertAlign w:val="superscript"/>
                    </w:rPr>
                    <w:t>2+</w:t>
                  </w:r>
                </w:p>
              </w:tc>
              <w:tc>
                <w:tcPr>
                  <w:tcW w:w="1941" w:type="pct"/>
                  <w:vMerge w:val="continue"/>
                  <w:vAlign w:val="center"/>
                </w:tcPr>
                <w:p>
                  <w:pPr>
                    <w:pStyle w:val="48"/>
                    <w:widowControl w:val="0"/>
                    <w:rPr>
                      <w:rFonts w:hint="default" w:ascii="Times New Roman" w:hAnsi="Times New Roman" w:eastAsia="宋体" w:cs="Times New Roman"/>
                      <w:color w:val="auto"/>
                      <w:kern w:val="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51" w:type="pct"/>
                  <w:vMerge w:val="restart"/>
                  <w:vAlign w:val="center"/>
                </w:tcPr>
                <w:p>
                  <w:pPr>
                    <w:pStyle w:val="48"/>
                    <w:widowControl w:val="0"/>
                    <w:rPr>
                      <w:rFonts w:hint="default" w:ascii="Times New Roman" w:hAnsi="Times New Roman" w:eastAsia="宋体" w:cs="Times New Roman"/>
                      <w:color w:val="auto"/>
                      <w:kern w:val="2"/>
                      <w:u w:val="single"/>
                    </w:rPr>
                  </w:pPr>
                  <w:r>
                    <w:rPr>
                      <w:rFonts w:hint="default" w:ascii="Times New Roman" w:hAnsi="Times New Roman" w:eastAsia="宋体" w:cs="Times New Roman"/>
                      <w:color w:val="auto"/>
                      <w:kern w:val="2"/>
                      <w:u w:val="single"/>
                    </w:rPr>
                    <w:t>废气</w:t>
                  </w:r>
                </w:p>
              </w:tc>
              <w:tc>
                <w:tcPr>
                  <w:tcW w:w="1552" w:type="pct"/>
                  <w:vAlign w:val="center"/>
                </w:tcPr>
                <w:p>
                  <w:pPr>
                    <w:pStyle w:val="48"/>
                    <w:widowControl w:val="0"/>
                    <w:rPr>
                      <w:rFonts w:hint="default" w:ascii="Times New Roman" w:hAnsi="Times New Roman" w:eastAsia="宋体" w:cs="Times New Roman"/>
                      <w:color w:val="auto"/>
                      <w:kern w:val="2"/>
                      <w:u w:val="single"/>
                    </w:rPr>
                  </w:pPr>
                  <w:r>
                    <w:rPr>
                      <w:rFonts w:hint="default" w:ascii="Times New Roman" w:hAnsi="Times New Roman" w:eastAsia="宋体" w:cs="Times New Roman"/>
                      <w:color w:val="auto"/>
                      <w:kern w:val="2"/>
                      <w:u w:val="single"/>
                    </w:rPr>
                    <w:t>燃烧废气</w:t>
                  </w:r>
                </w:p>
              </w:tc>
              <w:tc>
                <w:tcPr>
                  <w:tcW w:w="955" w:type="pct"/>
                  <w:vAlign w:val="center"/>
                </w:tcPr>
                <w:p>
                  <w:pPr>
                    <w:pStyle w:val="48"/>
                    <w:widowControl w:val="0"/>
                    <w:rPr>
                      <w:rFonts w:hint="default" w:ascii="Times New Roman" w:hAnsi="Times New Roman" w:eastAsia="宋体" w:cs="Times New Roman"/>
                      <w:color w:val="auto"/>
                      <w:kern w:val="2"/>
                      <w:u w:val="single"/>
                    </w:rPr>
                  </w:pPr>
                  <w:r>
                    <w:rPr>
                      <w:rFonts w:hint="default" w:ascii="Times New Roman" w:hAnsi="Times New Roman" w:eastAsia="宋体" w:cs="Times New Roman"/>
                      <w:color w:val="auto"/>
                      <w:kern w:val="2"/>
                      <w:u w:val="single"/>
                    </w:rPr>
                    <w:t>颗粒物、NO</w:t>
                  </w:r>
                  <w:r>
                    <w:rPr>
                      <w:rFonts w:hint="default" w:ascii="Times New Roman" w:hAnsi="Times New Roman" w:eastAsia="宋体" w:cs="Times New Roman"/>
                      <w:color w:val="auto"/>
                      <w:kern w:val="2"/>
                      <w:u w:val="single"/>
                      <w:vertAlign w:val="subscript"/>
                    </w:rPr>
                    <w:t>X</w:t>
                  </w:r>
                  <w:r>
                    <w:rPr>
                      <w:rFonts w:hint="default" w:ascii="Times New Roman" w:hAnsi="Times New Roman" w:eastAsia="宋体" w:cs="Times New Roman"/>
                      <w:color w:val="auto"/>
                      <w:kern w:val="2"/>
                      <w:u w:val="single"/>
                    </w:rPr>
                    <w:t>、SO</w:t>
                  </w:r>
                  <w:r>
                    <w:rPr>
                      <w:rFonts w:hint="default" w:ascii="Times New Roman" w:hAnsi="Times New Roman" w:eastAsia="宋体" w:cs="Times New Roman"/>
                      <w:color w:val="auto"/>
                      <w:kern w:val="2"/>
                      <w:u w:val="single"/>
                      <w:vertAlign w:val="subscript"/>
                    </w:rPr>
                    <w:t>2</w:t>
                  </w:r>
                  <w:r>
                    <w:rPr>
                      <w:rFonts w:hint="default" w:ascii="Times New Roman" w:hAnsi="Times New Roman" w:eastAsia="宋体" w:cs="Times New Roman"/>
                      <w:color w:val="auto"/>
                      <w:kern w:val="2"/>
                      <w:u w:val="single"/>
                    </w:rPr>
                    <w:t xml:space="preserve"> </w:t>
                  </w:r>
                </w:p>
              </w:tc>
              <w:tc>
                <w:tcPr>
                  <w:tcW w:w="1941" w:type="pct"/>
                  <w:vAlign w:val="center"/>
                </w:tcPr>
                <w:p>
                  <w:pPr>
                    <w:pStyle w:val="48"/>
                    <w:widowControl w:val="0"/>
                    <w:rPr>
                      <w:rFonts w:hint="default" w:ascii="Times New Roman" w:hAnsi="Times New Roman" w:eastAsia="宋体" w:cs="Times New Roman"/>
                      <w:color w:val="auto"/>
                      <w:kern w:val="2"/>
                      <w:u w:val="single"/>
                    </w:rPr>
                  </w:pPr>
                  <w:r>
                    <w:rPr>
                      <w:rFonts w:hint="default" w:ascii="Times New Roman" w:hAnsi="Times New Roman" w:eastAsia="宋体" w:cs="Times New Roman"/>
                      <w:color w:val="auto"/>
                      <w:kern w:val="2"/>
                      <w:u w:val="single"/>
                    </w:rPr>
                    <w:t>经</w:t>
                  </w:r>
                  <w:r>
                    <w:rPr>
                      <w:rFonts w:hint="eastAsia" w:cs="Times New Roman"/>
                      <w:color w:val="auto"/>
                      <w:kern w:val="2"/>
                      <w:u w:val="single"/>
                      <w:lang w:val="en-US" w:eastAsia="zh-CN"/>
                    </w:rPr>
                    <w:t>多管</w:t>
                  </w:r>
                  <w:r>
                    <w:rPr>
                      <w:rFonts w:hint="default" w:ascii="Times New Roman" w:hAnsi="Times New Roman" w:eastAsia="宋体" w:cs="Times New Roman"/>
                      <w:color w:val="auto"/>
                      <w:kern w:val="2"/>
                      <w:u w:val="single"/>
                      <w:lang w:val="en-US" w:eastAsia="zh-CN"/>
                    </w:rPr>
                    <w:t>+布袋除尘处理后经</w:t>
                  </w:r>
                  <w:r>
                    <w:rPr>
                      <w:rFonts w:hint="default" w:ascii="Times New Roman" w:hAnsi="Times New Roman" w:eastAsia="宋体" w:cs="Times New Roman"/>
                      <w:color w:val="auto"/>
                      <w:kern w:val="2"/>
                      <w:u w:val="single"/>
                    </w:rPr>
                    <w:t>1根</w:t>
                  </w:r>
                  <w:r>
                    <w:rPr>
                      <w:rFonts w:hint="default" w:ascii="Times New Roman" w:hAnsi="Times New Roman" w:eastAsia="宋体" w:cs="Times New Roman"/>
                      <w:color w:val="auto"/>
                      <w:kern w:val="2"/>
                      <w:u w:val="single"/>
                      <w:lang w:val="en-US" w:eastAsia="zh-CN"/>
                    </w:rPr>
                    <w:t>35m</w:t>
                  </w:r>
                  <w:r>
                    <w:rPr>
                      <w:rFonts w:hint="default" w:ascii="Times New Roman" w:hAnsi="Times New Roman" w:eastAsia="宋体" w:cs="Times New Roman"/>
                      <w:color w:val="auto"/>
                      <w:kern w:val="2"/>
                      <w:u w:val="single"/>
                    </w:rPr>
                    <w:t>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51" w:type="pct"/>
                  <w:vMerge w:val="continue"/>
                  <w:vAlign w:val="center"/>
                </w:tcPr>
                <w:p>
                  <w:pPr>
                    <w:pStyle w:val="48"/>
                    <w:widowControl w:val="0"/>
                    <w:rPr>
                      <w:rFonts w:hint="default" w:ascii="Times New Roman" w:hAnsi="Times New Roman" w:eastAsia="宋体" w:cs="Times New Roman"/>
                      <w:color w:val="auto"/>
                      <w:kern w:val="2"/>
                      <w:u w:val="single"/>
                    </w:rPr>
                  </w:pPr>
                </w:p>
              </w:tc>
              <w:tc>
                <w:tcPr>
                  <w:tcW w:w="1552" w:type="pct"/>
                  <w:vAlign w:val="center"/>
                </w:tcPr>
                <w:p>
                  <w:pPr>
                    <w:pStyle w:val="48"/>
                    <w:widowControl w:val="0"/>
                    <w:rPr>
                      <w:rFonts w:hint="default" w:ascii="Times New Roman" w:hAnsi="Times New Roman" w:eastAsia="宋体" w:cs="Times New Roman"/>
                      <w:color w:val="auto"/>
                      <w:kern w:val="2"/>
                      <w:u w:val="single"/>
                    </w:rPr>
                  </w:pPr>
                  <w:r>
                    <w:rPr>
                      <w:rFonts w:hint="default" w:ascii="Times New Roman" w:hAnsi="Times New Roman" w:eastAsia="宋体" w:cs="Times New Roman"/>
                      <w:color w:val="auto"/>
                      <w:kern w:val="2"/>
                      <w:u w:val="single"/>
                    </w:rPr>
                    <w:t>食堂</w:t>
                  </w:r>
                </w:p>
              </w:tc>
              <w:tc>
                <w:tcPr>
                  <w:tcW w:w="955" w:type="pct"/>
                  <w:vAlign w:val="center"/>
                </w:tcPr>
                <w:p>
                  <w:pPr>
                    <w:pStyle w:val="48"/>
                    <w:widowControl w:val="0"/>
                    <w:rPr>
                      <w:rFonts w:hint="default" w:ascii="Times New Roman" w:hAnsi="Times New Roman" w:eastAsia="宋体" w:cs="Times New Roman"/>
                      <w:color w:val="auto"/>
                      <w:kern w:val="2"/>
                      <w:u w:val="single"/>
                    </w:rPr>
                  </w:pPr>
                  <w:r>
                    <w:rPr>
                      <w:rFonts w:hint="default" w:ascii="Times New Roman" w:hAnsi="Times New Roman" w:eastAsia="宋体" w:cs="Times New Roman"/>
                      <w:color w:val="auto"/>
                      <w:kern w:val="2"/>
                      <w:u w:val="single"/>
                    </w:rPr>
                    <w:t>食堂油烟</w:t>
                  </w:r>
                </w:p>
              </w:tc>
              <w:tc>
                <w:tcPr>
                  <w:tcW w:w="1941" w:type="pct"/>
                  <w:vAlign w:val="center"/>
                </w:tcPr>
                <w:p>
                  <w:pPr>
                    <w:pStyle w:val="47"/>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经油烟净化装置处理后排放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51" w:type="pct"/>
                  <w:vMerge w:val="continue"/>
                  <w:vAlign w:val="center"/>
                </w:tcPr>
                <w:p>
                  <w:pPr>
                    <w:pStyle w:val="48"/>
                    <w:widowControl w:val="0"/>
                    <w:rPr>
                      <w:rFonts w:hint="default" w:ascii="Times New Roman" w:hAnsi="Times New Roman" w:eastAsia="宋体" w:cs="Times New Roman"/>
                      <w:color w:val="auto"/>
                      <w:kern w:val="2"/>
                      <w:u w:val="single"/>
                    </w:rPr>
                  </w:pPr>
                </w:p>
              </w:tc>
              <w:tc>
                <w:tcPr>
                  <w:tcW w:w="1552" w:type="pct"/>
                  <w:vAlign w:val="center"/>
                </w:tcPr>
                <w:p>
                  <w:pPr>
                    <w:pStyle w:val="48"/>
                    <w:widowControl w:val="0"/>
                    <w:rPr>
                      <w:rFonts w:hint="default" w:ascii="Times New Roman" w:hAnsi="Times New Roman" w:eastAsia="宋体" w:cs="Times New Roman"/>
                      <w:color w:val="auto"/>
                      <w:kern w:val="2"/>
                      <w:u w:val="single"/>
                    </w:rPr>
                  </w:pPr>
                  <w:r>
                    <w:rPr>
                      <w:rFonts w:hint="eastAsia"/>
                      <w:u w:val="single"/>
                    </w:rPr>
                    <w:t>工艺扬尘</w:t>
                  </w:r>
                </w:p>
              </w:tc>
              <w:tc>
                <w:tcPr>
                  <w:tcW w:w="955" w:type="pct"/>
                  <w:vAlign w:val="center"/>
                </w:tcPr>
                <w:p>
                  <w:pPr>
                    <w:pStyle w:val="48"/>
                    <w:widowControl w:val="0"/>
                    <w:rPr>
                      <w:rFonts w:hint="default" w:ascii="Times New Roman" w:hAnsi="Times New Roman" w:eastAsia="宋体" w:cs="Times New Roman"/>
                      <w:color w:val="auto"/>
                      <w:kern w:val="2"/>
                      <w:u w:val="single"/>
                    </w:rPr>
                  </w:pPr>
                  <w:r>
                    <w:rPr>
                      <w:rFonts w:hint="default" w:ascii="Times New Roman" w:hAnsi="Times New Roman" w:eastAsia="宋体" w:cs="Times New Roman"/>
                      <w:color w:val="auto"/>
                      <w:kern w:val="2"/>
                      <w:u w:val="single"/>
                    </w:rPr>
                    <w:t>颗粒物</w:t>
                  </w:r>
                </w:p>
              </w:tc>
              <w:tc>
                <w:tcPr>
                  <w:tcW w:w="1941" w:type="pct"/>
                  <w:vAlign w:val="center"/>
                </w:tcPr>
                <w:p>
                  <w:pPr>
                    <w:pStyle w:val="48"/>
                    <w:widowControl w:val="0"/>
                    <w:rPr>
                      <w:rFonts w:hint="default" w:ascii="Times New Roman" w:hAnsi="Times New Roman" w:eastAsia="宋体" w:cs="Times New Roman"/>
                      <w:color w:val="auto"/>
                      <w:kern w:val="2"/>
                      <w:u w:val="single"/>
                    </w:rPr>
                  </w:pPr>
                  <w:r>
                    <w:rPr>
                      <w:rFonts w:hint="eastAsia" w:ascii="Times New Roman" w:hAnsi="Times New Roman" w:eastAsia="宋体" w:cs="Times New Roman"/>
                      <w:color w:val="auto"/>
                      <w:kern w:val="2"/>
                      <w:u w:val="single"/>
                    </w:rPr>
                    <w:t>加强</w:t>
                  </w:r>
                  <w:r>
                    <w:rPr>
                      <w:rFonts w:hint="eastAsia" w:ascii="Times New Roman" w:hAnsi="Times New Roman" w:eastAsia="宋体" w:cs="Times New Roman"/>
                      <w:color w:val="auto"/>
                      <w:kern w:val="2"/>
                      <w:u w:val="single"/>
                      <w:lang w:val="en-US" w:eastAsia="zh-CN"/>
                    </w:rPr>
                    <w:t>车间</w:t>
                  </w:r>
                  <w:r>
                    <w:rPr>
                      <w:rFonts w:hint="eastAsia" w:ascii="Times New Roman" w:hAnsi="Times New Roman" w:eastAsia="宋体" w:cs="Times New Roman"/>
                      <w:color w:val="auto"/>
                      <w:kern w:val="2"/>
                      <w:u w:val="single"/>
                    </w:rPr>
                    <w:t>通风</w:t>
                  </w:r>
                  <w:r>
                    <w:rPr>
                      <w:rFonts w:hint="eastAsia" w:ascii="Times New Roman" w:hAnsi="Times New Roman" w:eastAsia="宋体" w:cs="Times New Roman"/>
                      <w:color w:val="auto"/>
                      <w:kern w:val="2"/>
                      <w:u w:val="single"/>
                      <w:lang w:val="en-US" w:eastAsia="zh-CN"/>
                    </w:rPr>
                    <w:t>及物料增湿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51" w:type="pct"/>
                  <w:vMerge w:val="continue"/>
                  <w:vAlign w:val="center"/>
                </w:tcPr>
                <w:p>
                  <w:pPr>
                    <w:pStyle w:val="48"/>
                    <w:widowControl w:val="0"/>
                    <w:rPr>
                      <w:rFonts w:hint="default" w:ascii="Times New Roman" w:hAnsi="Times New Roman" w:eastAsia="宋体" w:cs="Times New Roman"/>
                      <w:color w:val="auto"/>
                      <w:kern w:val="2"/>
                      <w:u w:val="single"/>
                    </w:rPr>
                  </w:pPr>
                </w:p>
              </w:tc>
              <w:tc>
                <w:tcPr>
                  <w:tcW w:w="1552" w:type="pct"/>
                  <w:vAlign w:val="center"/>
                </w:tcPr>
                <w:p>
                  <w:pPr>
                    <w:pStyle w:val="48"/>
                    <w:widowControl w:val="0"/>
                    <w:rPr>
                      <w:rFonts w:hint="default" w:ascii="Times New Roman" w:hAnsi="Times New Roman" w:eastAsia="宋体" w:cs="Times New Roman"/>
                      <w:color w:val="auto"/>
                      <w:kern w:val="2"/>
                      <w:u w:val="single"/>
                    </w:rPr>
                  </w:pPr>
                  <w:r>
                    <w:rPr>
                      <w:rFonts w:hint="eastAsia"/>
                      <w:u w:val="single"/>
                    </w:rPr>
                    <w:t>工艺产生</w:t>
                  </w:r>
                  <w:r>
                    <w:rPr>
                      <w:rFonts w:hint="eastAsia"/>
                      <w:u w:val="single"/>
                      <w:lang w:val="en-US" w:eastAsia="zh-CN"/>
                    </w:rPr>
                    <w:t>的异味</w:t>
                  </w:r>
                </w:p>
              </w:tc>
              <w:tc>
                <w:tcPr>
                  <w:tcW w:w="955" w:type="pct"/>
                  <w:vAlign w:val="center"/>
                </w:tcPr>
                <w:p>
                  <w:pPr>
                    <w:pStyle w:val="48"/>
                    <w:widowControl w:val="0"/>
                    <w:rPr>
                      <w:rFonts w:hint="default" w:ascii="Times New Roman" w:hAnsi="Times New Roman" w:eastAsia="宋体" w:cs="Times New Roman"/>
                      <w:color w:val="auto"/>
                      <w:kern w:val="2"/>
                      <w:u w:val="single"/>
                    </w:rPr>
                  </w:pPr>
                  <w:r>
                    <w:rPr>
                      <w:rFonts w:hint="eastAsia" w:ascii="Times New Roman" w:hAnsi="Times New Roman" w:eastAsia="宋体" w:cs="Times New Roman"/>
                      <w:color w:val="auto"/>
                      <w:kern w:val="2"/>
                      <w:u w:val="single"/>
                      <w:lang w:val="en-US" w:eastAsia="zh-CN"/>
                    </w:rPr>
                    <w:t>臭气浓度</w:t>
                  </w:r>
                </w:p>
              </w:tc>
              <w:tc>
                <w:tcPr>
                  <w:tcW w:w="1941" w:type="pct"/>
                  <w:vAlign w:val="center"/>
                </w:tcPr>
                <w:p>
                  <w:pPr>
                    <w:pStyle w:val="48"/>
                    <w:widowControl w:val="0"/>
                    <w:rPr>
                      <w:rFonts w:hint="default" w:ascii="Times New Roman" w:hAnsi="Times New Roman" w:eastAsia="宋体" w:cs="Times New Roman"/>
                      <w:color w:val="auto"/>
                      <w:kern w:val="2"/>
                      <w:u w:val="single"/>
                    </w:rPr>
                  </w:pPr>
                  <w:r>
                    <w:rPr>
                      <w:rFonts w:hint="eastAsia" w:ascii="Times New Roman" w:hAnsi="Times New Roman" w:eastAsia="宋体" w:cs="Times New Roman"/>
                      <w:color w:val="auto"/>
                      <w:kern w:val="2"/>
                      <w:u w:val="single"/>
                      <w:lang w:val="en-US" w:eastAsia="zh-CN"/>
                    </w:rPr>
                    <w:t>加强厂区绿化、车间通风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551" w:type="pct"/>
                  <w:vAlign w:val="center"/>
                </w:tcPr>
                <w:p>
                  <w:pPr>
                    <w:pStyle w:val="48"/>
                    <w:widowControl w:val="0"/>
                    <w:rPr>
                      <w:rFonts w:hint="default" w:ascii="Times New Roman" w:hAnsi="Times New Roman" w:eastAsia="宋体" w:cs="Times New Roman"/>
                      <w:color w:val="auto"/>
                      <w:kern w:val="2"/>
                      <w:u w:val="single"/>
                    </w:rPr>
                  </w:pPr>
                  <w:r>
                    <w:rPr>
                      <w:rFonts w:hint="default" w:ascii="Times New Roman" w:hAnsi="Times New Roman" w:eastAsia="宋体" w:cs="Times New Roman"/>
                      <w:color w:val="auto"/>
                      <w:kern w:val="2"/>
                      <w:u w:val="single"/>
                    </w:rPr>
                    <w:t>噪声</w:t>
                  </w:r>
                </w:p>
              </w:tc>
              <w:tc>
                <w:tcPr>
                  <w:tcW w:w="1552" w:type="pct"/>
                  <w:vAlign w:val="center"/>
                </w:tcPr>
                <w:p>
                  <w:pPr>
                    <w:pStyle w:val="48"/>
                    <w:widowControl w:val="0"/>
                    <w:rPr>
                      <w:rFonts w:hint="default" w:ascii="Times New Roman" w:hAnsi="Times New Roman" w:eastAsia="宋体" w:cs="Times New Roman"/>
                      <w:color w:val="auto"/>
                      <w:kern w:val="2"/>
                      <w:u w:val="single"/>
                    </w:rPr>
                  </w:pPr>
                  <w:r>
                    <w:rPr>
                      <w:rFonts w:hint="default" w:ascii="Times New Roman" w:hAnsi="Times New Roman" w:eastAsia="宋体" w:cs="Times New Roman"/>
                      <w:color w:val="auto"/>
                      <w:kern w:val="2"/>
                      <w:u w:val="single"/>
                    </w:rPr>
                    <w:t>设备噪声</w:t>
                  </w:r>
                </w:p>
              </w:tc>
              <w:tc>
                <w:tcPr>
                  <w:tcW w:w="955" w:type="pct"/>
                  <w:vAlign w:val="center"/>
                </w:tcPr>
                <w:p>
                  <w:pPr>
                    <w:pStyle w:val="48"/>
                    <w:widowControl w:val="0"/>
                    <w:rPr>
                      <w:rFonts w:hint="default" w:ascii="Times New Roman" w:hAnsi="Times New Roman" w:eastAsia="宋体" w:cs="Times New Roman"/>
                      <w:color w:val="auto"/>
                      <w:kern w:val="2"/>
                      <w:u w:val="single"/>
                    </w:rPr>
                  </w:pPr>
                  <w:r>
                    <w:rPr>
                      <w:rFonts w:hint="default" w:ascii="Times New Roman" w:hAnsi="Times New Roman" w:eastAsia="宋体" w:cs="Times New Roman"/>
                      <w:color w:val="auto"/>
                      <w:kern w:val="2"/>
                      <w:u w:val="single"/>
                    </w:rPr>
                    <w:t>噪声</w:t>
                  </w:r>
                </w:p>
              </w:tc>
              <w:tc>
                <w:tcPr>
                  <w:tcW w:w="1941" w:type="pct"/>
                  <w:vAlign w:val="center"/>
                </w:tcPr>
                <w:p>
                  <w:pPr>
                    <w:pStyle w:val="48"/>
                    <w:widowControl w:val="0"/>
                    <w:rPr>
                      <w:rFonts w:hint="default" w:ascii="Times New Roman" w:hAnsi="Times New Roman" w:eastAsia="宋体" w:cs="Times New Roman"/>
                      <w:color w:val="auto"/>
                      <w:kern w:val="2"/>
                      <w:u w:val="single"/>
                    </w:rPr>
                  </w:pPr>
                  <w:r>
                    <w:rPr>
                      <w:rFonts w:hint="default" w:ascii="Times New Roman" w:hAnsi="Times New Roman" w:eastAsia="宋体" w:cs="Times New Roman"/>
                      <w:color w:val="auto"/>
                      <w:kern w:val="2"/>
                      <w:u w:val="single"/>
                    </w:rPr>
                    <w:t>隔声、减震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51" w:type="pct"/>
                  <w:vMerge w:val="restart"/>
                  <w:vAlign w:val="center"/>
                </w:tcPr>
                <w:p>
                  <w:pPr>
                    <w:pStyle w:val="48"/>
                    <w:widowControl w:val="0"/>
                    <w:rPr>
                      <w:rFonts w:hint="default" w:ascii="Times New Roman" w:hAnsi="Times New Roman" w:eastAsia="宋体" w:cs="Times New Roman"/>
                      <w:color w:val="auto"/>
                      <w:kern w:val="2"/>
                      <w:u w:val="single"/>
                    </w:rPr>
                  </w:pPr>
                  <w:r>
                    <w:rPr>
                      <w:rFonts w:hint="default" w:ascii="Times New Roman" w:hAnsi="Times New Roman" w:eastAsia="宋体" w:cs="Times New Roman"/>
                      <w:color w:val="auto"/>
                      <w:kern w:val="2"/>
                      <w:u w:val="single"/>
                    </w:rPr>
                    <w:t>固废</w:t>
                  </w:r>
                </w:p>
              </w:tc>
              <w:tc>
                <w:tcPr>
                  <w:tcW w:w="1552" w:type="pct"/>
                  <w:vMerge w:val="restart"/>
                  <w:vAlign w:val="center"/>
                </w:tcPr>
                <w:p>
                  <w:pPr>
                    <w:pStyle w:val="48"/>
                    <w:widowControl w:val="0"/>
                    <w:rPr>
                      <w:rFonts w:hint="default" w:ascii="Times New Roman" w:hAnsi="Times New Roman" w:eastAsia="宋体" w:cs="Times New Roman"/>
                      <w:color w:val="auto"/>
                      <w:kern w:val="2"/>
                      <w:u w:val="single"/>
                    </w:rPr>
                  </w:pPr>
                  <w:r>
                    <w:rPr>
                      <w:rFonts w:hint="default" w:ascii="Times New Roman" w:hAnsi="Times New Roman" w:eastAsia="宋体" w:cs="Times New Roman"/>
                      <w:color w:val="auto"/>
                      <w:kern w:val="2"/>
                      <w:u w:val="single"/>
                    </w:rPr>
                    <w:t>工作生活</w:t>
                  </w:r>
                </w:p>
              </w:tc>
              <w:tc>
                <w:tcPr>
                  <w:tcW w:w="955" w:type="pct"/>
                  <w:vAlign w:val="center"/>
                </w:tcPr>
                <w:p>
                  <w:pPr>
                    <w:pStyle w:val="48"/>
                    <w:widowControl w:val="0"/>
                    <w:rPr>
                      <w:rFonts w:hint="default" w:ascii="Times New Roman" w:hAnsi="Times New Roman" w:eastAsia="宋体" w:cs="Times New Roman"/>
                      <w:color w:val="auto"/>
                      <w:kern w:val="2"/>
                      <w:u w:val="single"/>
                    </w:rPr>
                  </w:pPr>
                  <w:r>
                    <w:rPr>
                      <w:rFonts w:hint="default" w:ascii="Times New Roman" w:hAnsi="Times New Roman" w:eastAsia="宋体" w:cs="Times New Roman"/>
                      <w:color w:val="auto"/>
                      <w:kern w:val="2"/>
                      <w:u w:val="single"/>
                    </w:rPr>
                    <w:t>生活垃圾</w:t>
                  </w:r>
                </w:p>
              </w:tc>
              <w:tc>
                <w:tcPr>
                  <w:tcW w:w="1941" w:type="pct"/>
                  <w:vAlign w:val="center"/>
                </w:tcPr>
                <w:p>
                  <w:pPr>
                    <w:pStyle w:val="48"/>
                    <w:widowControl w:val="0"/>
                    <w:rPr>
                      <w:rFonts w:hint="default" w:ascii="Times New Roman" w:hAnsi="Times New Roman" w:eastAsia="宋体" w:cs="Times New Roman"/>
                      <w:color w:val="auto"/>
                      <w:kern w:val="2"/>
                      <w:u w:val="single"/>
                    </w:rPr>
                  </w:pPr>
                  <w:r>
                    <w:rPr>
                      <w:rFonts w:hint="default" w:ascii="Times New Roman" w:hAnsi="Times New Roman" w:eastAsia="宋体" w:cs="Times New Roman"/>
                      <w:color w:val="auto"/>
                      <w:kern w:val="2"/>
                      <w:u w:val="single"/>
                    </w:rPr>
                    <w:t>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51" w:type="pct"/>
                  <w:vMerge w:val="continue"/>
                  <w:vAlign w:val="center"/>
                </w:tcPr>
                <w:p>
                  <w:pPr>
                    <w:pStyle w:val="48"/>
                    <w:widowControl w:val="0"/>
                    <w:rPr>
                      <w:rFonts w:hint="default" w:ascii="Times New Roman" w:hAnsi="Times New Roman" w:eastAsia="宋体" w:cs="Times New Roman"/>
                      <w:color w:val="auto"/>
                      <w:kern w:val="2"/>
                      <w:u w:val="single"/>
                    </w:rPr>
                  </w:pPr>
                </w:p>
              </w:tc>
              <w:tc>
                <w:tcPr>
                  <w:tcW w:w="1552" w:type="pct"/>
                  <w:vMerge w:val="continue"/>
                  <w:vAlign w:val="center"/>
                </w:tcPr>
                <w:p>
                  <w:pPr>
                    <w:pStyle w:val="48"/>
                    <w:widowControl w:val="0"/>
                    <w:rPr>
                      <w:rFonts w:hint="default" w:ascii="Times New Roman" w:hAnsi="Times New Roman" w:eastAsia="宋体" w:cs="Times New Roman"/>
                      <w:color w:val="auto"/>
                      <w:kern w:val="2"/>
                      <w:u w:val="single"/>
                      <w:lang w:val="en-US" w:eastAsia="zh-CN"/>
                    </w:rPr>
                  </w:pPr>
                </w:p>
              </w:tc>
              <w:tc>
                <w:tcPr>
                  <w:tcW w:w="955" w:type="pct"/>
                  <w:vAlign w:val="center"/>
                </w:tcPr>
                <w:p>
                  <w:pPr>
                    <w:pStyle w:val="48"/>
                    <w:widowControl w:val="0"/>
                    <w:rPr>
                      <w:rFonts w:hint="default" w:ascii="Times New Roman" w:hAnsi="Times New Roman" w:eastAsia="宋体" w:cs="Times New Roman"/>
                      <w:color w:val="auto"/>
                      <w:kern w:val="2"/>
                      <w:u w:val="single"/>
                      <w:lang w:val="en-US" w:eastAsia="zh-CN"/>
                    </w:rPr>
                  </w:pPr>
                  <w:r>
                    <w:rPr>
                      <w:rFonts w:hint="default" w:ascii="Times New Roman" w:hAnsi="Times New Roman" w:eastAsia="宋体" w:cs="Times New Roman"/>
                      <w:color w:val="auto"/>
                      <w:kern w:val="2"/>
                      <w:u w:val="single"/>
                      <w:lang w:val="en-US" w:eastAsia="zh-CN"/>
                    </w:rPr>
                    <w:t>工业固体废物</w:t>
                  </w:r>
                </w:p>
              </w:tc>
              <w:tc>
                <w:tcPr>
                  <w:tcW w:w="1941" w:type="pct"/>
                  <w:vAlign w:val="center"/>
                </w:tcPr>
                <w:p>
                  <w:pPr>
                    <w:pStyle w:val="48"/>
                    <w:widowControl w:val="0"/>
                    <w:rPr>
                      <w:rFonts w:hint="default" w:ascii="Times New Roman" w:hAnsi="Times New Roman" w:eastAsia="宋体" w:cs="Times New Roman"/>
                      <w:color w:val="auto"/>
                      <w:kern w:val="2"/>
                      <w:u w:val="single"/>
                    </w:rPr>
                  </w:pPr>
                  <w:r>
                    <w:rPr>
                      <w:rFonts w:hint="default" w:ascii="Times New Roman" w:hAnsi="Times New Roman" w:eastAsia="宋体" w:cs="Times New Roman"/>
                      <w:color w:val="auto"/>
                      <w:kern w:val="2"/>
                      <w:u w:val="single"/>
                      <w:lang w:val="en-US" w:eastAsia="zh-CN"/>
                    </w:rPr>
                    <w:t>除尘器收集粉尘、废包装材料、沉淀池沉渣、废离子交换树脂、废塑料膜、废基料暂存于一般工业固体废物暂存间，定期外售</w:t>
                  </w:r>
                  <w:r>
                    <w:rPr>
                      <w:rFonts w:hint="eastAsia" w:cs="Times New Roman"/>
                      <w:color w:val="auto"/>
                      <w:kern w:val="2"/>
                      <w:u w:val="single"/>
                      <w:lang w:val="en-US" w:eastAsia="zh-CN"/>
                    </w:rPr>
                    <w:t>；</w:t>
                  </w:r>
                  <w:r>
                    <w:rPr>
                      <w:rFonts w:hint="eastAsia" w:cs="Times New Roman"/>
                      <w:color w:val="auto"/>
                      <w:u w:val="single"/>
                      <w:lang w:val="en-US" w:eastAsia="zh-CN"/>
                    </w:rPr>
                    <w:t>废机油含油废物、含油抹布和手套</w:t>
                  </w:r>
                  <w:r>
                    <w:rPr>
                      <w:rFonts w:hint="default" w:ascii="Times New Roman" w:hAnsi="Times New Roman" w:cs="Times New Roman"/>
                      <w:b w:val="0"/>
                      <w:bCs w:val="0"/>
                      <w:color w:val="auto"/>
                      <w:sz w:val="21"/>
                      <w:szCs w:val="21"/>
                      <w:u w:val="single"/>
                      <w:lang w:val="en-US" w:eastAsia="zh-CN"/>
                    </w:rPr>
                    <w:t>暂存在危险废物暂存间，定期交于有相关危险废物处理资质单位处置</w:t>
                  </w:r>
                  <w:r>
                    <w:rPr>
                      <w:rFonts w:hint="eastAsia" w:ascii="Times New Roman" w:hAnsi="Times New Roman" w:cs="Times New Roman"/>
                      <w:b w:val="0"/>
                      <w:bCs w:val="0"/>
                      <w:color w:val="auto"/>
                      <w:sz w:val="21"/>
                      <w:szCs w:val="21"/>
                      <w:u w:val="single"/>
                      <w:lang w:val="en-US" w:eastAsia="zh-CN"/>
                    </w:rPr>
                    <w:t>。</w:t>
                  </w:r>
                </w:p>
              </w:tc>
            </w:tr>
          </w:tbl>
          <w:p>
            <w:pPr>
              <w:ind w:firstLine="320"/>
              <w:rPr>
                <w:rFonts w:hint="default" w:ascii="Times New Roman" w:hAnsi="Times New Roman" w:eastAsia="宋体" w:cs="Times New Roman"/>
                <w:color w:val="auto"/>
                <w:sz w:val="16"/>
                <w:szCs w:val="16"/>
                <w:u w:val="single"/>
              </w:rPr>
            </w:pPr>
          </w:p>
          <w:p>
            <w:pPr>
              <w:ind w:left="0" w:leftChars="0" w:firstLine="0" w:firstLineChars="0"/>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object>
                <v:shape id="_x0000_i1026" o:spt="75" type="#_x0000_t75" style="height:303pt;width:413.25pt;" o:ole="t" filled="f" o:preferrelative="t" stroked="f" coordsize="21600,21600">
                  <v:path/>
                  <v:fill on="f" focussize="0,0"/>
                  <v:stroke on="f"/>
                  <v:imagedata r:id="rId22" o:title=""/>
                  <o:lock v:ext="edit" aspectratio="f"/>
                  <w10:wrap type="none"/>
                  <w10:anchorlock/>
                </v:shape>
                <o:OLEObject Type="Embed" ProgID="Visio.Drawing.11" ShapeID="_x0000_i1026" DrawAspect="Content" ObjectID="_1468075726" r:id="rId21">
                  <o:LockedField>false</o:LockedField>
                </o:OLEObject>
              </w:object>
            </w:r>
          </w:p>
          <w:p>
            <w:pPr>
              <w:spacing w:line="240" w:lineRule="auto"/>
              <w:ind w:firstLine="480" w:firstLineChars="0"/>
              <w:jc w:val="center"/>
              <w:rPr>
                <w:rFonts w:hint="default" w:ascii="Times New Roman" w:hAnsi="Times New Roman" w:eastAsia="宋体" w:cs="Times New Roman"/>
                <w:b/>
                <w:color w:val="auto"/>
                <w:kern w:val="0"/>
                <w:sz w:val="21"/>
                <w:u w:val="none"/>
                <w:lang w:val="en-US" w:eastAsia="zh-CN"/>
              </w:rPr>
            </w:pPr>
            <w:r>
              <w:rPr>
                <w:rFonts w:hint="default" w:ascii="Times New Roman" w:hAnsi="Times New Roman" w:eastAsia="宋体" w:cs="Times New Roman"/>
                <w:b/>
                <w:color w:val="auto"/>
                <w:kern w:val="0"/>
                <w:sz w:val="21"/>
                <w:u w:val="single"/>
              </w:rPr>
              <w:t>图2-</w:t>
            </w:r>
            <w:r>
              <w:rPr>
                <w:rFonts w:hint="default" w:ascii="Times New Roman" w:hAnsi="Times New Roman" w:eastAsia="宋体" w:cs="Times New Roman"/>
                <w:b/>
                <w:color w:val="auto"/>
                <w:kern w:val="0"/>
                <w:sz w:val="21"/>
                <w:u w:val="single"/>
                <w:lang w:val="en-US" w:eastAsia="zh-CN"/>
              </w:rPr>
              <w:t>3</w:t>
            </w:r>
            <w:r>
              <w:rPr>
                <w:rFonts w:hint="default" w:ascii="Times New Roman" w:hAnsi="Times New Roman" w:eastAsia="宋体" w:cs="Times New Roman"/>
                <w:b/>
                <w:color w:val="auto"/>
                <w:kern w:val="0"/>
                <w:sz w:val="21"/>
                <w:u w:val="single"/>
              </w:rPr>
              <w:t xml:space="preserve"> 项目水平衡图</w:t>
            </w:r>
            <w:r>
              <w:rPr>
                <w:rFonts w:hint="eastAsia" w:cs="Times New Roman"/>
                <w:b/>
                <w:color w:val="auto"/>
                <w:kern w:val="0"/>
                <w:sz w:val="21"/>
                <w:u w:val="single"/>
                <w:lang w:val="en-US" w:eastAsia="zh-CN"/>
              </w:rPr>
              <w:t xml:space="preserve">   （单位m</w:t>
            </w:r>
            <w:r>
              <w:rPr>
                <w:rFonts w:hint="eastAsia" w:cs="Times New Roman"/>
                <w:b/>
                <w:color w:val="auto"/>
                <w:kern w:val="0"/>
                <w:sz w:val="21"/>
                <w:u w:val="single"/>
                <w:vertAlign w:val="superscript"/>
                <w:lang w:val="en-US" w:eastAsia="zh-CN"/>
              </w:rPr>
              <w:t>3</w:t>
            </w:r>
            <w:r>
              <w:rPr>
                <w:rFonts w:hint="eastAsia" w:cs="Times New Roman"/>
                <w:b/>
                <w:color w:val="auto"/>
                <w:kern w:val="0"/>
                <w:sz w:val="21"/>
                <w:u w:val="single"/>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0" w:hRule="atLeast"/>
          <w:jc w:val="center"/>
        </w:trPr>
        <w:tc>
          <w:tcPr>
            <w:tcW w:w="508" w:type="dxa"/>
            <w:textDirection w:val="tbRlV"/>
          </w:tcPr>
          <w:p>
            <w:pPr>
              <w:pStyle w:val="19"/>
              <w:adjustRightInd w:val="0"/>
              <w:snapToGrid w:val="0"/>
              <w:spacing w:before="0" w:beforeAutospacing="0" w:after="0" w:afterAutospacing="0" w:line="240" w:lineRule="auto"/>
              <w:ind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pacing w:val="9"/>
                <w:u w:val="none"/>
              </w:rPr>
              <w:t>与项目</w:t>
            </w:r>
            <w:r>
              <w:rPr>
                <w:rFonts w:hint="default" w:ascii="Times New Roman" w:hAnsi="Times New Roman" w:eastAsia="宋体" w:cs="Times New Roman"/>
                <w:color w:val="auto"/>
                <w:spacing w:val="9"/>
                <w:u w:val="none"/>
                <w:lang w:val="en-US" w:eastAsia="zh-CN"/>
              </w:rPr>
              <w:t>有</w:t>
            </w:r>
            <w:r>
              <w:rPr>
                <w:rFonts w:hint="default" w:ascii="Times New Roman" w:hAnsi="Times New Roman" w:eastAsia="宋体" w:cs="Times New Roman"/>
                <w:color w:val="auto"/>
                <w:spacing w:val="9"/>
                <w:u w:val="none"/>
              </w:rPr>
              <w:t>关的原有环境污染</w:t>
            </w:r>
            <w:r>
              <w:rPr>
                <w:rFonts w:hint="default" w:ascii="Times New Roman" w:hAnsi="Times New Roman" w:eastAsia="宋体" w:cs="Times New Roman"/>
                <w:color w:val="auto"/>
                <w:spacing w:val="-36"/>
                <w:u w:val="none"/>
              </w:rPr>
              <w:t>问 题</w:t>
            </w:r>
          </w:p>
        </w:tc>
        <w:tc>
          <w:tcPr>
            <w:tcW w:w="8554" w:type="dxa"/>
          </w:tcPr>
          <w:p>
            <w:pPr>
              <w:adjustRightInd w:val="0"/>
              <w:snapToGrid w:val="0"/>
              <w:ind w:firstLine="0" w:firstLineChars="0"/>
              <w:jc w:val="center"/>
              <w:rPr>
                <w:rFonts w:hint="default" w:ascii="Times New Roman" w:hAnsi="Times New Roman" w:eastAsia="宋体" w:cs="Times New Roman"/>
                <w:color w:val="auto"/>
                <w:u w:val="none"/>
              </w:rPr>
            </w:pPr>
          </w:p>
          <w:p>
            <w:pPr>
              <w:adjustRightInd w:val="0"/>
              <w:snapToGrid w:val="0"/>
              <w:ind w:firstLine="0" w:firstLineChars="0"/>
              <w:jc w:val="center"/>
              <w:rPr>
                <w:rFonts w:hint="default" w:ascii="Times New Roman" w:hAnsi="Times New Roman" w:eastAsia="宋体" w:cs="Times New Roman"/>
                <w:color w:val="auto"/>
                <w:u w:val="none"/>
              </w:rPr>
            </w:pPr>
          </w:p>
          <w:p>
            <w:pPr>
              <w:keepNext w:val="0"/>
              <w:keepLines w:val="0"/>
              <w:widowControl/>
              <w:suppressLineNumbers w:val="0"/>
              <w:jc w:val="left"/>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本项目位于</w:t>
            </w:r>
            <w:r>
              <w:rPr>
                <w:rFonts w:hint="default" w:ascii="Times New Roman" w:hAnsi="Times New Roman" w:eastAsia="宋体" w:cs="Times New Roman"/>
                <w:color w:val="auto"/>
                <w:szCs w:val="21"/>
                <w:lang w:eastAsia="zh-CN"/>
              </w:rPr>
              <w:t>湘阴县杨林寨乡太和围村</w:t>
            </w:r>
            <w:r>
              <w:rPr>
                <w:rFonts w:hint="default" w:ascii="Times New Roman" w:hAnsi="Times New Roman" w:eastAsia="宋体" w:cs="Times New Roman"/>
                <w:color w:val="auto"/>
                <w:kern w:val="0"/>
                <w:sz w:val="24"/>
                <w:szCs w:val="24"/>
                <w:lang w:val="en-US" w:eastAsia="zh-CN" w:bidi="ar"/>
              </w:rPr>
              <w:t>，为新建项目，根据现场踏勘，项目用地为空地。因此，不存在与本项目有关的原有污染情况。</w:t>
            </w:r>
          </w:p>
          <w:p>
            <w:pPr>
              <w:adjustRightInd w:val="0"/>
              <w:snapToGrid w:val="0"/>
              <w:ind w:firstLine="0" w:firstLineChars="0"/>
              <w:jc w:val="center"/>
              <w:rPr>
                <w:rFonts w:hint="default" w:ascii="Times New Roman" w:hAnsi="Times New Roman" w:eastAsia="宋体" w:cs="Times New Roman"/>
                <w:color w:val="auto"/>
                <w:u w:val="none"/>
              </w:rPr>
            </w:pPr>
          </w:p>
        </w:tc>
      </w:tr>
    </w:tbl>
    <w:p>
      <w:pPr>
        <w:pStyle w:val="19"/>
        <w:jc w:val="center"/>
        <w:rPr>
          <w:rFonts w:ascii="黑体" w:hAnsi="黑体"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9"/>
        <w:adjustRightInd w:val="0"/>
        <w:snapToGrid w:val="0"/>
        <w:spacing w:before="0" w:beforeAutospacing="0" w:after="0" w:afterAutospacing="0" w:line="14" w:lineRule="auto"/>
        <w:ind w:firstLine="600"/>
        <w:jc w:val="center"/>
        <w:rPr>
          <w:rFonts w:ascii="黑体" w:hAnsi="黑体" w:eastAsia="黑体"/>
          <w:snapToGrid w:val="0"/>
          <w:sz w:val="30"/>
          <w:szCs w:val="30"/>
        </w:rPr>
      </w:pPr>
    </w:p>
    <w:p>
      <w:pPr>
        <w:pStyle w:val="19"/>
        <w:spacing w:line="240" w:lineRule="auto"/>
        <w:ind w:firstLine="0" w:firstLineChars="0"/>
        <w:jc w:val="center"/>
        <w:outlineLvl w:val="0"/>
        <w:rPr>
          <w:rFonts w:ascii="黑体" w:hAnsi="黑体" w:eastAsia="黑体"/>
          <w:snapToGrid w:val="0"/>
          <w:sz w:val="30"/>
          <w:szCs w:val="30"/>
        </w:rPr>
      </w:pPr>
      <w:bookmarkStart w:id="14" w:name="_Toc9613"/>
      <w:bookmarkStart w:id="15" w:name="_Toc19083"/>
      <w:bookmarkStart w:id="16" w:name="_Toc23643"/>
      <w:r>
        <w:rPr>
          <w:rFonts w:hint="eastAsia" w:ascii="黑体" w:hAnsi="黑体" w:eastAsia="黑体"/>
          <w:snapToGrid w:val="0"/>
          <w:sz w:val="30"/>
          <w:szCs w:val="30"/>
        </w:rPr>
        <w:t>三、区域环境质量现状、环境保护目标及评价标准</w:t>
      </w:r>
      <w:bookmarkEnd w:id="14"/>
      <w:bookmarkEnd w:id="15"/>
      <w:bookmarkEnd w:id="16"/>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6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534" w:type="dxa"/>
            <w:vAlign w:val="center"/>
          </w:tcPr>
          <w:p>
            <w:pPr>
              <w:adjustRightInd w:val="0"/>
              <w:snapToGrid w:val="0"/>
              <w:ind w:firstLine="0" w:firstLineChars="0"/>
              <w:jc w:val="center"/>
              <w:rPr>
                <w:rFonts w:ascii="宋体" w:hAnsi="宋体" w:cs="宋体"/>
                <w:kern w:val="0"/>
                <w:szCs w:val="21"/>
              </w:rPr>
            </w:pPr>
            <w:r>
              <w:rPr>
                <w:rFonts w:hint="eastAsia" w:ascii="宋体" w:hAnsi="宋体" w:cs="宋体"/>
                <w:kern w:val="0"/>
                <w:szCs w:val="21"/>
              </w:rPr>
              <w:t>区域</w:t>
            </w:r>
          </w:p>
          <w:p>
            <w:pPr>
              <w:adjustRightInd w:val="0"/>
              <w:snapToGrid w:val="0"/>
              <w:ind w:firstLine="0" w:firstLineChars="0"/>
              <w:jc w:val="center"/>
              <w:rPr>
                <w:rFonts w:ascii="宋体" w:hAnsi="宋体" w:cs="宋体"/>
                <w:kern w:val="0"/>
                <w:szCs w:val="21"/>
              </w:rPr>
            </w:pPr>
            <w:r>
              <w:rPr>
                <w:rFonts w:hint="eastAsia" w:ascii="宋体" w:hAnsi="宋体" w:cs="宋体"/>
                <w:kern w:val="0"/>
                <w:szCs w:val="21"/>
              </w:rPr>
              <w:t>环境</w:t>
            </w:r>
          </w:p>
          <w:p>
            <w:pPr>
              <w:adjustRightInd w:val="0"/>
              <w:snapToGrid w:val="0"/>
              <w:ind w:firstLine="0" w:firstLineChars="0"/>
              <w:jc w:val="center"/>
              <w:rPr>
                <w:rFonts w:ascii="宋体" w:hAnsi="宋体" w:cs="宋体"/>
                <w:kern w:val="0"/>
                <w:szCs w:val="21"/>
              </w:rPr>
            </w:pPr>
            <w:r>
              <w:rPr>
                <w:rFonts w:hint="eastAsia" w:ascii="宋体" w:hAnsi="宋体" w:cs="宋体"/>
                <w:kern w:val="0"/>
                <w:szCs w:val="21"/>
              </w:rPr>
              <w:t>质量</w:t>
            </w:r>
          </w:p>
          <w:p>
            <w:pPr>
              <w:adjustRightInd w:val="0"/>
              <w:snapToGrid w:val="0"/>
              <w:ind w:firstLine="0" w:firstLineChars="0"/>
              <w:jc w:val="center"/>
              <w:rPr>
                <w:rFonts w:ascii="宋体" w:hAnsi="宋体" w:cs="宋体"/>
                <w:kern w:val="0"/>
                <w:szCs w:val="21"/>
              </w:rPr>
            </w:pPr>
            <w:r>
              <w:rPr>
                <w:rFonts w:hint="eastAsia" w:ascii="宋体" w:hAnsi="宋体" w:cs="宋体"/>
                <w:kern w:val="0"/>
                <w:szCs w:val="21"/>
              </w:rPr>
              <w:t>现状</w:t>
            </w:r>
          </w:p>
        </w:tc>
        <w:tc>
          <w:tcPr>
            <w:tcW w:w="8527" w:type="dxa"/>
            <w:vAlign w:val="center"/>
          </w:tcPr>
          <w:p>
            <w:pPr>
              <w:ind w:firstLine="480"/>
            </w:pPr>
            <w:r>
              <w:rPr>
                <w:rFonts w:hint="eastAsia"/>
              </w:rPr>
              <w:t>1、环境空气质量现状调查与评价</w:t>
            </w:r>
          </w:p>
          <w:p>
            <w:pPr>
              <w:pStyle w:val="76"/>
              <w:adjustRightInd w:val="0"/>
              <w:snapToGrid w:val="0"/>
              <w:spacing w:line="360" w:lineRule="auto"/>
              <w:rPr>
                <w:rFonts w:ascii="Times New Roman" w:hAnsi="Times New Roman"/>
                <w:sz w:val="24"/>
                <w:highlight w:val="none"/>
              </w:rPr>
            </w:pPr>
            <w:r>
              <w:rPr>
                <w:rFonts w:hint="eastAsia" w:ascii="Times New Roman" w:hAnsi="Times New Roman"/>
                <w:sz w:val="24"/>
                <w:highlight w:val="none"/>
                <w:lang w:eastAsia="zh-CN"/>
              </w:rPr>
              <w:t>（</w:t>
            </w:r>
            <w:r>
              <w:rPr>
                <w:rFonts w:hint="eastAsia" w:ascii="Times New Roman" w:hAnsi="Times New Roman"/>
                <w:sz w:val="24"/>
                <w:highlight w:val="none"/>
                <w:lang w:val="en-US" w:eastAsia="zh-CN"/>
              </w:rPr>
              <w:t>1</w:t>
            </w:r>
            <w:r>
              <w:rPr>
                <w:rFonts w:hint="eastAsia" w:ascii="Times New Roman" w:hAnsi="Times New Roman"/>
                <w:sz w:val="24"/>
                <w:highlight w:val="none"/>
                <w:lang w:eastAsia="zh-CN"/>
              </w:rPr>
              <w:t>）</w:t>
            </w:r>
            <w:r>
              <w:rPr>
                <w:rFonts w:ascii="Times New Roman" w:hAnsi="Times New Roman"/>
                <w:sz w:val="24"/>
                <w:highlight w:val="none"/>
              </w:rPr>
              <w:t>区域环境空气质量情况</w:t>
            </w:r>
          </w:p>
          <w:p>
            <w:pPr>
              <w:pStyle w:val="76"/>
              <w:adjustRightInd w:val="0"/>
              <w:snapToGrid w:val="0"/>
              <w:spacing w:line="360" w:lineRule="auto"/>
              <w:rPr>
                <w:rFonts w:ascii="Times New Roman" w:hAnsi="Times New Roman"/>
                <w:sz w:val="24"/>
                <w:highlight w:val="none"/>
              </w:rPr>
            </w:pPr>
            <w:r>
              <w:rPr>
                <w:rFonts w:ascii="Times New Roman" w:hAnsi="Times New Roman"/>
                <w:sz w:val="24"/>
                <w:highlight w:val="none"/>
              </w:rPr>
              <w:t>根据《环境影响评价技术导则大气环境》（HJ2.2-2018）中要求，项目所在区域达标判定，优先采用国家或地方生态环境主管部门公开发布的评价基准年环境质量公告或环境质量报告中的数据或结论。</w:t>
            </w:r>
          </w:p>
          <w:p>
            <w:pPr>
              <w:pStyle w:val="76"/>
              <w:adjustRightInd w:val="0"/>
              <w:snapToGrid w:val="0"/>
              <w:spacing w:line="360" w:lineRule="auto"/>
              <w:rPr>
                <w:rFonts w:ascii="Times New Roman" w:hAnsi="Times New Roman"/>
                <w:sz w:val="24"/>
                <w:highlight w:val="none"/>
              </w:rPr>
            </w:pPr>
            <w:r>
              <w:rPr>
                <w:rFonts w:ascii="宋体" w:hAnsi="宋体" w:eastAsia="宋体" w:cs="宋体"/>
                <w:sz w:val="24"/>
                <w:szCs w:val="24"/>
              </w:rPr>
              <w:t>本项目位于岳阳市湘阴县，湘阴县环境空气功能区划为二类区，环境空气质量执行《环境空气质量标准》（GB3095-2012）中二级标准。本次评价采用《岳阳市2023年度生态环境质量公报》中湘阴县环境空气质量监测因子PM</w:t>
            </w:r>
            <w:r>
              <w:rPr>
                <w:rFonts w:ascii="宋体" w:hAnsi="宋体" w:eastAsia="宋体" w:cs="宋体"/>
                <w:sz w:val="24"/>
                <w:szCs w:val="24"/>
                <w:vertAlign w:val="subscript"/>
              </w:rPr>
              <w:t>2.5</w:t>
            </w:r>
            <w:r>
              <w:rPr>
                <w:rFonts w:ascii="宋体" w:hAnsi="宋体" w:eastAsia="宋体" w:cs="宋体"/>
                <w:sz w:val="24"/>
                <w:szCs w:val="24"/>
              </w:rPr>
              <w:t>、PM</w:t>
            </w:r>
            <w:r>
              <w:rPr>
                <w:rFonts w:ascii="宋体" w:hAnsi="宋体" w:eastAsia="宋体" w:cs="宋体"/>
                <w:sz w:val="24"/>
                <w:szCs w:val="24"/>
                <w:vertAlign w:val="subscript"/>
              </w:rPr>
              <w:t>10</w:t>
            </w:r>
            <w:r>
              <w:rPr>
                <w:rFonts w:ascii="宋体" w:hAnsi="宋体" w:eastAsia="宋体" w:cs="宋体"/>
                <w:sz w:val="24"/>
                <w:szCs w:val="24"/>
              </w:rPr>
              <w:t>、SO</w:t>
            </w:r>
            <w:r>
              <w:rPr>
                <w:rFonts w:ascii="宋体" w:hAnsi="宋体" w:eastAsia="宋体" w:cs="宋体"/>
                <w:sz w:val="24"/>
                <w:szCs w:val="24"/>
                <w:vertAlign w:val="subscript"/>
              </w:rPr>
              <w:t>2</w:t>
            </w:r>
            <w:r>
              <w:rPr>
                <w:rFonts w:ascii="宋体" w:hAnsi="宋体" w:eastAsia="宋体" w:cs="宋体"/>
                <w:sz w:val="24"/>
                <w:szCs w:val="24"/>
              </w:rPr>
              <w:t>、NO</w:t>
            </w:r>
            <w:r>
              <w:rPr>
                <w:rFonts w:ascii="宋体" w:hAnsi="宋体" w:eastAsia="宋体" w:cs="宋体"/>
                <w:sz w:val="24"/>
                <w:szCs w:val="24"/>
                <w:vertAlign w:val="subscript"/>
              </w:rPr>
              <w:t>2</w:t>
            </w:r>
            <w:r>
              <w:rPr>
                <w:rFonts w:ascii="宋体" w:hAnsi="宋体" w:eastAsia="宋体" w:cs="宋体"/>
                <w:sz w:val="24"/>
                <w:szCs w:val="24"/>
              </w:rPr>
              <w:t>、CO、O</w:t>
            </w:r>
            <w:r>
              <w:rPr>
                <w:rFonts w:ascii="宋体" w:hAnsi="宋体" w:eastAsia="宋体" w:cs="宋体"/>
                <w:sz w:val="24"/>
                <w:szCs w:val="24"/>
                <w:vertAlign w:val="subscript"/>
              </w:rPr>
              <w:t>3</w:t>
            </w:r>
            <w:r>
              <w:rPr>
                <w:rFonts w:ascii="宋体" w:hAnsi="宋体" w:eastAsia="宋体" w:cs="宋体"/>
                <w:sz w:val="24"/>
                <w:szCs w:val="24"/>
              </w:rPr>
              <w:t>数据，对建设项目所在地区环境空气质量现状进行分析，具体统计数据见下表。</w:t>
            </w:r>
          </w:p>
          <w:p>
            <w:pPr>
              <w:pStyle w:val="77"/>
              <w:spacing w:before="0" w:beforeLines="0" w:line="240" w:lineRule="auto"/>
              <w:rPr>
                <w:rFonts w:ascii="Times New Roman" w:hAnsi="Times New Roman"/>
                <w:sz w:val="21"/>
                <w:szCs w:val="21"/>
                <w:highlight w:val="none"/>
              </w:rPr>
            </w:pPr>
            <w:r>
              <w:rPr>
                <w:rFonts w:ascii="Times New Roman" w:hAnsi="Times New Roman"/>
                <w:sz w:val="21"/>
                <w:szCs w:val="21"/>
                <w:highlight w:val="none"/>
              </w:rPr>
              <w:t>表</w:t>
            </w:r>
            <w:r>
              <w:rPr>
                <w:rFonts w:hint="eastAsia" w:hAnsi="Times New Roman"/>
                <w:sz w:val="21"/>
                <w:szCs w:val="21"/>
                <w:highlight w:val="none"/>
                <w:lang w:val="en-US" w:eastAsia="zh-CN"/>
              </w:rPr>
              <w:t>3-1</w:t>
            </w:r>
            <w:r>
              <w:rPr>
                <w:rFonts w:ascii="Times New Roman" w:hAnsi="Times New Roman"/>
                <w:sz w:val="21"/>
                <w:szCs w:val="21"/>
                <w:highlight w:val="none"/>
              </w:rPr>
              <w:t xml:space="preserve"> </w:t>
            </w:r>
            <w:r>
              <w:rPr>
                <w:rFonts w:hint="eastAsia" w:ascii="Times New Roman" w:hAnsi="Times New Roman"/>
                <w:sz w:val="21"/>
                <w:szCs w:val="21"/>
                <w:highlight w:val="none"/>
                <w:lang w:val="en-US" w:eastAsia="zh-CN"/>
              </w:rPr>
              <w:t xml:space="preserve"> </w:t>
            </w:r>
            <w:r>
              <w:rPr>
                <w:rFonts w:ascii="Times New Roman" w:hAnsi="Times New Roman"/>
                <w:sz w:val="21"/>
                <w:szCs w:val="21"/>
                <w:highlight w:val="none"/>
              </w:rPr>
              <w:t xml:space="preserve"> </w:t>
            </w:r>
            <w:r>
              <w:rPr>
                <w:rFonts w:hint="eastAsia" w:ascii="Times New Roman" w:hAnsi="Times New Roman"/>
                <w:sz w:val="21"/>
                <w:szCs w:val="21"/>
                <w:highlight w:val="none"/>
              </w:rPr>
              <w:t>202</w:t>
            </w:r>
            <w:r>
              <w:rPr>
                <w:rFonts w:hint="eastAsia" w:hAnsi="Times New Roman"/>
                <w:sz w:val="21"/>
                <w:szCs w:val="21"/>
                <w:highlight w:val="none"/>
                <w:lang w:val="en-US" w:eastAsia="zh-CN"/>
              </w:rPr>
              <w:t>3</w:t>
            </w:r>
            <w:r>
              <w:rPr>
                <w:rFonts w:hint="eastAsia" w:ascii="Times New Roman" w:hAnsi="Times New Roman"/>
                <w:sz w:val="21"/>
                <w:szCs w:val="21"/>
                <w:highlight w:val="none"/>
              </w:rPr>
              <w:t>年</w:t>
            </w:r>
            <w:r>
              <w:rPr>
                <w:rFonts w:hint="eastAsia" w:ascii="Times New Roman" w:hAnsi="Times New Roman"/>
                <w:sz w:val="21"/>
                <w:szCs w:val="21"/>
                <w:highlight w:val="none"/>
                <w:lang w:val="en-US" w:eastAsia="zh-CN"/>
              </w:rPr>
              <w:t>湘阴县</w:t>
            </w:r>
            <w:r>
              <w:rPr>
                <w:rFonts w:hint="eastAsia" w:ascii="Times New Roman" w:hAnsi="Times New Roman"/>
                <w:sz w:val="21"/>
                <w:szCs w:val="21"/>
                <w:highlight w:val="none"/>
              </w:rPr>
              <w:t>环境</w:t>
            </w:r>
            <w:r>
              <w:rPr>
                <w:rFonts w:ascii="Times New Roman" w:hAnsi="Times New Roman"/>
                <w:sz w:val="21"/>
                <w:szCs w:val="21"/>
                <w:highlight w:val="none"/>
              </w:rPr>
              <w:t>空气质量现状评价表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19"/>
              <w:gridCol w:w="2248"/>
              <w:gridCol w:w="1520"/>
              <w:gridCol w:w="1334"/>
              <w:gridCol w:w="1192"/>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5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sz w:val="21"/>
                      <w:szCs w:val="21"/>
                      <w:highlight w:val="none"/>
                    </w:rPr>
                  </w:pPr>
                  <w:r>
                    <w:rPr>
                      <w:rFonts w:ascii="Times New Roman" w:hAnsi="Times New Roman"/>
                      <w:sz w:val="21"/>
                      <w:szCs w:val="21"/>
                      <w:highlight w:val="none"/>
                    </w:rPr>
                    <w:t>污染物</w:t>
                  </w:r>
                </w:p>
              </w:tc>
              <w:tc>
                <w:tcPr>
                  <w:tcW w:w="13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sz w:val="21"/>
                      <w:szCs w:val="21"/>
                      <w:highlight w:val="none"/>
                    </w:rPr>
                  </w:pPr>
                  <w:r>
                    <w:rPr>
                      <w:rFonts w:ascii="Times New Roman" w:hAnsi="Times New Roman"/>
                      <w:sz w:val="21"/>
                      <w:szCs w:val="21"/>
                      <w:highlight w:val="none"/>
                    </w:rPr>
                    <w:t>年评价指标</w:t>
                  </w:r>
                </w:p>
              </w:tc>
              <w:tc>
                <w:tcPr>
                  <w:tcW w:w="9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sz w:val="21"/>
                      <w:szCs w:val="21"/>
                      <w:highlight w:val="none"/>
                    </w:rPr>
                  </w:pPr>
                  <w:r>
                    <w:rPr>
                      <w:rFonts w:ascii="Times New Roman" w:hAnsi="Times New Roman"/>
                      <w:sz w:val="21"/>
                      <w:szCs w:val="21"/>
                      <w:highlight w:val="none"/>
                    </w:rPr>
                    <w:t>现状浓度</w:t>
                  </w:r>
                </w:p>
              </w:tc>
              <w:tc>
                <w:tcPr>
                  <w:tcW w:w="7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sz w:val="21"/>
                      <w:szCs w:val="21"/>
                      <w:highlight w:val="none"/>
                    </w:rPr>
                  </w:pPr>
                  <w:r>
                    <w:rPr>
                      <w:rFonts w:ascii="Times New Roman" w:hAnsi="Times New Roman"/>
                      <w:sz w:val="21"/>
                      <w:szCs w:val="21"/>
                      <w:highlight w:val="none"/>
                    </w:rPr>
                    <w:t>标准值</w:t>
                  </w:r>
                </w:p>
              </w:tc>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highlight w:val="none"/>
                    </w:rPr>
                  </w:pPr>
                  <w:r>
                    <w:rPr>
                      <w:rFonts w:ascii="Times New Roman" w:hAnsi="Times New Roman"/>
                      <w:sz w:val="21"/>
                      <w:szCs w:val="21"/>
                      <w:highlight w:val="none"/>
                    </w:rPr>
                    <w:t>占标率</w:t>
                  </w:r>
                  <w:r>
                    <w:rPr>
                      <w:rFonts w:hint="eastAsia" w:ascii="Times New Roman" w:hAnsi="Times New Roman"/>
                      <w:sz w:val="21"/>
                      <w:szCs w:val="21"/>
                      <w:highlight w:val="none"/>
                    </w:rPr>
                    <w:t>（%）</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sz w:val="21"/>
                      <w:szCs w:val="21"/>
                      <w:highlight w:val="none"/>
                    </w:rPr>
                  </w:pPr>
                  <w:r>
                    <w:rPr>
                      <w:rFonts w:ascii="Times New Roman" w:hAnsi="Times New Roman"/>
                      <w:sz w:val="21"/>
                      <w:szCs w:val="21"/>
                      <w:highlight w:val="none"/>
                    </w:rPr>
                    <w:t>达标排情况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5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sz w:val="21"/>
                      <w:szCs w:val="21"/>
                      <w:highlight w:val="none"/>
                    </w:rPr>
                  </w:pPr>
                  <w:r>
                    <w:rPr>
                      <w:rFonts w:ascii="Times New Roman" w:hAnsi="Times New Roman"/>
                      <w:sz w:val="21"/>
                      <w:szCs w:val="21"/>
                      <w:highlight w:val="none"/>
                    </w:rPr>
                    <w:t>PM</w:t>
                  </w:r>
                  <w:r>
                    <w:rPr>
                      <w:rFonts w:ascii="Times New Roman" w:hAnsi="Times New Roman"/>
                      <w:sz w:val="21"/>
                      <w:szCs w:val="21"/>
                      <w:highlight w:val="none"/>
                      <w:vertAlign w:val="subscript"/>
                    </w:rPr>
                    <w:t>2.5</w:t>
                  </w:r>
                </w:p>
              </w:tc>
              <w:tc>
                <w:tcPr>
                  <w:tcW w:w="13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sz w:val="21"/>
                      <w:szCs w:val="21"/>
                      <w:highlight w:val="none"/>
                    </w:rPr>
                  </w:pPr>
                  <w:r>
                    <w:rPr>
                      <w:rFonts w:ascii="Times New Roman" w:hAnsi="Times New Roman"/>
                      <w:sz w:val="21"/>
                      <w:szCs w:val="21"/>
                      <w:highlight w:val="none"/>
                    </w:rPr>
                    <w:t>年平均质量浓度</w:t>
                  </w:r>
                </w:p>
              </w:tc>
              <w:tc>
                <w:tcPr>
                  <w:tcW w:w="907" w:type="pct"/>
                  <w:tcBorders>
                    <w:tl2br w:val="nil"/>
                    <w:tr2bl w:val="nil"/>
                  </w:tcBorders>
                  <w:noWrap w:val="0"/>
                  <w:vAlign w:val="center"/>
                </w:tcPr>
                <w:p>
                  <w:pPr>
                    <w:pStyle w:val="78"/>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cs="Times New Roman"/>
                      <w:sz w:val="21"/>
                      <w:szCs w:val="21"/>
                      <w:highlight w:val="none"/>
                    </w:rPr>
                  </w:pPr>
                  <w:r>
                    <w:rPr>
                      <w:rFonts w:hint="eastAsia" w:ascii="Times New Roman" w:hAnsi="Times New Roman" w:cs="Times New Roman"/>
                      <w:b w:val="0"/>
                      <w:sz w:val="21"/>
                      <w:szCs w:val="21"/>
                      <w:highlight w:val="none"/>
                      <w:lang w:val="en-US" w:eastAsia="zh-CN"/>
                    </w:rPr>
                    <w:t>33</w:t>
                  </w:r>
                  <w:r>
                    <w:rPr>
                      <w:rFonts w:ascii="Times New Roman" w:hAnsi="Times New Roman" w:cs="Times New Roman"/>
                      <w:b w:val="0"/>
                      <w:sz w:val="21"/>
                      <w:szCs w:val="21"/>
                      <w:highlight w:val="none"/>
                    </w:rPr>
                    <w:t>µg/m</w:t>
                  </w:r>
                  <w:r>
                    <w:rPr>
                      <w:rFonts w:ascii="Times New Roman" w:hAnsi="Times New Roman" w:cs="Times New Roman"/>
                      <w:b w:val="0"/>
                      <w:sz w:val="21"/>
                      <w:szCs w:val="21"/>
                      <w:highlight w:val="none"/>
                      <w:vertAlign w:val="superscript"/>
                    </w:rPr>
                    <w:t>3</w:t>
                  </w:r>
                </w:p>
              </w:tc>
              <w:tc>
                <w:tcPr>
                  <w:tcW w:w="796" w:type="pct"/>
                  <w:tcBorders>
                    <w:tl2br w:val="nil"/>
                    <w:tr2bl w:val="nil"/>
                  </w:tcBorders>
                  <w:noWrap w:val="0"/>
                  <w:vAlign w:val="center"/>
                </w:tcPr>
                <w:p>
                  <w:pPr>
                    <w:pStyle w:val="78"/>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cs="Times New Roman"/>
                      <w:sz w:val="21"/>
                      <w:szCs w:val="21"/>
                      <w:highlight w:val="none"/>
                    </w:rPr>
                  </w:pPr>
                  <w:r>
                    <w:rPr>
                      <w:rStyle w:val="79"/>
                      <w:rFonts w:ascii="Times New Roman" w:hAnsi="Times New Roman" w:cs="Times New Roman"/>
                      <w:b w:val="0"/>
                      <w:sz w:val="21"/>
                      <w:szCs w:val="21"/>
                      <w:highlight w:val="none"/>
                    </w:rPr>
                    <w:t>35</w:t>
                  </w:r>
                  <w:r>
                    <w:rPr>
                      <w:rFonts w:ascii="Times New Roman" w:hAnsi="Times New Roman" w:cs="Times New Roman"/>
                      <w:b w:val="0"/>
                      <w:sz w:val="21"/>
                      <w:szCs w:val="21"/>
                      <w:highlight w:val="none"/>
                    </w:rPr>
                    <w:t>µg/m</w:t>
                  </w:r>
                  <w:r>
                    <w:rPr>
                      <w:rFonts w:ascii="Times New Roman" w:hAnsi="Times New Roman" w:cs="Times New Roman"/>
                      <w:b w:val="0"/>
                      <w:sz w:val="21"/>
                      <w:szCs w:val="21"/>
                      <w:highlight w:val="none"/>
                      <w:vertAlign w:val="superscript"/>
                    </w:rPr>
                    <w:t>3</w:t>
                  </w:r>
                </w:p>
              </w:tc>
              <w:tc>
                <w:tcPr>
                  <w:tcW w:w="711" w:type="pct"/>
                  <w:tcBorders>
                    <w:tl2br w:val="nil"/>
                    <w:tr2bl w:val="nil"/>
                  </w:tcBorders>
                  <w:noWrap w:val="0"/>
                  <w:vAlign w:val="center"/>
                </w:tcPr>
                <w:p>
                  <w:pPr>
                    <w:pStyle w:val="78"/>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b w:val="0"/>
                      <w:sz w:val="21"/>
                      <w:szCs w:val="21"/>
                      <w:highlight w:val="none"/>
                      <w:lang w:val="en-US" w:eastAsia="zh-CN"/>
                    </w:rPr>
                  </w:pPr>
                  <w:r>
                    <w:rPr>
                      <w:rFonts w:hint="eastAsia" w:ascii="Times New Roman" w:hAnsi="Times New Roman" w:cs="Times New Roman"/>
                      <w:b w:val="0"/>
                      <w:sz w:val="21"/>
                      <w:szCs w:val="21"/>
                      <w:highlight w:val="none"/>
                      <w:lang w:val="en-US" w:eastAsia="zh-CN"/>
                    </w:rPr>
                    <w:t>94.3</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sz w:val="21"/>
                      <w:szCs w:val="21"/>
                      <w:highlight w:val="none"/>
                    </w:rPr>
                  </w:pPr>
                  <w:r>
                    <w:rPr>
                      <w:rFonts w:ascii="Times New Roman" w:hAnsi="Times New Roman"/>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5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sz w:val="21"/>
                      <w:szCs w:val="21"/>
                      <w:highlight w:val="none"/>
                    </w:rPr>
                  </w:pPr>
                  <w:r>
                    <w:rPr>
                      <w:rFonts w:ascii="Times New Roman" w:hAnsi="Times New Roman"/>
                      <w:sz w:val="21"/>
                      <w:szCs w:val="21"/>
                      <w:highlight w:val="none"/>
                    </w:rPr>
                    <w:t>PM</w:t>
                  </w:r>
                  <w:r>
                    <w:rPr>
                      <w:rFonts w:ascii="Times New Roman" w:hAnsi="Times New Roman"/>
                      <w:sz w:val="21"/>
                      <w:szCs w:val="21"/>
                      <w:highlight w:val="none"/>
                      <w:vertAlign w:val="subscript"/>
                    </w:rPr>
                    <w:t>10</w:t>
                  </w:r>
                </w:p>
              </w:tc>
              <w:tc>
                <w:tcPr>
                  <w:tcW w:w="13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sz w:val="21"/>
                      <w:szCs w:val="21"/>
                      <w:highlight w:val="none"/>
                    </w:rPr>
                  </w:pPr>
                  <w:r>
                    <w:rPr>
                      <w:rFonts w:ascii="Times New Roman" w:hAnsi="Times New Roman"/>
                      <w:sz w:val="21"/>
                      <w:szCs w:val="21"/>
                      <w:highlight w:val="none"/>
                    </w:rPr>
                    <w:t>年平均质量浓度</w:t>
                  </w:r>
                </w:p>
              </w:tc>
              <w:tc>
                <w:tcPr>
                  <w:tcW w:w="907" w:type="pct"/>
                  <w:tcBorders>
                    <w:tl2br w:val="nil"/>
                    <w:tr2bl w:val="nil"/>
                  </w:tcBorders>
                  <w:noWrap w:val="0"/>
                  <w:vAlign w:val="center"/>
                </w:tcPr>
                <w:p>
                  <w:pPr>
                    <w:pStyle w:val="78"/>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cs="Times New Roman"/>
                      <w:sz w:val="21"/>
                      <w:szCs w:val="21"/>
                      <w:highlight w:val="none"/>
                    </w:rPr>
                  </w:pPr>
                  <w:r>
                    <w:rPr>
                      <w:rFonts w:hint="eastAsia" w:ascii="Times New Roman" w:hAnsi="Times New Roman" w:cs="Times New Roman"/>
                      <w:b w:val="0"/>
                      <w:sz w:val="21"/>
                      <w:szCs w:val="21"/>
                      <w:highlight w:val="none"/>
                      <w:lang w:val="en-US" w:eastAsia="zh-CN"/>
                    </w:rPr>
                    <w:t>48</w:t>
                  </w:r>
                  <w:r>
                    <w:rPr>
                      <w:rFonts w:ascii="Times New Roman" w:hAnsi="Times New Roman" w:cs="Times New Roman"/>
                      <w:b w:val="0"/>
                      <w:sz w:val="21"/>
                      <w:szCs w:val="21"/>
                      <w:highlight w:val="none"/>
                    </w:rPr>
                    <w:t>µg/m</w:t>
                  </w:r>
                  <w:r>
                    <w:rPr>
                      <w:rFonts w:ascii="Times New Roman" w:hAnsi="Times New Roman" w:cs="Times New Roman"/>
                      <w:b w:val="0"/>
                      <w:sz w:val="21"/>
                      <w:szCs w:val="21"/>
                      <w:highlight w:val="none"/>
                      <w:vertAlign w:val="superscript"/>
                    </w:rPr>
                    <w:t>3</w:t>
                  </w:r>
                </w:p>
              </w:tc>
              <w:tc>
                <w:tcPr>
                  <w:tcW w:w="796" w:type="pct"/>
                  <w:tcBorders>
                    <w:tl2br w:val="nil"/>
                    <w:tr2bl w:val="nil"/>
                  </w:tcBorders>
                  <w:noWrap w:val="0"/>
                  <w:vAlign w:val="center"/>
                </w:tcPr>
                <w:p>
                  <w:pPr>
                    <w:pStyle w:val="78"/>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cs="Times New Roman"/>
                      <w:sz w:val="21"/>
                      <w:szCs w:val="21"/>
                      <w:highlight w:val="none"/>
                    </w:rPr>
                  </w:pPr>
                  <w:r>
                    <w:rPr>
                      <w:rStyle w:val="79"/>
                      <w:rFonts w:ascii="Times New Roman" w:hAnsi="Times New Roman" w:cs="Times New Roman"/>
                      <w:b w:val="0"/>
                      <w:sz w:val="21"/>
                      <w:szCs w:val="21"/>
                      <w:highlight w:val="none"/>
                    </w:rPr>
                    <w:t>70</w:t>
                  </w:r>
                  <w:r>
                    <w:rPr>
                      <w:rFonts w:ascii="Times New Roman" w:hAnsi="Times New Roman" w:cs="Times New Roman"/>
                      <w:b w:val="0"/>
                      <w:sz w:val="21"/>
                      <w:szCs w:val="21"/>
                      <w:highlight w:val="none"/>
                    </w:rPr>
                    <w:t>µg/m</w:t>
                  </w:r>
                  <w:r>
                    <w:rPr>
                      <w:rFonts w:ascii="Times New Roman" w:hAnsi="Times New Roman" w:cs="Times New Roman"/>
                      <w:b w:val="0"/>
                      <w:sz w:val="21"/>
                      <w:szCs w:val="21"/>
                      <w:highlight w:val="none"/>
                      <w:vertAlign w:val="superscript"/>
                    </w:rPr>
                    <w:t>3</w:t>
                  </w:r>
                </w:p>
              </w:tc>
              <w:tc>
                <w:tcPr>
                  <w:tcW w:w="711" w:type="pct"/>
                  <w:tcBorders>
                    <w:tl2br w:val="nil"/>
                    <w:tr2bl w:val="nil"/>
                  </w:tcBorders>
                  <w:noWrap w:val="0"/>
                  <w:vAlign w:val="center"/>
                </w:tcPr>
                <w:p>
                  <w:pPr>
                    <w:pStyle w:val="78"/>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b w:val="0"/>
                      <w:sz w:val="21"/>
                      <w:szCs w:val="21"/>
                      <w:highlight w:val="none"/>
                      <w:lang w:val="en-US" w:eastAsia="zh-CN"/>
                    </w:rPr>
                  </w:pPr>
                  <w:r>
                    <w:rPr>
                      <w:rFonts w:hint="eastAsia" w:ascii="Times New Roman" w:hAnsi="Times New Roman" w:cs="Times New Roman"/>
                      <w:b w:val="0"/>
                      <w:sz w:val="21"/>
                      <w:szCs w:val="21"/>
                      <w:highlight w:val="none"/>
                      <w:lang w:val="en-US" w:eastAsia="zh-CN"/>
                    </w:rPr>
                    <w:t>68.6</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sz w:val="21"/>
                      <w:szCs w:val="21"/>
                      <w:highlight w:val="none"/>
                    </w:rPr>
                  </w:pPr>
                  <w:r>
                    <w:rPr>
                      <w:rFonts w:ascii="Times New Roman" w:hAnsi="Times New Roman"/>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548" w:type="pct"/>
                  <w:tcBorders>
                    <w:tl2br w:val="nil"/>
                    <w:tr2bl w:val="nil"/>
                  </w:tcBorders>
                  <w:noWrap w:val="0"/>
                  <w:vAlign w:val="center"/>
                </w:tcPr>
                <w:p>
                  <w:pPr>
                    <w:pStyle w:val="78"/>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cs="Times New Roman"/>
                      <w:sz w:val="21"/>
                      <w:szCs w:val="21"/>
                      <w:highlight w:val="none"/>
                    </w:rPr>
                  </w:pPr>
                  <w:r>
                    <w:rPr>
                      <w:rFonts w:ascii="Times New Roman" w:hAnsi="Times New Roman" w:cs="Times New Roman"/>
                      <w:b w:val="0"/>
                      <w:bCs/>
                      <w:sz w:val="21"/>
                      <w:szCs w:val="21"/>
                      <w:highlight w:val="none"/>
                    </w:rPr>
                    <w:t>SO</w:t>
                  </w:r>
                  <w:r>
                    <w:rPr>
                      <w:rFonts w:ascii="Times New Roman" w:hAnsi="Times New Roman" w:cs="Times New Roman"/>
                      <w:b w:val="0"/>
                      <w:bCs/>
                      <w:sz w:val="21"/>
                      <w:szCs w:val="21"/>
                      <w:highlight w:val="none"/>
                      <w:vertAlign w:val="subscript"/>
                    </w:rPr>
                    <w:t>2</w:t>
                  </w:r>
                </w:p>
              </w:tc>
              <w:tc>
                <w:tcPr>
                  <w:tcW w:w="13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sz w:val="21"/>
                      <w:szCs w:val="21"/>
                      <w:highlight w:val="none"/>
                    </w:rPr>
                  </w:pPr>
                  <w:r>
                    <w:rPr>
                      <w:rFonts w:ascii="Times New Roman" w:hAnsi="Times New Roman"/>
                      <w:sz w:val="21"/>
                      <w:szCs w:val="21"/>
                      <w:highlight w:val="none"/>
                    </w:rPr>
                    <w:t>年平均质量浓度</w:t>
                  </w:r>
                </w:p>
              </w:tc>
              <w:tc>
                <w:tcPr>
                  <w:tcW w:w="907" w:type="pct"/>
                  <w:tcBorders>
                    <w:tl2br w:val="nil"/>
                    <w:tr2bl w:val="nil"/>
                  </w:tcBorders>
                  <w:noWrap w:val="0"/>
                  <w:vAlign w:val="center"/>
                </w:tcPr>
                <w:p>
                  <w:pPr>
                    <w:pStyle w:val="78"/>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cs="Times New Roman"/>
                      <w:sz w:val="21"/>
                      <w:szCs w:val="21"/>
                      <w:highlight w:val="none"/>
                    </w:rPr>
                  </w:pPr>
                  <w:r>
                    <w:rPr>
                      <w:rFonts w:hint="eastAsia" w:ascii="Times New Roman" w:hAnsi="Times New Roman" w:cs="Times New Roman"/>
                      <w:b w:val="0"/>
                      <w:sz w:val="21"/>
                      <w:szCs w:val="21"/>
                      <w:highlight w:val="none"/>
                      <w:lang w:val="en-US" w:eastAsia="zh-CN"/>
                    </w:rPr>
                    <w:t>5</w:t>
                  </w:r>
                  <w:r>
                    <w:rPr>
                      <w:rFonts w:ascii="Times New Roman" w:hAnsi="Times New Roman" w:cs="Times New Roman"/>
                      <w:b w:val="0"/>
                      <w:sz w:val="21"/>
                      <w:szCs w:val="21"/>
                      <w:highlight w:val="none"/>
                    </w:rPr>
                    <w:t>µg/m</w:t>
                  </w:r>
                  <w:r>
                    <w:rPr>
                      <w:rFonts w:ascii="Times New Roman" w:hAnsi="Times New Roman" w:cs="Times New Roman"/>
                      <w:b w:val="0"/>
                      <w:sz w:val="21"/>
                      <w:szCs w:val="21"/>
                      <w:highlight w:val="none"/>
                      <w:vertAlign w:val="superscript"/>
                    </w:rPr>
                    <w:t>3</w:t>
                  </w:r>
                </w:p>
              </w:tc>
              <w:tc>
                <w:tcPr>
                  <w:tcW w:w="796" w:type="pct"/>
                  <w:tcBorders>
                    <w:tl2br w:val="nil"/>
                    <w:tr2bl w:val="nil"/>
                  </w:tcBorders>
                  <w:noWrap w:val="0"/>
                  <w:vAlign w:val="center"/>
                </w:tcPr>
                <w:p>
                  <w:pPr>
                    <w:pStyle w:val="78"/>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cs="Times New Roman"/>
                      <w:sz w:val="21"/>
                      <w:szCs w:val="21"/>
                      <w:highlight w:val="none"/>
                    </w:rPr>
                  </w:pPr>
                  <w:r>
                    <w:rPr>
                      <w:rStyle w:val="79"/>
                      <w:rFonts w:ascii="Times New Roman" w:hAnsi="Times New Roman" w:cs="Times New Roman"/>
                      <w:b w:val="0"/>
                      <w:sz w:val="21"/>
                      <w:szCs w:val="21"/>
                      <w:highlight w:val="none"/>
                    </w:rPr>
                    <w:t>60</w:t>
                  </w:r>
                  <w:r>
                    <w:rPr>
                      <w:rFonts w:ascii="Times New Roman" w:hAnsi="Times New Roman" w:cs="Times New Roman"/>
                      <w:b w:val="0"/>
                      <w:sz w:val="21"/>
                      <w:szCs w:val="21"/>
                      <w:highlight w:val="none"/>
                    </w:rPr>
                    <w:t>µg/m</w:t>
                  </w:r>
                  <w:r>
                    <w:rPr>
                      <w:rFonts w:ascii="Times New Roman" w:hAnsi="Times New Roman" w:cs="Times New Roman"/>
                      <w:b w:val="0"/>
                      <w:sz w:val="21"/>
                      <w:szCs w:val="21"/>
                      <w:highlight w:val="none"/>
                      <w:vertAlign w:val="superscript"/>
                    </w:rPr>
                    <w:t>3</w:t>
                  </w:r>
                </w:p>
              </w:tc>
              <w:tc>
                <w:tcPr>
                  <w:tcW w:w="711" w:type="pct"/>
                  <w:tcBorders>
                    <w:tl2br w:val="nil"/>
                    <w:tr2bl w:val="nil"/>
                  </w:tcBorders>
                  <w:noWrap w:val="0"/>
                  <w:vAlign w:val="center"/>
                </w:tcPr>
                <w:p>
                  <w:pPr>
                    <w:pStyle w:val="78"/>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b w:val="0"/>
                      <w:sz w:val="21"/>
                      <w:szCs w:val="21"/>
                      <w:highlight w:val="none"/>
                      <w:lang w:val="en-US" w:eastAsia="zh-CN"/>
                    </w:rPr>
                  </w:pPr>
                  <w:r>
                    <w:rPr>
                      <w:rFonts w:hint="eastAsia" w:ascii="Times New Roman" w:hAnsi="Times New Roman" w:cs="Times New Roman"/>
                      <w:b w:val="0"/>
                      <w:sz w:val="21"/>
                      <w:szCs w:val="21"/>
                      <w:highlight w:val="none"/>
                      <w:lang w:val="en-US" w:eastAsia="zh-CN"/>
                    </w:rPr>
                    <w:t>8.3</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sz w:val="21"/>
                      <w:szCs w:val="21"/>
                      <w:highlight w:val="none"/>
                    </w:rPr>
                  </w:pPr>
                  <w:r>
                    <w:rPr>
                      <w:rFonts w:ascii="Times New Roman" w:hAnsi="Times New Roman"/>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548" w:type="pct"/>
                  <w:tcBorders>
                    <w:tl2br w:val="nil"/>
                    <w:tr2bl w:val="nil"/>
                  </w:tcBorders>
                  <w:noWrap w:val="0"/>
                  <w:vAlign w:val="center"/>
                </w:tcPr>
                <w:p>
                  <w:pPr>
                    <w:pStyle w:val="78"/>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cs="Times New Roman"/>
                      <w:sz w:val="21"/>
                      <w:szCs w:val="21"/>
                      <w:highlight w:val="none"/>
                    </w:rPr>
                  </w:pPr>
                  <w:r>
                    <w:rPr>
                      <w:rFonts w:ascii="Times New Roman" w:hAnsi="Times New Roman" w:cs="Times New Roman"/>
                      <w:b w:val="0"/>
                      <w:bCs/>
                      <w:sz w:val="21"/>
                      <w:szCs w:val="21"/>
                      <w:highlight w:val="none"/>
                    </w:rPr>
                    <w:t>NO</w:t>
                  </w:r>
                  <w:r>
                    <w:rPr>
                      <w:rFonts w:ascii="Times New Roman" w:hAnsi="Times New Roman" w:cs="Times New Roman"/>
                      <w:b w:val="0"/>
                      <w:bCs/>
                      <w:sz w:val="21"/>
                      <w:szCs w:val="21"/>
                      <w:highlight w:val="none"/>
                      <w:vertAlign w:val="subscript"/>
                    </w:rPr>
                    <w:t>2</w:t>
                  </w:r>
                </w:p>
              </w:tc>
              <w:tc>
                <w:tcPr>
                  <w:tcW w:w="13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sz w:val="21"/>
                      <w:szCs w:val="21"/>
                      <w:highlight w:val="none"/>
                    </w:rPr>
                  </w:pPr>
                  <w:r>
                    <w:rPr>
                      <w:rFonts w:ascii="Times New Roman" w:hAnsi="Times New Roman"/>
                      <w:sz w:val="21"/>
                      <w:szCs w:val="21"/>
                      <w:highlight w:val="none"/>
                    </w:rPr>
                    <w:t>年平均质量浓度</w:t>
                  </w:r>
                </w:p>
              </w:tc>
              <w:tc>
                <w:tcPr>
                  <w:tcW w:w="907" w:type="pct"/>
                  <w:tcBorders>
                    <w:tl2br w:val="nil"/>
                    <w:tr2bl w:val="nil"/>
                  </w:tcBorders>
                  <w:noWrap w:val="0"/>
                  <w:vAlign w:val="center"/>
                </w:tcPr>
                <w:p>
                  <w:pPr>
                    <w:pStyle w:val="78"/>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cs="Times New Roman"/>
                      <w:sz w:val="21"/>
                      <w:szCs w:val="21"/>
                      <w:highlight w:val="none"/>
                    </w:rPr>
                  </w:pPr>
                  <w:r>
                    <w:rPr>
                      <w:rFonts w:hint="eastAsia" w:ascii="Times New Roman" w:hAnsi="Times New Roman" w:cs="Times New Roman"/>
                      <w:b w:val="0"/>
                      <w:sz w:val="21"/>
                      <w:szCs w:val="21"/>
                      <w:highlight w:val="none"/>
                      <w:lang w:val="en-US" w:eastAsia="zh-CN"/>
                    </w:rPr>
                    <w:t>15</w:t>
                  </w:r>
                  <w:r>
                    <w:rPr>
                      <w:rFonts w:ascii="Times New Roman" w:hAnsi="Times New Roman" w:cs="Times New Roman"/>
                      <w:b w:val="0"/>
                      <w:sz w:val="21"/>
                      <w:szCs w:val="21"/>
                      <w:highlight w:val="none"/>
                    </w:rPr>
                    <w:t>µg/m</w:t>
                  </w:r>
                  <w:r>
                    <w:rPr>
                      <w:rFonts w:ascii="Times New Roman" w:hAnsi="Times New Roman" w:cs="Times New Roman"/>
                      <w:b w:val="0"/>
                      <w:sz w:val="21"/>
                      <w:szCs w:val="21"/>
                      <w:highlight w:val="none"/>
                      <w:vertAlign w:val="superscript"/>
                    </w:rPr>
                    <w:t>3</w:t>
                  </w:r>
                </w:p>
              </w:tc>
              <w:tc>
                <w:tcPr>
                  <w:tcW w:w="796" w:type="pct"/>
                  <w:tcBorders>
                    <w:tl2br w:val="nil"/>
                    <w:tr2bl w:val="nil"/>
                  </w:tcBorders>
                  <w:noWrap w:val="0"/>
                  <w:vAlign w:val="center"/>
                </w:tcPr>
                <w:p>
                  <w:pPr>
                    <w:pStyle w:val="78"/>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cs="Times New Roman"/>
                      <w:sz w:val="21"/>
                      <w:szCs w:val="21"/>
                      <w:highlight w:val="none"/>
                    </w:rPr>
                  </w:pPr>
                  <w:r>
                    <w:rPr>
                      <w:rStyle w:val="79"/>
                      <w:rFonts w:ascii="Times New Roman" w:hAnsi="Times New Roman" w:cs="Times New Roman"/>
                      <w:b w:val="0"/>
                      <w:sz w:val="21"/>
                      <w:szCs w:val="21"/>
                      <w:highlight w:val="none"/>
                    </w:rPr>
                    <w:t>40</w:t>
                  </w:r>
                  <w:r>
                    <w:rPr>
                      <w:rFonts w:ascii="Times New Roman" w:hAnsi="Times New Roman" w:cs="Times New Roman"/>
                      <w:b w:val="0"/>
                      <w:sz w:val="21"/>
                      <w:szCs w:val="21"/>
                      <w:highlight w:val="none"/>
                    </w:rPr>
                    <w:t>µg/m</w:t>
                  </w:r>
                  <w:r>
                    <w:rPr>
                      <w:rFonts w:ascii="Times New Roman" w:hAnsi="Times New Roman" w:cs="Times New Roman"/>
                      <w:b w:val="0"/>
                      <w:sz w:val="21"/>
                      <w:szCs w:val="21"/>
                      <w:highlight w:val="none"/>
                      <w:vertAlign w:val="superscript"/>
                    </w:rPr>
                    <w:t>3</w:t>
                  </w:r>
                </w:p>
              </w:tc>
              <w:tc>
                <w:tcPr>
                  <w:tcW w:w="711" w:type="pct"/>
                  <w:tcBorders>
                    <w:tl2br w:val="nil"/>
                    <w:tr2bl w:val="nil"/>
                  </w:tcBorders>
                  <w:noWrap w:val="0"/>
                  <w:vAlign w:val="center"/>
                </w:tcPr>
                <w:p>
                  <w:pPr>
                    <w:pStyle w:val="78"/>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b w:val="0"/>
                      <w:sz w:val="21"/>
                      <w:szCs w:val="21"/>
                      <w:highlight w:val="none"/>
                      <w:lang w:val="en-US" w:eastAsia="zh-CN"/>
                    </w:rPr>
                  </w:pPr>
                  <w:r>
                    <w:rPr>
                      <w:rFonts w:hint="eastAsia" w:ascii="Times New Roman" w:hAnsi="Times New Roman" w:cs="Times New Roman"/>
                      <w:b w:val="0"/>
                      <w:sz w:val="21"/>
                      <w:szCs w:val="21"/>
                      <w:highlight w:val="none"/>
                      <w:lang w:val="en-US" w:eastAsia="zh-CN"/>
                    </w:rPr>
                    <w:t>37.5</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sz w:val="21"/>
                      <w:szCs w:val="21"/>
                      <w:highlight w:val="none"/>
                    </w:rPr>
                  </w:pPr>
                  <w:r>
                    <w:rPr>
                      <w:rFonts w:ascii="Times New Roman" w:hAnsi="Times New Roman"/>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5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sz w:val="21"/>
                      <w:szCs w:val="21"/>
                      <w:highlight w:val="none"/>
                    </w:rPr>
                  </w:pPr>
                  <w:r>
                    <w:rPr>
                      <w:rFonts w:ascii="Times New Roman" w:hAnsi="Times New Roman"/>
                      <w:sz w:val="21"/>
                      <w:szCs w:val="21"/>
                      <w:highlight w:val="none"/>
                    </w:rPr>
                    <w:t>O</w:t>
                  </w:r>
                  <w:r>
                    <w:rPr>
                      <w:rFonts w:ascii="Times New Roman" w:hAnsi="Times New Roman"/>
                      <w:sz w:val="21"/>
                      <w:szCs w:val="21"/>
                      <w:highlight w:val="none"/>
                      <w:vertAlign w:val="subscript"/>
                    </w:rPr>
                    <w:t>3</w:t>
                  </w:r>
                </w:p>
              </w:tc>
              <w:tc>
                <w:tcPr>
                  <w:tcW w:w="13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sz w:val="21"/>
                      <w:szCs w:val="21"/>
                      <w:highlight w:val="none"/>
                    </w:rPr>
                  </w:pPr>
                  <w:r>
                    <w:rPr>
                      <w:rFonts w:ascii="Times New Roman" w:hAnsi="Times New Roman"/>
                      <w:sz w:val="21"/>
                      <w:szCs w:val="21"/>
                      <w:highlight w:val="none"/>
                    </w:rPr>
                    <w:t>95百分位数24小时平均</w:t>
                  </w:r>
                </w:p>
              </w:tc>
              <w:tc>
                <w:tcPr>
                  <w:tcW w:w="907" w:type="pct"/>
                  <w:tcBorders>
                    <w:tl2br w:val="nil"/>
                    <w:tr2bl w:val="nil"/>
                  </w:tcBorders>
                  <w:noWrap w:val="0"/>
                  <w:vAlign w:val="center"/>
                </w:tcPr>
                <w:p>
                  <w:pPr>
                    <w:pStyle w:val="78"/>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cs="Times New Roman"/>
                      <w:sz w:val="21"/>
                      <w:szCs w:val="21"/>
                      <w:highlight w:val="none"/>
                    </w:rPr>
                  </w:pPr>
                  <w:r>
                    <w:rPr>
                      <w:rFonts w:hint="eastAsia" w:ascii="Times New Roman" w:hAnsi="Times New Roman" w:cs="Times New Roman"/>
                      <w:b w:val="0"/>
                      <w:sz w:val="21"/>
                      <w:szCs w:val="21"/>
                      <w:highlight w:val="none"/>
                      <w:lang w:val="en-US" w:eastAsia="zh-CN"/>
                    </w:rPr>
                    <w:t>139</w:t>
                  </w:r>
                  <w:r>
                    <w:rPr>
                      <w:rFonts w:ascii="Times New Roman" w:hAnsi="Times New Roman" w:cs="Times New Roman"/>
                      <w:b w:val="0"/>
                      <w:sz w:val="21"/>
                      <w:szCs w:val="21"/>
                      <w:highlight w:val="none"/>
                    </w:rPr>
                    <w:t>µg/m</w:t>
                  </w:r>
                  <w:r>
                    <w:rPr>
                      <w:rFonts w:ascii="Times New Roman" w:hAnsi="Times New Roman" w:cs="Times New Roman"/>
                      <w:b w:val="0"/>
                      <w:sz w:val="21"/>
                      <w:szCs w:val="21"/>
                      <w:highlight w:val="none"/>
                      <w:vertAlign w:val="superscript"/>
                    </w:rPr>
                    <w:t>3</w:t>
                  </w:r>
                </w:p>
              </w:tc>
              <w:tc>
                <w:tcPr>
                  <w:tcW w:w="796" w:type="pct"/>
                  <w:tcBorders>
                    <w:tl2br w:val="nil"/>
                    <w:tr2bl w:val="nil"/>
                  </w:tcBorders>
                  <w:noWrap w:val="0"/>
                  <w:vAlign w:val="center"/>
                </w:tcPr>
                <w:p>
                  <w:pPr>
                    <w:pStyle w:val="78"/>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cs="Times New Roman"/>
                      <w:sz w:val="21"/>
                      <w:szCs w:val="21"/>
                      <w:highlight w:val="none"/>
                    </w:rPr>
                  </w:pPr>
                  <w:r>
                    <w:rPr>
                      <w:rStyle w:val="79"/>
                      <w:rFonts w:ascii="Times New Roman" w:hAnsi="Times New Roman" w:cs="Times New Roman"/>
                      <w:b w:val="0"/>
                      <w:sz w:val="21"/>
                      <w:szCs w:val="21"/>
                      <w:highlight w:val="none"/>
                    </w:rPr>
                    <w:t>160</w:t>
                  </w:r>
                  <w:r>
                    <w:rPr>
                      <w:rFonts w:ascii="Times New Roman" w:hAnsi="Times New Roman" w:cs="Times New Roman"/>
                      <w:b w:val="0"/>
                      <w:sz w:val="21"/>
                      <w:szCs w:val="21"/>
                      <w:highlight w:val="none"/>
                    </w:rPr>
                    <w:t>µg/m</w:t>
                  </w:r>
                  <w:r>
                    <w:rPr>
                      <w:rFonts w:ascii="Times New Roman" w:hAnsi="Times New Roman" w:cs="Times New Roman"/>
                      <w:b w:val="0"/>
                      <w:sz w:val="21"/>
                      <w:szCs w:val="21"/>
                      <w:highlight w:val="none"/>
                      <w:vertAlign w:val="superscript"/>
                    </w:rPr>
                    <w:t>3</w:t>
                  </w:r>
                </w:p>
              </w:tc>
              <w:tc>
                <w:tcPr>
                  <w:tcW w:w="711" w:type="pct"/>
                  <w:tcBorders>
                    <w:tl2br w:val="nil"/>
                    <w:tr2bl w:val="nil"/>
                  </w:tcBorders>
                  <w:noWrap w:val="0"/>
                  <w:vAlign w:val="center"/>
                </w:tcPr>
                <w:p>
                  <w:pPr>
                    <w:pStyle w:val="78"/>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b w:val="0"/>
                      <w:sz w:val="21"/>
                      <w:szCs w:val="21"/>
                      <w:highlight w:val="none"/>
                      <w:lang w:val="en-US" w:eastAsia="zh-CN"/>
                    </w:rPr>
                  </w:pPr>
                  <w:r>
                    <w:rPr>
                      <w:rFonts w:hint="eastAsia" w:ascii="Times New Roman" w:hAnsi="Times New Roman" w:cs="Times New Roman"/>
                      <w:b w:val="0"/>
                      <w:sz w:val="21"/>
                      <w:szCs w:val="21"/>
                      <w:highlight w:val="none"/>
                      <w:lang w:val="en-US" w:eastAsia="zh-CN"/>
                    </w:rPr>
                    <w:t>86.9</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sz w:val="21"/>
                      <w:szCs w:val="21"/>
                      <w:highlight w:val="none"/>
                    </w:rPr>
                  </w:pPr>
                  <w:r>
                    <w:rPr>
                      <w:rFonts w:ascii="Times New Roman" w:hAnsi="Times New Roman"/>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5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sz w:val="21"/>
                      <w:szCs w:val="21"/>
                      <w:highlight w:val="none"/>
                    </w:rPr>
                  </w:pPr>
                  <w:r>
                    <w:rPr>
                      <w:rFonts w:ascii="Times New Roman" w:hAnsi="Times New Roman"/>
                      <w:sz w:val="21"/>
                      <w:szCs w:val="21"/>
                      <w:highlight w:val="none"/>
                    </w:rPr>
                    <w:t>CO</w:t>
                  </w:r>
                </w:p>
              </w:tc>
              <w:tc>
                <w:tcPr>
                  <w:tcW w:w="13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sz w:val="21"/>
                      <w:szCs w:val="21"/>
                      <w:highlight w:val="none"/>
                    </w:rPr>
                  </w:pPr>
                  <w:r>
                    <w:rPr>
                      <w:rFonts w:ascii="Times New Roman" w:hAnsi="Times New Roman"/>
                      <w:sz w:val="21"/>
                      <w:szCs w:val="21"/>
                      <w:highlight w:val="none"/>
                    </w:rPr>
                    <w:t>90百分位数8h平均</w:t>
                  </w:r>
                </w:p>
              </w:tc>
              <w:tc>
                <w:tcPr>
                  <w:tcW w:w="907" w:type="pct"/>
                  <w:tcBorders>
                    <w:tl2br w:val="nil"/>
                    <w:tr2bl w:val="nil"/>
                  </w:tcBorders>
                  <w:noWrap w:val="0"/>
                  <w:vAlign w:val="center"/>
                </w:tcPr>
                <w:p>
                  <w:pPr>
                    <w:pStyle w:val="78"/>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cs="Times New Roman"/>
                      <w:sz w:val="21"/>
                      <w:szCs w:val="21"/>
                      <w:highlight w:val="none"/>
                    </w:rPr>
                  </w:pPr>
                  <w:r>
                    <w:rPr>
                      <w:rFonts w:hint="eastAsia" w:ascii="Times New Roman" w:hAnsi="Times New Roman" w:cs="Times New Roman"/>
                      <w:b w:val="0"/>
                      <w:sz w:val="21"/>
                      <w:szCs w:val="21"/>
                      <w:highlight w:val="none"/>
                      <w:lang w:val="en-US" w:eastAsia="zh-CN"/>
                    </w:rPr>
                    <w:t>0.9m</w:t>
                  </w:r>
                  <w:r>
                    <w:rPr>
                      <w:rFonts w:ascii="Times New Roman" w:hAnsi="Times New Roman" w:cs="Times New Roman"/>
                      <w:b w:val="0"/>
                      <w:sz w:val="21"/>
                      <w:szCs w:val="21"/>
                      <w:highlight w:val="none"/>
                    </w:rPr>
                    <w:t>g/m</w:t>
                  </w:r>
                  <w:r>
                    <w:rPr>
                      <w:rFonts w:ascii="Times New Roman" w:hAnsi="Times New Roman" w:cs="Times New Roman"/>
                      <w:b w:val="0"/>
                      <w:sz w:val="21"/>
                      <w:szCs w:val="21"/>
                      <w:highlight w:val="none"/>
                      <w:vertAlign w:val="superscript"/>
                    </w:rPr>
                    <w:t>3</w:t>
                  </w:r>
                </w:p>
              </w:tc>
              <w:tc>
                <w:tcPr>
                  <w:tcW w:w="796" w:type="pct"/>
                  <w:tcBorders>
                    <w:tl2br w:val="nil"/>
                    <w:tr2bl w:val="nil"/>
                  </w:tcBorders>
                  <w:noWrap w:val="0"/>
                  <w:vAlign w:val="center"/>
                </w:tcPr>
                <w:p>
                  <w:pPr>
                    <w:pStyle w:val="78"/>
                    <w:keepNext w:val="0"/>
                    <w:keepLines w:val="0"/>
                    <w:pageBreakBefore w:val="0"/>
                    <w:widowControl w:val="0"/>
                    <w:kinsoku/>
                    <w:wordWrap/>
                    <w:overflowPunct/>
                    <w:topLinePunct w:val="0"/>
                    <w:autoSpaceDE/>
                    <w:autoSpaceDN/>
                    <w:bidi w:val="0"/>
                    <w:spacing w:line="240" w:lineRule="auto"/>
                    <w:ind w:firstLine="0" w:firstLineChars="0"/>
                    <w:textAlignment w:val="auto"/>
                    <w:rPr>
                      <w:rFonts w:ascii="Times New Roman" w:hAnsi="Times New Roman" w:cs="Times New Roman"/>
                      <w:sz w:val="21"/>
                      <w:szCs w:val="21"/>
                      <w:highlight w:val="none"/>
                    </w:rPr>
                  </w:pPr>
                  <w:r>
                    <w:rPr>
                      <w:rStyle w:val="79"/>
                      <w:rFonts w:ascii="Times New Roman" w:hAnsi="Times New Roman" w:cs="Times New Roman"/>
                      <w:b w:val="0"/>
                      <w:sz w:val="21"/>
                      <w:szCs w:val="21"/>
                      <w:highlight w:val="none"/>
                    </w:rPr>
                    <w:t>4</w:t>
                  </w:r>
                  <w:r>
                    <w:rPr>
                      <w:rFonts w:ascii="Times New Roman" w:hAnsi="Times New Roman" w:cs="Times New Roman"/>
                      <w:b w:val="0"/>
                      <w:sz w:val="21"/>
                      <w:szCs w:val="21"/>
                      <w:highlight w:val="none"/>
                    </w:rPr>
                    <w:t>mg/m</w:t>
                  </w:r>
                  <w:r>
                    <w:rPr>
                      <w:rFonts w:ascii="Times New Roman" w:hAnsi="Times New Roman" w:cs="Times New Roman"/>
                      <w:b w:val="0"/>
                      <w:sz w:val="21"/>
                      <w:szCs w:val="21"/>
                      <w:highlight w:val="none"/>
                      <w:vertAlign w:val="superscript"/>
                    </w:rPr>
                    <w:t>3</w:t>
                  </w:r>
                </w:p>
              </w:tc>
              <w:tc>
                <w:tcPr>
                  <w:tcW w:w="711" w:type="pct"/>
                  <w:tcBorders>
                    <w:tl2br w:val="nil"/>
                    <w:tr2bl w:val="nil"/>
                  </w:tcBorders>
                  <w:noWrap w:val="0"/>
                  <w:vAlign w:val="center"/>
                </w:tcPr>
                <w:p>
                  <w:pPr>
                    <w:pStyle w:val="78"/>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b w:val="0"/>
                      <w:sz w:val="21"/>
                      <w:szCs w:val="21"/>
                      <w:highlight w:val="none"/>
                      <w:lang w:val="en-US" w:eastAsia="zh-CN"/>
                    </w:rPr>
                  </w:pPr>
                  <w:r>
                    <w:rPr>
                      <w:rFonts w:hint="eastAsia" w:ascii="Times New Roman" w:hAnsi="Times New Roman" w:cs="Times New Roman"/>
                      <w:b w:val="0"/>
                      <w:sz w:val="21"/>
                      <w:szCs w:val="21"/>
                      <w:highlight w:val="none"/>
                      <w:lang w:val="en-US" w:eastAsia="zh-CN"/>
                    </w:rPr>
                    <w:t>22.5</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sz w:val="21"/>
                      <w:szCs w:val="21"/>
                      <w:highlight w:val="none"/>
                    </w:rPr>
                  </w:pPr>
                  <w:r>
                    <w:rPr>
                      <w:rFonts w:ascii="Times New Roman" w:hAnsi="Times New Roman"/>
                      <w:sz w:val="21"/>
                      <w:szCs w:val="21"/>
                      <w:highlight w:val="none"/>
                    </w:rPr>
                    <w:t>达标</w:t>
                  </w:r>
                </w:p>
              </w:tc>
            </w:tr>
          </w:tbl>
          <w:p>
            <w:pPr>
              <w:adjustRightInd w:val="0"/>
              <w:snapToGrid w:val="0"/>
              <w:spacing w:line="360" w:lineRule="auto"/>
              <w:ind w:firstLine="480" w:firstLineChars="200"/>
              <w:rPr>
                <w:rFonts w:ascii="Times New Roman" w:hAnsi="Times New Roman"/>
                <w:color w:val="auto"/>
                <w:sz w:val="24"/>
                <w:szCs w:val="20"/>
                <w:highlight w:val="none"/>
              </w:rPr>
            </w:pPr>
            <w:r>
              <w:rPr>
                <w:rFonts w:ascii="Times New Roman" w:hAnsi="Times New Roman"/>
                <w:color w:val="auto"/>
                <w:sz w:val="24"/>
                <w:szCs w:val="20"/>
                <w:highlight w:val="none"/>
              </w:rPr>
              <w:t>由上表可知，</w:t>
            </w:r>
            <w:r>
              <w:rPr>
                <w:rFonts w:hint="eastAsia" w:ascii="Times New Roman" w:hAnsi="Times New Roman"/>
                <w:color w:val="auto"/>
                <w:sz w:val="24"/>
                <w:szCs w:val="20"/>
                <w:highlight w:val="none"/>
                <w:lang w:eastAsia="zh-CN"/>
              </w:rPr>
              <w:t>项目所在区域</w:t>
            </w:r>
            <w:r>
              <w:rPr>
                <w:rFonts w:ascii="Times New Roman" w:hAnsi="Times New Roman"/>
                <w:color w:val="auto"/>
                <w:sz w:val="24"/>
                <w:szCs w:val="20"/>
                <w:highlight w:val="none"/>
              </w:rPr>
              <w:t>SO</w:t>
            </w:r>
            <w:r>
              <w:rPr>
                <w:rFonts w:ascii="Times New Roman" w:hAnsi="Times New Roman"/>
                <w:color w:val="auto"/>
                <w:sz w:val="24"/>
                <w:szCs w:val="20"/>
                <w:highlight w:val="none"/>
                <w:vertAlign w:val="subscript"/>
              </w:rPr>
              <w:t>2</w:t>
            </w:r>
            <w:r>
              <w:rPr>
                <w:rFonts w:ascii="Times New Roman" w:hAnsi="Times New Roman"/>
                <w:color w:val="auto"/>
                <w:sz w:val="24"/>
                <w:szCs w:val="20"/>
                <w:highlight w:val="none"/>
              </w:rPr>
              <w:t>、NO</w:t>
            </w:r>
            <w:r>
              <w:rPr>
                <w:rFonts w:ascii="Times New Roman" w:hAnsi="Times New Roman"/>
                <w:color w:val="auto"/>
                <w:sz w:val="24"/>
                <w:szCs w:val="20"/>
                <w:highlight w:val="none"/>
                <w:vertAlign w:val="subscript"/>
              </w:rPr>
              <w:t>2</w:t>
            </w:r>
            <w:r>
              <w:rPr>
                <w:rFonts w:ascii="Times New Roman" w:hAnsi="Times New Roman"/>
                <w:color w:val="auto"/>
                <w:sz w:val="24"/>
                <w:szCs w:val="20"/>
                <w:highlight w:val="none"/>
              </w:rPr>
              <w:t>、PM</w:t>
            </w:r>
            <w:r>
              <w:rPr>
                <w:rFonts w:hint="eastAsia" w:ascii="Times New Roman" w:hAnsi="Times New Roman"/>
                <w:color w:val="auto"/>
                <w:sz w:val="24"/>
                <w:szCs w:val="20"/>
                <w:highlight w:val="none"/>
                <w:vertAlign w:val="subscript"/>
              </w:rPr>
              <w:t>2.5</w:t>
            </w:r>
            <w:r>
              <w:rPr>
                <w:rFonts w:ascii="Times New Roman" w:hAnsi="Times New Roman"/>
                <w:color w:val="auto"/>
                <w:sz w:val="24"/>
                <w:szCs w:val="20"/>
                <w:highlight w:val="none"/>
              </w:rPr>
              <w:t>、PM</w:t>
            </w:r>
            <w:r>
              <w:rPr>
                <w:rFonts w:ascii="Times New Roman" w:hAnsi="Times New Roman"/>
                <w:color w:val="auto"/>
                <w:sz w:val="24"/>
                <w:szCs w:val="20"/>
                <w:highlight w:val="none"/>
                <w:vertAlign w:val="subscript"/>
              </w:rPr>
              <w:t>10</w:t>
            </w:r>
            <w:r>
              <w:rPr>
                <w:rFonts w:ascii="Times New Roman" w:hAnsi="Times New Roman"/>
                <w:color w:val="auto"/>
                <w:sz w:val="24"/>
                <w:szCs w:val="20"/>
                <w:highlight w:val="none"/>
              </w:rPr>
              <w:t>年平均质量浓度，CO百分位数日平均质量浓度、O</w:t>
            </w:r>
            <w:r>
              <w:rPr>
                <w:rFonts w:ascii="Times New Roman" w:hAnsi="Times New Roman"/>
                <w:color w:val="auto"/>
                <w:sz w:val="24"/>
                <w:szCs w:val="20"/>
                <w:highlight w:val="none"/>
                <w:vertAlign w:val="subscript"/>
              </w:rPr>
              <w:t>3</w:t>
            </w:r>
            <w:r>
              <w:rPr>
                <w:rFonts w:ascii="Times New Roman" w:hAnsi="Times New Roman"/>
                <w:color w:val="auto"/>
                <w:sz w:val="24"/>
                <w:szCs w:val="20"/>
                <w:highlight w:val="none"/>
              </w:rPr>
              <w:t>百分位数8h平均质量浓度均</w:t>
            </w:r>
            <w:r>
              <w:rPr>
                <w:rFonts w:hint="eastAsia" w:ascii="Times New Roman" w:hAnsi="Times New Roman"/>
                <w:color w:val="auto"/>
                <w:sz w:val="24"/>
                <w:szCs w:val="20"/>
                <w:highlight w:val="none"/>
                <w:lang w:eastAsia="zh-CN"/>
              </w:rPr>
              <w:t>满足</w:t>
            </w:r>
            <w:r>
              <w:rPr>
                <w:rFonts w:ascii="Times New Roman" w:hAnsi="Times New Roman"/>
                <w:color w:val="auto"/>
                <w:sz w:val="24"/>
                <w:szCs w:val="20"/>
                <w:highlight w:val="none"/>
              </w:rPr>
              <w:t>《环境空气质量标准》（GB3095-2012）</w:t>
            </w:r>
            <w:r>
              <w:rPr>
                <w:rFonts w:hint="eastAsia" w:ascii="Times New Roman" w:hAnsi="Times New Roman"/>
                <w:color w:val="auto"/>
                <w:sz w:val="24"/>
                <w:szCs w:val="20"/>
                <w:highlight w:val="none"/>
                <w:lang w:eastAsia="zh-CN"/>
              </w:rPr>
              <w:t>中</w:t>
            </w:r>
            <w:r>
              <w:rPr>
                <w:rFonts w:ascii="Times New Roman" w:hAnsi="Times New Roman"/>
                <w:color w:val="auto"/>
                <w:sz w:val="24"/>
                <w:szCs w:val="20"/>
                <w:highlight w:val="none"/>
              </w:rPr>
              <w:t>二级标准</w:t>
            </w:r>
            <w:r>
              <w:rPr>
                <w:rFonts w:hint="eastAsia" w:ascii="Times New Roman" w:hAnsi="Times New Roman"/>
                <w:color w:val="auto"/>
                <w:sz w:val="24"/>
                <w:szCs w:val="20"/>
                <w:highlight w:val="none"/>
                <w:lang w:eastAsia="zh-CN"/>
              </w:rPr>
              <w:t>限值</w:t>
            </w:r>
            <w:r>
              <w:rPr>
                <w:rFonts w:ascii="Times New Roman" w:hAnsi="Times New Roman"/>
                <w:color w:val="auto"/>
                <w:sz w:val="24"/>
                <w:szCs w:val="20"/>
                <w:highlight w:val="none"/>
              </w:rPr>
              <w:t>。</w:t>
            </w:r>
            <w:r>
              <w:rPr>
                <w:rFonts w:hint="eastAsia" w:ascii="Times New Roman" w:hAnsi="Times New Roman" w:cs="Times New Roman"/>
                <w:color w:val="auto"/>
                <w:sz w:val="24"/>
                <w:szCs w:val="24"/>
                <w:highlight w:val="none"/>
                <w:u w:val="none"/>
                <w:lang w:eastAsia="zh-CN"/>
              </w:rPr>
              <w:t>根据《环境影响评价技术导则 大气环境》（HJ 2.2-2018）对项目所在区域环境空气质量进行达标判断，六项基本因子均达标，本项目所在区域为环境空气质量达标区</w:t>
            </w:r>
            <w:r>
              <w:rPr>
                <w:rFonts w:ascii="Times New Roman" w:hAnsi="Times New Roman"/>
                <w:color w:val="auto"/>
                <w:sz w:val="24"/>
                <w:szCs w:val="20"/>
                <w:highlight w:val="none"/>
                <w:u w:val="none"/>
              </w:rPr>
              <w:t>。</w:t>
            </w:r>
          </w:p>
          <w:p>
            <w:pPr>
              <w:pStyle w:val="76"/>
              <w:adjustRightInd w:val="0"/>
              <w:snapToGrid w:val="0"/>
              <w:spacing w:line="360" w:lineRule="auto"/>
              <w:rPr>
                <w:rFonts w:hint="eastAsia" w:ascii="Times New Roman" w:hAnsi="Times New Roman"/>
                <w:sz w:val="24"/>
                <w:szCs w:val="20"/>
                <w:highlight w:val="none"/>
              </w:rPr>
            </w:pPr>
            <w:r>
              <w:rPr>
                <w:rFonts w:hint="eastAsia" w:ascii="Times New Roman" w:hAnsi="Times New Roman"/>
                <w:sz w:val="24"/>
                <w:highlight w:val="none"/>
                <w:lang w:eastAsia="zh-CN"/>
              </w:rPr>
              <w:t>（</w:t>
            </w:r>
            <w:r>
              <w:rPr>
                <w:rFonts w:hint="eastAsia" w:ascii="Times New Roman" w:hAnsi="Times New Roman"/>
                <w:sz w:val="24"/>
                <w:highlight w:val="none"/>
                <w:lang w:val="en-US" w:eastAsia="zh-CN"/>
              </w:rPr>
              <w:t>2</w:t>
            </w:r>
            <w:r>
              <w:rPr>
                <w:rFonts w:hint="eastAsia" w:ascii="Times New Roman" w:hAnsi="Times New Roman"/>
                <w:sz w:val="24"/>
                <w:highlight w:val="none"/>
                <w:lang w:eastAsia="zh-CN"/>
              </w:rPr>
              <w:t>）</w:t>
            </w:r>
            <w:r>
              <w:rPr>
                <w:rFonts w:hint="eastAsia" w:ascii="Times New Roman" w:hAnsi="Times New Roman"/>
                <w:sz w:val="24"/>
                <w:highlight w:val="none"/>
              </w:rPr>
              <w:t>特征</w:t>
            </w:r>
            <w:r>
              <w:rPr>
                <w:rFonts w:hint="eastAsia" w:ascii="Times New Roman" w:hAnsi="Times New Roman"/>
                <w:sz w:val="24"/>
                <w:szCs w:val="20"/>
                <w:highlight w:val="none"/>
              </w:rPr>
              <w:t>因子补充监测</w:t>
            </w:r>
          </w:p>
          <w:p>
            <w:pPr>
              <w:adjustRightInd w:val="0"/>
              <w:snapToGrid w:val="0"/>
              <w:spacing w:line="360" w:lineRule="auto"/>
              <w:ind w:firstLine="480" w:firstLineChars="200"/>
              <w:jc w:val="left"/>
              <w:rPr>
                <w:rFonts w:ascii="Times New Roman" w:hAnsi="Times New Roman"/>
                <w:sz w:val="24"/>
                <w:highlight w:val="none"/>
              </w:rPr>
            </w:pPr>
            <w:r>
              <w:rPr>
                <w:rFonts w:hint="eastAsia" w:ascii="Times New Roman" w:hAnsi="Times New Roman"/>
                <w:sz w:val="24"/>
                <w:highlight w:val="none"/>
              </w:rPr>
              <w:t>1）监测时间、监测点位及监测因子</w:t>
            </w:r>
          </w:p>
          <w:p>
            <w:pPr>
              <w:ind w:firstLine="480"/>
            </w:pPr>
            <w:r>
              <w:t>本项目排放的特征污染物为</w:t>
            </w:r>
            <w:r>
              <w:rPr>
                <w:rFonts w:hint="eastAsia"/>
              </w:rPr>
              <w:t>T</w:t>
            </w:r>
            <w:r>
              <w:t>SP</w:t>
            </w:r>
            <w:r>
              <w:rPr>
                <w:rFonts w:hint="eastAsia"/>
              </w:rPr>
              <w:t>。</w:t>
            </w:r>
          </w:p>
          <w:p>
            <w:pPr>
              <w:keepNext w:val="0"/>
              <w:keepLines w:val="0"/>
              <w:widowControl/>
              <w:suppressLineNumbers w:val="0"/>
              <w:jc w:val="left"/>
              <w:rPr>
                <w:color w:val="000000"/>
                <w:szCs w:val="21"/>
              </w:rPr>
            </w:pPr>
            <w:r>
              <w:rPr>
                <w:color w:val="000000"/>
                <w:szCs w:val="21"/>
              </w:rPr>
              <w:t>本评价</w:t>
            </w:r>
            <w:r>
              <w:rPr>
                <w:rFonts w:hint="eastAsia"/>
                <w:color w:val="000000"/>
                <w:szCs w:val="21"/>
              </w:rPr>
              <w:t>需补充特征污染物的现状监测情况，项目</w:t>
            </w:r>
            <w:r>
              <w:rPr>
                <w:rFonts w:hint="eastAsia" w:ascii="Times New Roman" w:hAnsi="Times New Roman" w:cs="Times New Roman"/>
                <w:color w:val="auto"/>
                <w:sz w:val="24"/>
                <w:szCs w:val="24"/>
                <w:highlight w:val="none"/>
                <w:u w:val="none"/>
                <w:lang w:eastAsia="zh-CN"/>
              </w:rPr>
              <w:t>委托</w:t>
            </w:r>
            <w:r>
              <w:rPr>
                <w:rFonts w:hint="eastAsia" w:ascii="Times New Roman" w:hAnsi="Times New Roman" w:cs="Times New Roman"/>
                <w:color w:val="auto"/>
                <w:sz w:val="24"/>
                <w:szCs w:val="24"/>
                <w:highlight w:val="none"/>
                <w:u w:val="none"/>
                <w:lang w:val="en-US" w:eastAsia="zh-CN"/>
              </w:rPr>
              <w:t>精威检测（湖南）有限公司</w:t>
            </w:r>
            <w:r>
              <w:rPr>
                <w:rFonts w:hint="eastAsia"/>
                <w:color w:val="000000"/>
                <w:szCs w:val="21"/>
              </w:rPr>
              <w:t>于202</w:t>
            </w:r>
            <w:r>
              <w:rPr>
                <w:rFonts w:hint="eastAsia"/>
                <w:color w:val="000000"/>
                <w:szCs w:val="21"/>
                <w:lang w:val="en-US" w:eastAsia="zh-CN"/>
              </w:rPr>
              <w:t>5</w:t>
            </w:r>
            <w:r>
              <w:rPr>
                <w:rFonts w:hint="eastAsia"/>
                <w:color w:val="000000"/>
                <w:szCs w:val="21"/>
              </w:rPr>
              <w:t>年</w:t>
            </w:r>
            <w:r>
              <w:rPr>
                <w:rFonts w:hint="eastAsia"/>
                <w:color w:val="000000"/>
                <w:szCs w:val="21"/>
                <w:lang w:val="en-US" w:eastAsia="zh-CN"/>
              </w:rPr>
              <w:t>1</w:t>
            </w:r>
            <w:r>
              <w:rPr>
                <w:rFonts w:hint="eastAsia"/>
                <w:color w:val="000000"/>
                <w:szCs w:val="21"/>
              </w:rPr>
              <w:t>月1</w:t>
            </w:r>
            <w:r>
              <w:rPr>
                <w:color w:val="000000"/>
                <w:szCs w:val="21"/>
              </w:rPr>
              <w:t>7</w:t>
            </w:r>
            <w:r>
              <w:rPr>
                <w:rFonts w:hint="eastAsia"/>
                <w:color w:val="000000"/>
                <w:szCs w:val="21"/>
              </w:rPr>
              <w:t>日~</w:t>
            </w:r>
            <w:r>
              <w:rPr>
                <w:color w:val="000000"/>
                <w:szCs w:val="21"/>
              </w:rPr>
              <w:t>1</w:t>
            </w:r>
            <w:r>
              <w:rPr>
                <w:rFonts w:hint="eastAsia"/>
                <w:color w:val="000000"/>
                <w:szCs w:val="21"/>
              </w:rPr>
              <w:t>月1</w:t>
            </w:r>
            <w:r>
              <w:rPr>
                <w:color w:val="000000"/>
                <w:szCs w:val="21"/>
              </w:rPr>
              <w:t>9</w:t>
            </w:r>
            <w:r>
              <w:rPr>
                <w:rFonts w:hint="eastAsia"/>
                <w:color w:val="000000"/>
                <w:szCs w:val="21"/>
              </w:rPr>
              <w:t>日对本项目进行连续</w:t>
            </w:r>
            <w:r>
              <w:rPr>
                <w:color w:val="000000"/>
                <w:szCs w:val="21"/>
              </w:rPr>
              <w:t>3</w:t>
            </w:r>
            <w:r>
              <w:rPr>
                <w:rFonts w:hint="eastAsia"/>
                <w:color w:val="000000"/>
                <w:szCs w:val="21"/>
              </w:rPr>
              <w:t>天的环境空气质量现状检测，检测因子为T</w:t>
            </w:r>
            <w:r>
              <w:rPr>
                <w:color w:val="000000"/>
                <w:szCs w:val="21"/>
              </w:rPr>
              <w:t>SP</w:t>
            </w:r>
            <w:r>
              <w:rPr>
                <w:rFonts w:hint="eastAsia"/>
                <w:color w:val="000000"/>
                <w:szCs w:val="21"/>
              </w:rPr>
              <w:t>，检测点位为</w:t>
            </w:r>
            <w:r>
              <w:rPr>
                <w:rFonts w:hint="eastAsia"/>
                <w:color w:val="000000"/>
                <w:szCs w:val="21"/>
                <w:lang w:val="en-US" w:eastAsia="zh-CN"/>
              </w:rPr>
              <w:t>项目</w:t>
            </w:r>
            <w:r>
              <w:rPr>
                <w:rFonts w:hint="eastAsia"/>
                <w:color w:val="000000"/>
                <w:szCs w:val="21"/>
              </w:rPr>
              <w:t>所在地</w:t>
            </w:r>
            <w:r>
              <w:rPr>
                <w:rFonts w:hint="eastAsia"/>
                <w:color w:val="000000"/>
                <w:szCs w:val="21"/>
                <w:lang w:val="en-US" w:eastAsia="zh-CN"/>
              </w:rPr>
              <w:t>上下</w:t>
            </w:r>
            <w:r>
              <w:rPr>
                <w:rFonts w:hint="eastAsia"/>
                <w:color w:val="000000"/>
                <w:szCs w:val="21"/>
              </w:rPr>
              <w:t>风向</w:t>
            </w:r>
            <w:r>
              <w:rPr>
                <w:rFonts w:hint="eastAsia"/>
                <w:color w:val="000000"/>
                <w:szCs w:val="21"/>
                <w:lang w:val="en-US" w:eastAsia="zh-CN"/>
              </w:rPr>
              <w:t>分别采样</w:t>
            </w:r>
            <w:r>
              <w:rPr>
                <w:rFonts w:hint="eastAsia"/>
                <w:color w:val="000000"/>
                <w:szCs w:val="21"/>
              </w:rPr>
              <w:t>，</w:t>
            </w:r>
            <w:r>
              <w:rPr>
                <w:szCs w:val="21"/>
              </w:rPr>
              <w:t>监测点位基本信息见</w:t>
            </w:r>
            <w:r>
              <w:rPr>
                <w:rFonts w:hint="eastAsia"/>
                <w:szCs w:val="21"/>
              </w:rPr>
              <w:t>下</w:t>
            </w:r>
            <w:r>
              <w:rPr>
                <w:szCs w:val="21"/>
              </w:rPr>
              <w:t>表。</w:t>
            </w:r>
          </w:p>
          <w:p>
            <w:pPr>
              <w:spacing w:line="240" w:lineRule="auto"/>
              <w:ind w:firstLine="482" w:firstLineChars="0"/>
              <w:jc w:val="center"/>
              <w:rPr>
                <w:b/>
                <w:bCs/>
                <w:kern w:val="0"/>
                <w:sz w:val="21"/>
              </w:rPr>
            </w:pPr>
            <w:r>
              <w:rPr>
                <w:b/>
                <w:bCs/>
                <w:kern w:val="0"/>
                <w:sz w:val="21"/>
              </w:rPr>
              <w:t>表</w:t>
            </w:r>
            <w:r>
              <w:rPr>
                <w:rFonts w:hint="eastAsia"/>
                <w:b/>
                <w:bCs/>
                <w:kern w:val="0"/>
                <w:sz w:val="21"/>
              </w:rPr>
              <w:t>3-2</w:t>
            </w:r>
            <w:r>
              <w:rPr>
                <w:b/>
                <w:bCs/>
                <w:kern w:val="0"/>
                <w:sz w:val="21"/>
              </w:rPr>
              <w:t>其他污染物补充监测点位基本信息</w:t>
            </w:r>
          </w:p>
          <w:tbl>
            <w:tblPr>
              <w:tblStyle w:val="24"/>
              <w:tblW w:w="487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90"/>
              <w:gridCol w:w="985"/>
              <w:gridCol w:w="2284"/>
              <w:gridCol w:w="1899"/>
              <w:gridCol w:w="14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jc w:val="center"/>
              </w:trPr>
              <w:tc>
                <w:tcPr>
                  <w:tcW w:w="972" w:type="pct"/>
                  <w:tcBorders>
                    <w:tl2br w:val="nil"/>
                    <w:tr2bl w:val="nil"/>
                  </w:tcBorders>
                  <w:vAlign w:val="center"/>
                </w:tcPr>
                <w:p>
                  <w:pPr>
                    <w:pStyle w:val="48"/>
                    <w:widowControl w:val="0"/>
                    <w:rPr>
                      <w:rStyle w:val="52"/>
                      <w:rFonts w:hint="default" w:ascii="Times New Roman" w:hAnsi="Times New Roman"/>
                      <w:kern w:val="2"/>
                      <w:sz w:val="21"/>
                    </w:rPr>
                  </w:pPr>
                  <w:r>
                    <w:rPr>
                      <w:rStyle w:val="52"/>
                      <w:rFonts w:hint="default" w:ascii="Times New Roman" w:hAnsi="Times New Roman"/>
                      <w:kern w:val="2"/>
                      <w:sz w:val="21"/>
                    </w:rPr>
                    <w:t>监测点位</w:t>
                  </w:r>
                </w:p>
              </w:tc>
              <w:tc>
                <w:tcPr>
                  <w:tcW w:w="602" w:type="pct"/>
                  <w:tcBorders>
                    <w:tl2br w:val="nil"/>
                    <w:tr2bl w:val="nil"/>
                  </w:tcBorders>
                  <w:vAlign w:val="center"/>
                </w:tcPr>
                <w:p>
                  <w:pPr>
                    <w:pStyle w:val="48"/>
                    <w:widowControl w:val="0"/>
                    <w:rPr>
                      <w:rStyle w:val="52"/>
                      <w:rFonts w:hint="default" w:ascii="Times New Roman" w:hAnsi="Times New Roman"/>
                      <w:kern w:val="2"/>
                      <w:sz w:val="21"/>
                    </w:rPr>
                  </w:pPr>
                  <w:r>
                    <w:rPr>
                      <w:rStyle w:val="52"/>
                      <w:rFonts w:hint="default" w:ascii="Times New Roman" w:hAnsi="Times New Roman"/>
                      <w:kern w:val="2"/>
                      <w:sz w:val="21"/>
                    </w:rPr>
                    <w:t>监测因子</w:t>
                  </w:r>
                </w:p>
              </w:tc>
              <w:tc>
                <w:tcPr>
                  <w:tcW w:w="1396" w:type="pct"/>
                  <w:tcBorders>
                    <w:tl2br w:val="nil"/>
                    <w:tr2bl w:val="nil"/>
                  </w:tcBorders>
                  <w:vAlign w:val="center"/>
                </w:tcPr>
                <w:p>
                  <w:pPr>
                    <w:pStyle w:val="48"/>
                    <w:widowControl w:val="0"/>
                    <w:rPr>
                      <w:rStyle w:val="52"/>
                      <w:rFonts w:hint="default" w:ascii="Times New Roman" w:hAnsi="Times New Roman"/>
                      <w:kern w:val="2"/>
                      <w:sz w:val="21"/>
                      <w:lang w:val="en-US" w:eastAsia="zh-CN"/>
                    </w:rPr>
                  </w:pPr>
                  <w:r>
                    <w:rPr>
                      <w:rStyle w:val="52"/>
                      <w:rFonts w:hint="eastAsia" w:ascii="Times New Roman" w:hAnsi="Times New Roman"/>
                      <w:kern w:val="2"/>
                      <w:sz w:val="21"/>
                      <w:lang w:val="en-US" w:eastAsia="zh-CN"/>
                    </w:rPr>
                    <w:t>监测点经纬度坐标</w:t>
                  </w:r>
                </w:p>
              </w:tc>
              <w:tc>
                <w:tcPr>
                  <w:tcW w:w="1161" w:type="pct"/>
                  <w:tcBorders>
                    <w:tl2br w:val="nil"/>
                    <w:tr2bl w:val="nil"/>
                  </w:tcBorders>
                  <w:vAlign w:val="center"/>
                </w:tcPr>
                <w:p>
                  <w:pPr>
                    <w:pStyle w:val="48"/>
                    <w:widowControl w:val="0"/>
                    <w:rPr>
                      <w:rStyle w:val="52"/>
                      <w:rFonts w:hint="default" w:ascii="Times New Roman" w:hAnsi="Times New Roman"/>
                      <w:kern w:val="2"/>
                      <w:sz w:val="21"/>
                      <w:lang w:val="en-US" w:eastAsia="zh-CN"/>
                    </w:rPr>
                  </w:pPr>
                  <w:r>
                    <w:rPr>
                      <w:rStyle w:val="52"/>
                      <w:rFonts w:hint="eastAsia" w:ascii="Times New Roman" w:hAnsi="Times New Roman"/>
                      <w:kern w:val="2"/>
                      <w:sz w:val="21"/>
                      <w:lang w:val="en-US" w:eastAsia="zh-CN"/>
                    </w:rPr>
                    <w:t>监测时段</w:t>
                  </w:r>
                </w:p>
              </w:tc>
              <w:tc>
                <w:tcPr>
                  <w:tcW w:w="867" w:type="pct"/>
                  <w:tcBorders>
                    <w:tl2br w:val="nil"/>
                    <w:tr2bl w:val="nil"/>
                  </w:tcBorders>
                  <w:vAlign w:val="center"/>
                </w:tcPr>
                <w:p>
                  <w:pPr>
                    <w:pStyle w:val="48"/>
                    <w:widowControl w:val="0"/>
                    <w:rPr>
                      <w:rStyle w:val="52"/>
                      <w:rFonts w:hint="default" w:ascii="Times New Roman" w:hAnsi="Times New Roman"/>
                      <w:kern w:val="2"/>
                      <w:sz w:val="21"/>
                    </w:rPr>
                  </w:pPr>
                  <w:r>
                    <w:rPr>
                      <w:rStyle w:val="52"/>
                      <w:rFonts w:hint="default" w:ascii="Times New Roman" w:hAnsi="Times New Roman"/>
                      <w:kern w:val="2"/>
                      <w:sz w:val="21"/>
                    </w:rPr>
                    <w:t>相对厂界距离/m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jc w:val="center"/>
              </w:trPr>
              <w:tc>
                <w:tcPr>
                  <w:tcW w:w="972" w:type="pct"/>
                  <w:tcBorders>
                    <w:tl2br w:val="nil"/>
                    <w:tr2bl w:val="nil"/>
                  </w:tcBorders>
                  <w:vAlign w:val="center"/>
                </w:tcPr>
                <w:p>
                  <w:pPr>
                    <w:pStyle w:val="48"/>
                    <w:widowControl w:val="0"/>
                    <w:rPr>
                      <w:rStyle w:val="52"/>
                      <w:rFonts w:hint="default" w:ascii="Times New Roman" w:hAnsi="Times New Roman"/>
                      <w:kern w:val="2"/>
                      <w:sz w:val="21"/>
                    </w:rPr>
                  </w:pPr>
                  <w:r>
                    <w:rPr>
                      <w:rStyle w:val="52"/>
                      <w:rFonts w:hint="eastAsia" w:ascii="Times New Roman" w:hAnsi="Times New Roman"/>
                      <w:kern w:val="2"/>
                      <w:sz w:val="21"/>
                      <w:lang w:val="en-US" w:eastAsia="zh-CN"/>
                    </w:rPr>
                    <w:t>项目厂址上风向居民点A1</w:t>
                  </w:r>
                </w:p>
              </w:tc>
              <w:tc>
                <w:tcPr>
                  <w:tcW w:w="602" w:type="pct"/>
                  <w:vMerge w:val="restart"/>
                  <w:tcBorders>
                    <w:tl2br w:val="nil"/>
                    <w:tr2bl w:val="nil"/>
                  </w:tcBorders>
                  <w:vAlign w:val="center"/>
                </w:tcPr>
                <w:p>
                  <w:pPr>
                    <w:pStyle w:val="48"/>
                    <w:widowControl w:val="0"/>
                    <w:rPr>
                      <w:rStyle w:val="52"/>
                      <w:rFonts w:hint="eastAsia" w:ascii="Times New Roman" w:hAnsi="Times New Roman"/>
                      <w:kern w:val="2"/>
                      <w:sz w:val="21"/>
                      <w:lang w:eastAsia="zh-CN"/>
                    </w:rPr>
                  </w:pPr>
                  <w:r>
                    <w:rPr>
                      <w:rStyle w:val="52"/>
                      <w:rFonts w:hint="eastAsia" w:ascii="Times New Roman" w:hAnsi="Times New Roman"/>
                      <w:kern w:val="2"/>
                      <w:sz w:val="21"/>
                    </w:rPr>
                    <w:t>T</w:t>
                  </w:r>
                  <w:r>
                    <w:rPr>
                      <w:rStyle w:val="52"/>
                      <w:rFonts w:hint="default" w:ascii="Times New Roman" w:hAnsi="Times New Roman"/>
                      <w:kern w:val="2"/>
                      <w:sz w:val="21"/>
                    </w:rPr>
                    <w:t>SP</w:t>
                  </w:r>
                  <w:r>
                    <w:rPr>
                      <w:rStyle w:val="52"/>
                      <w:rFonts w:hint="eastAsia" w:ascii="Times New Roman" w:hAnsi="Times New Roman"/>
                      <w:kern w:val="2"/>
                      <w:sz w:val="21"/>
                      <w:lang w:eastAsia="zh-CN"/>
                    </w:rPr>
                    <w:t>（</w:t>
                  </w:r>
                  <w:r>
                    <w:rPr>
                      <w:rStyle w:val="52"/>
                      <w:rFonts w:hint="eastAsia" w:ascii="Times New Roman" w:hAnsi="Times New Roman"/>
                      <w:kern w:val="2"/>
                      <w:sz w:val="21"/>
                      <w:lang w:val="en-US" w:eastAsia="zh-CN"/>
                    </w:rPr>
                    <w:t>24小时平均</w:t>
                  </w:r>
                  <w:r>
                    <w:rPr>
                      <w:rStyle w:val="52"/>
                      <w:rFonts w:hint="eastAsia" w:ascii="Times New Roman" w:hAnsi="Times New Roman"/>
                      <w:kern w:val="2"/>
                      <w:sz w:val="21"/>
                      <w:lang w:eastAsia="zh-CN"/>
                    </w:rPr>
                    <w:t>）</w:t>
                  </w:r>
                </w:p>
              </w:tc>
              <w:tc>
                <w:tcPr>
                  <w:tcW w:w="1396" w:type="pct"/>
                  <w:tcBorders>
                    <w:tl2br w:val="nil"/>
                    <w:tr2bl w:val="nil"/>
                  </w:tcBorders>
                  <w:vAlign w:val="center"/>
                </w:tcPr>
                <w:p>
                  <w:pPr>
                    <w:pStyle w:val="48"/>
                    <w:widowControl w:val="0"/>
                    <w:rPr>
                      <w:rStyle w:val="52"/>
                      <w:rFonts w:hint="default" w:ascii="Times New Roman" w:hAnsi="Times New Roman"/>
                      <w:kern w:val="2"/>
                      <w:sz w:val="21"/>
                      <w:lang w:val="en-US" w:eastAsia="zh-CN"/>
                    </w:rPr>
                  </w:pPr>
                  <w:r>
                    <w:rPr>
                      <w:rStyle w:val="52"/>
                      <w:rFonts w:hint="eastAsia" w:ascii="Times New Roman" w:hAnsi="Times New Roman"/>
                      <w:kern w:val="2"/>
                      <w:sz w:val="21"/>
                      <w:lang w:val="en-US" w:eastAsia="zh-CN"/>
                    </w:rPr>
                    <w:t>112.7646673，28.7255227</w:t>
                  </w:r>
                </w:p>
              </w:tc>
              <w:tc>
                <w:tcPr>
                  <w:tcW w:w="1161" w:type="pct"/>
                  <w:vMerge w:val="restart"/>
                  <w:tcBorders>
                    <w:tl2br w:val="nil"/>
                    <w:tr2bl w:val="nil"/>
                  </w:tcBorders>
                  <w:vAlign w:val="center"/>
                </w:tcPr>
                <w:p>
                  <w:pPr>
                    <w:pStyle w:val="48"/>
                    <w:widowControl w:val="0"/>
                    <w:rPr>
                      <w:rStyle w:val="52"/>
                      <w:rFonts w:hint="default" w:ascii="Times New Roman" w:hAnsi="Times New Roman"/>
                      <w:kern w:val="2"/>
                      <w:sz w:val="21"/>
                    </w:rPr>
                  </w:pPr>
                  <w:r>
                    <w:rPr>
                      <w:rStyle w:val="52"/>
                      <w:rFonts w:hint="eastAsia" w:ascii="Times New Roman" w:hAnsi="Times New Roman"/>
                      <w:kern w:val="2"/>
                      <w:sz w:val="21"/>
                    </w:rPr>
                    <w:t>202</w:t>
                  </w:r>
                  <w:r>
                    <w:rPr>
                      <w:rStyle w:val="52"/>
                      <w:rFonts w:hint="eastAsia" w:ascii="Times New Roman" w:hAnsi="Times New Roman"/>
                      <w:kern w:val="2"/>
                      <w:sz w:val="21"/>
                      <w:lang w:val="en-US" w:eastAsia="zh-CN"/>
                    </w:rPr>
                    <w:t>5</w:t>
                  </w:r>
                  <w:r>
                    <w:rPr>
                      <w:rStyle w:val="52"/>
                      <w:rFonts w:hint="eastAsia" w:ascii="Times New Roman" w:hAnsi="Times New Roman"/>
                      <w:kern w:val="2"/>
                      <w:sz w:val="21"/>
                    </w:rPr>
                    <w:t>年</w:t>
                  </w:r>
                  <w:r>
                    <w:rPr>
                      <w:rStyle w:val="52"/>
                      <w:rFonts w:hint="eastAsia" w:ascii="Times New Roman" w:hAnsi="Times New Roman"/>
                      <w:kern w:val="2"/>
                      <w:sz w:val="21"/>
                      <w:lang w:val="en-US" w:eastAsia="zh-CN"/>
                    </w:rPr>
                    <w:t>1</w:t>
                  </w:r>
                  <w:r>
                    <w:rPr>
                      <w:rStyle w:val="52"/>
                      <w:rFonts w:hint="eastAsia" w:ascii="Times New Roman" w:hAnsi="Times New Roman"/>
                      <w:kern w:val="2"/>
                      <w:sz w:val="21"/>
                    </w:rPr>
                    <w:t>月1</w:t>
                  </w:r>
                  <w:r>
                    <w:rPr>
                      <w:rStyle w:val="52"/>
                      <w:rFonts w:hint="default" w:ascii="Times New Roman" w:hAnsi="Times New Roman"/>
                      <w:kern w:val="2"/>
                      <w:sz w:val="21"/>
                    </w:rPr>
                    <w:t>7</w:t>
                  </w:r>
                  <w:r>
                    <w:rPr>
                      <w:rStyle w:val="52"/>
                      <w:rFonts w:hint="eastAsia" w:ascii="Times New Roman" w:hAnsi="Times New Roman"/>
                      <w:kern w:val="2"/>
                      <w:sz w:val="21"/>
                    </w:rPr>
                    <w:t>日~</w:t>
                  </w:r>
                  <w:r>
                    <w:rPr>
                      <w:rStyle w:val="52"/>
                      <w:rFonts w:hint="default" w:ascii="Times New Roman" w:hAnsi="Times New Roman"/>
                      <w:kern w:val="2"/>
                      <w:sz w:val="21"/>
                    </w:rPr>
                    <w:t>1</w:t>
                  </w:r>
                  <w:r>
                    <w:rPr>
                      <w:rStyle w:val="52"/>
                      <w:rFonts w:hint="eastAsia" w:ascii="Times New Roman" w:hAnsi="Times New Roman"/>
                      <w:kern w:val="2"/>
                      <w:sz w:val="21"/>
                    </w:rPr>
                    <w:t>月1</w:t>
                  </w:r>
                  <w:r>
                    <w:rPr>
                      <w:rStyle w:val="52"/>
                      <w:rFonts w:hint="default" w:ascii="Times New Roman" w:hAnsi="Times New Roman"/>
                      <w:kern w:val="2"/>
                      <w:sz w:val="21"/>
                    </w:rPr>
                    <w:t>9</w:t>
                  </w:r>
                  <w:r>
                    <w:rPr>
                      <w:rStyle w:val="52"/>
                      <w:rFonts w:hint="eastAsia" w:ascii="Times New Roman" w:hAnsi="Times New Roman"/>
                      <w:kern w:val="2"/>
                      <w:sz w:val="21"/>
                    </w:rPr>
                    <w:t>日</w:t>
                  </w:r>
                </w:p>
              </w:tc>
              <w:tc>
                <w:tcPr>
                  <w:tcW w:w="867" w:type="pct"/>
                  <w:tcBorders>
                    <w:tl2br w:val="nil"/>
                    <w:tr2bl w:val="nil"/>
                  </w:tcBorders>
                  <w:vAlign w:val="center"/>
                </w:tcPr>
                <w:p>
                  <w:pPr>
                    <w:pStyle w:val="48"/>
                    <w:widowControl w:val="0"/>
                    <w:rPr>
                      <w:rStyle w:val="52"/>
                      <w:rFonts w:hint="default" w:ascii="Times New Roman" w:hAnsi="Times New Roman"/>
                      <w:kern w:val="2"/>
                      <w:sz w:val="21"/>
                    </w:rPr>
                  </w:pPr>
                  <w:r>
                    <w:rPr>
                      <w:rStyle w:val="52"/>
                      <w:rFonts w:hint="eastAsia" w:ascii="Times New Roman" w:hAnsi="Times New Roman"/>
                      <w:kern w:val="2"/>
                      <w:sz w:val="21"/>
                      <w:lang w:val="en-US" w:eastAsia="zh-CN"/>
                    </w:rPr>
                    <w:t>N</w:t>
                  </w:r>
                  <w:r>
                    <w:rPr>
                      <w:rStyle w:val="52"/>
                      <w:rFonts w:hint="eastAsia"/>
                      <w:kern w:val="2"/>
                      <w:sz w:val="21"/>
                      <w:lang w:val="en-US" w:eastAsia="zh-CN"/>
                    </w:rPr>
                    <w:t>5</w:t>
                  </w:r>
                  <w:r>
                    <w:rPr>
                      <w:rStyle w:val="52"/>
                      <w:rFonts w:hint="default" w:ascii="Times New Roman" w:hAnsi="Times New Roman"/>
                      <w:kern w:val="2"/>
                      <w:sz w:val="2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972" w:type="pct"/>
                  <w:tcBorders>
                    <w:tl2br w:val="nil"/>
                    <w:tr2bl w:val="nil"/>
                  </w:tcBorders>
                  <w:vAlign w:val="center"/>
                </w:tcPr>
                <w:p>
                  <w:pPr>
                    <w:pStyle w:val="48"/>
                    <w:widowControl w:val="0"/>
                    <w:rPr>
                      <w:rStyle w:val="52"/>
                      <w:rFonts w:hint="eastAsia" w:ascii="Times New Roman" w:hAnsi="Times New Roman"/>
                      <w:kern w:val="2"/>
                      <w:sz w:val="21"/>
                      <w:lang w:val="en-US" w:eastAsia="zh-CN"/>
                    </w:rPr>
                  </w:pPr>
                  <w:r>
                    <w:rPr>
                      <w:rStyle w:val="52"/>
                      <w:rFonts w:hint="eastAsia" w:ascii="Times New Roman" w:hAnsi="Times New Roman"/>
                      <w:kern w:val="2"/>
                      <w:sz w:val="21"/>
                      <w:lang w:val="en-US" w:eastAsia="zh-CN"/>
                    </w:rPr>
                    <w:t>项目厂址下风向A2</w:t>
                  </w:r>
                </w:p>
              </w:tc>
              <w:tc>
                <w:tcPr>
                  <w:tcW w:w="602" w:type="pct"/>
                  <w:vMerge w:val="continue"/>
                  <w:tcBorders>
                    <w:tl2br w:val="nil"/>
                    <w:tr2bl w:val="nil"/>
                  </w:tcBorders>
                  <w:vAlign w:val="center"/>
                </w:tcPr>
                <w:p>
                  <w:pPr>
                    <w:pStyle w:val="48"/>
                    <w:widowControl w:val="0"/>
                    <w:rPr>
                      <w:rStyle w:val="52"/>
                      <w:rFonts w:hint="eastAsia" w:ascii="Times New Roman" w:hAnsi="Times New Roman"/>
                      <w:kern w:val="2"/>
                      <w:sz w:val="21"/>
                      <w:lang w:val="en-US" w:eastAsia="zh-CN"/>
                    </w:rPr>
                  </w:pPr>
                </w:p>
              </w:tc>
              <w:tc>
                <w:tcPr>
                  <w:tcW w:w="1396" w:type="pct"/>
                  <w:tcBorders>
                    <w:tl2br w:val="nil"/>
                    <w:tr2bl w:val="nil"/>
                  </w:tcBorders>
                  <w:vAlign w:val="center"/>
                </w:tcPr>
                <w:p>
                  <w:pPr>
                    <w:pStyle w:val="48"/>
                    <w:widowControl w:val="0"/>
                    <w:rPr>
                      <w:rStyle w:val="52"/>
                      <w:rFonts w:hint="default" w:ascii="Times New Roman" w:hAnsi="Times New Roman"/>
                      <w:kern w:val="2"/>
                      <w:sz w:val="21"/>
                      <w:lang w:val="en-US" w:eastAsia="zh-CN"/>
                    </w:rPr>
                  </w:pPr>
                  <w:r>
                    <w:rPr>
                      <w:rStyle w:val="52"/>
                      <w:rFonts w:hint="eastAsia" w:ascii="Times New Roman" w:hAnsi="Times New Roman"/>
                      <w:kern w:val="2"/>
                      <w:sz w:val="21"/>
                      <w:lang w:val="en-US" w:eastAsia="zh-CN"/>
                    </w:rPr>
                    <w:t>112.7651843，28.7250028</w:t>
                  </w:r>
                </w:p>
              </w:tc>
              <w:tc>
                <w:tcPr>
                  <w:tcW w:w="1161" w:type="pct"/>
                  <w:vMerge w:val="continue"/>
                  <w:tcBorders>
                    <w:tl2br w:val="nil"/>
                    <w:tr2bl w:val="nil"/>
                  </w:tcBorders>
                  <w:vAlign w:val="center"/>
                </w:tcPr>
                <w:p>
                  <w:pPr>
                    <w:pStyle w:val="48"/>
                    <w:widowControl w:val="0"/>
                    <w:rPr>
                      <w:rStyle w:val="52"/>
                      <w:rFonts w:hint="eastAsia" w:ascii="Times New Roman" w:hAnsi="Times New Roman"/>
                      <w:kern w:val="2"/>
                      <w:sz w:val="21"/>
                    </w:rPr>
                  </w:pPr>
                </w:p>
              </w:tc>
              <w:tc>
                <w:tcPr>
                  <w:tcW w:w="867" w:type="pct"/>
                  <w:tcBorders>
                    <w:tl2br w:val="nil"/>
                    <w:tr2bl w:val="nil"/>
                  </w:tcBorders>
                  <w:vAlign w:val="center"/>
                </w:tcPr>
                <w:p>
                  <w:pPr>
                    <w:pStyle w:val="48"/>
                    <w:widowControl w:val="0"/>
                    <w:rPr>
                      <w:rStyle w:val="52"/>
                      <w:rFonts w:hint="default" w:ascii="Times New Roman" w:hAnsi="Times New Roman"/>
                      <w:kern w:val="2"/>
                      <w:sz w:val="21"/>
                      <w:lang w:val="en-US" w:eastAsia="zh-CN"/>
                    </w:rPr>
                  </w:pPr>
                  <w:r>
                    <w:rPr>
                      <w:rStyle w:val="52"/>
                      <w:rFonts w:hint="eastAsia"/>
                      <w:kern w:val="2"/>
                      <w:sz w:val="21"/>
                      <w:lang w:val="en-US" w:eastAsia="zh-CN"/>
                    </w:rPr>
                    <w:t>E</w:t>
                  </w:r>
                  <w:r>
                    <w:rPr>
                      <w:rStyle w:val="52"/>
                      <w:rFonts w:hint="eastAsia" w:ascii="Times New Roman" w:hAnsi="Times New Roman"/>
                      <w:kern w:val="2"/>
                      <w:sz w:val="21"/>
                      <w:lang w:val="en-US" w:eastAsia="zh-CN"/>
                    </w:rPr>
                    <w:t>S</w:t>
                  </w:r>
                  <w:r>
                    <w:rPr>
                      <w:rStyle w:val="52"/>
                      <w:rFonts w:hint="eastAsia"/>
                      <w:kern w:val="2"/>
                      <w:sz w:val="21"/>
                      <w:lang w:val="en-US" w:eastAsia="zh-CN"/>
                    </w:rPr>
                    <w:t>6</w:t>
                  </w:r>
                  <w:r>
                    <w:rPr>
                      <w:rStyle w:val="52"/>
                      <w:rFonts w:hint="eastAsia" w:ascii="Times New Roman" w:hAnsi="Times New Roman"/>
                      <w:kern w:val="2"/>
                      <w:sz w:val="21"/>
                      <w:lang w:val="en-US" w:eastAsia="zh-CN"/>
                    </w:rPr>
                    <w:t>m</w:t>
                  </w:r>
                </w:p>
              </w:tc>
            </w:tr>
          </w:tbl>
          <w:p>
            <w:pPr>
              <w:pStyle w:val="76"/>
              <w:adjustRightInd w:val="0"/>
              <w:snapToGrid w:val="0"/>
              <w:spacing w:line="360" w:lineRule="auto"/>
              <w:rPr>
                <w:rFonts w:hint="eastAsia" w:ascii="Times New Roman" w:hAnsi="Times New Roman"/>
                <w:sz w:val="24"/>
                <w:highlight w:val="none"/>
                <w:lang w:eastAsia="zh-CN"/>
              </w:rPr>
            </w:pPr>
            <w:r>
              <w:rPr>
                <w:rFonts w:hint="eastAsia"/>
                <w:sz w:val="24"/>
                <w:highlight w:val="none"/>
                <w:lang w:val="en-US" w:eastAsia="zh-CN"/>
              </w:rPr>
              <w:t>2）</w:t>
            </w:r>
            <w:r>
              <w:rPr>
                <w:rFonts w:hint="eastAsia" w:ascii="Times New Roman" w:hAnsi="Times New Roman"/>
                <w:sz w:val="24"/>
                <w:highlight w:val="none"/>
                <w:lang w:eastAsia="zh-CN"/>
              </w:rPr>
              <w:t>监测频次</w:t>
            </w:r>
          </w:p>
          <w:p>
            <w:pPr>
              <w:pStyle w:val="76"/>
              <w:adjustRightInd w:val="0"/>
              <w:snapToGrid w:val="0"/>
              <w:spacing w:line="360" w:lineRule="auto"/>
              <w:rPr>
                <w:rFonts w:hint="eastAsia"/>
                <w:sz w:val="24"/>
                <w:highlight w:val="none"/>
                <w:lang w:val="en-US" w:eastAsia="zh-CN"/>
              </w:rPr>
            </w:pPr>
            <w:r>
              <w:rPr>
                <w:rFonts w:hint="eastAsia"/>
                <w:sz w:val="24"/>
                <w:highlight w:val="none"/>
                <w:lang w:val="en-US" w:eastAsia="zh-CN"/>
              </w:rPr>
              <w:t>24h平均浓度，连续监测3天。</w:t>
            </w:r>
          </w:p>
          <w:p>
            <w:pPr>
              <w:pStyle w:val="76"/>
              <w:adjustRightInd w:val="0"/>
              <w:snapToGrid w:val="0"/>
              <w:spacing w:line="360" w:lineRule="auto"/>
              <w:rPr>
                <w:rFonts w:hint="eastAsia"/>
                <w:sz w:val="24"/>
                <w:highlight w:val="none"/>
                <w:lang w:val="en-US" w:eastAsia="zh-CN"/>
              </w:rPr>
            </w:pPr>
            <w:r>
              <w:rPr>
                <w:rFonts w:hint="eastAsia"/>
                <w:sz w:val="24"/>
                <w:highlight w:val="none"/>
                <w:lang w:val="en-US" w:eastAsia="zh-CN"/>
              </w:rPr>
              <w:t>3）检测方法及检出限</w:t>
            </w:r>
          </w:p>
          <w:p>
            <w:pPr>
              <w:ind w:firstLine="480"/>
            </w:pPr>
            <w:r>
              <w:t>本项目补充监测因子的监测方法及检出限见</w:t>
            </w:r>
            <w:r>
              <w:rPr>
                <w:rFonts w:hint="eastAsia"/>
              </w:rPr>
              <w:t>下</w:t>
            </w:r>
            <w:r>
              <w:t>表。</w:t>
            </w:r>
          </w:p>
          <w:p>
            <w:pPr>
              <w:pStyle w:val="45"/>
              <w:keepNext w:val="0"/>
              <w:keepLines w:val="0"/>
              <w:numPr>
                <w:ilvl w:val="255"/>
                <w:numId w:val="0"/>
              </w:numPr>
              <w:outlineLvl w:val="9"/>
              <w:rPr>
                <w:kern w:val="0"/>
                <w:sz w:val="21"/>
              </w:rPr>
            </w:pPr>
            <w:r>
              <w:rPr>
                <w:kern w:val="0"/>
                <w:sz w:val="21"/>
              </w:rPr>
              <w:t>表</w:t>
            </w:r>
            <w:r>
              <w:rPr>
                <w:rFonts w:hint="eastAsia"/>
                <w:kern w:val="0"/>
                <w:sz w:val="21"/>
              </w:rPr>
              <w:t>3-3</w:t>
            </w:r>
            <w:r>
              <w:rPr>
                <w:rFonts w:hint="eastAsia"/>
                <w:kern w:val="0"/>
                <w:sz w:val="21"/>
                <w:lang w:eastAsia="zh-CN"/>
              </w:rPr>
              <w:t>检测方法</w:t>
            </w:r>
            <w:r>
              <w:rPr>
                <w:kern w:val="0"/>
                <w:sz w:val="21"/>
              </w:rPr>
              <w:t>和检出限</w:t>
            </w:r>
          </w:p>
          <w:tbl>
            <w:tblPr>
              <w:tblStyle w:val="24"/>
              <w:tblW w:w="0" w:type="auto"/>
              <w:tblInd w:w="2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59" w:type="dxa"/>
                <w:left w:w="108" w:type="dxa"/>
                <w:bottom w:w="0" w:type="dxa"/>
                <w:right w:w="24" w:type="dxa"/>
              </w:tblCellMar>
            </w:tblPr>
            <w:tblGrid>
              <w:gridCol w:w="904"/>
              <w:gridCol w:w="3118"/>
              <w:gridCol w:w="2803"/>
              <w:gridCol w:w="12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9" w:type="dxa"/>
                  <w:left w:w="108" w:type="dxa"/>
                  <w:bottom w:w="0" w:type="dxa"/>
                  <w:right w:w="24" w:type="dxa"/>
                </w:tblCellMar>
              </w:tblPrEx>
              <w:trPr>
                <w:trHeight w:val="769" w:hRule="atLeast"/>
              </w:trPr>
              <w:tc>
                <w:tcPr>
                  <w:tcW w:w="904" w:type="dxa"/>
                  <w:tcBorders>
                    <w:tl2br w:val="nil"/>
                    <w:tr2bl w:val="nil"/>
                  </w:tcBorders>
                  <w:vAlign w:val="center"/>
                </w:tcPr>
                <w:p>
                  <w:pPr>
                    <w:pStyle w:val="48"/>
                    <w:widowControl w:val="0"/>
                    <w:rPr>
                      <w:b/>
                      <w:bCs/>
                      <w:color w:val="000000"/>
                      <w:kern w:val="2"/>
                    </w:rPr>
                  </w:pPr>
                  <w:r>
                    <w:rPr>
                      <w:b/>
                      <w:bCs/>
                      <w:color w:val="000000"/>
                      <w:kern w:val="2"/>
                    </w:rPr>
                    <w:t>监测项目</w:t>
                  </w:r>
                </w:p>
              </w:tc>
              <w:tc>
                <w:tcPr>
                  <w:tcW w:w="3118" w:type="dxa"/>
                  <w:tcBorders>
                    <w:tl2br w:val="nil"/>
                    <w:tr2bl w:val="nil"/>
                  </w:tcBorders>
                  <w:vAlign w:val="center"/>
                </w:tcPr>
                <w:p>
                  <w:pPr>
                    <w:pStyle w:val="48"/>
                    <w:widowControl w:val="0"/>
                    <w:rPr>
                      <w:b/>
                      <w:bCs/>
                      <w:color w:val="000000"/>
                      <w:kern w:val="2"/>
                    </w:rPr>
                  </w:pPr>
                  <w:r>
                    <w:rPr>
                      <w:b/>
                      <w:bCs/>
                      <w:color w:val="000000"/>
                      <w:kern w:val="2"/>
                    </w:rPr>
                    <w:t>分析方法</w:t>
                  </w:r>
                </w:p>
              </w:tc>
              <w:tc>
                <w:tcPr>
                  <w:tcW w:w="2803" w:type="dxa"/>
                  <w:tcBorders>
                    <w:tl2br w:val="nil"/>
                    <w:tr2bl w:val="nil"/>
                  </w:tcBorders>
                  <w:vAlign w:val="center"/>
                </w:tcPr>
                <w:p>
                  <w:pPr>
                    <w:pStyle w:val="48"/>
                    <w:widowControl w:val="0"/>
                    <w:rPr>
                      <w:b/>
                      <w:bCs/>
                      <w:color w:val="000000"/>
                      <w:kern w:val="2"/>
                    </w:rPr>
                  </w:pPr>
                  <w:r>
                    <w:rPr>
                      <w:b/>
                      <w:bCs/>
                      <w:color w:val="000000"/>
                      <w:kern w:val="2"/>
                    </w:rPr>
                    <w:t>仪器型号</w:t>
                  </w:r>
                </w:p>
              </w:tc>
              <w:tc>
                <w:tcPr>
                  <w:tcW w:w="1233" w:type="dxa"/>
                  <w:tcBorders>
                    <w:tl2br w:val="nil"/>
                    <w:tr2bl w:val="nil"/>
                  </w:tcBorders>
                  <w:vAlign w:val="center"/>
                </w:tcPr>
                <w:p>
                  <w:pPr>
                    <w:pStyle w:val="48"/>
                    <w:widowControl w:val="0"/>
                    <w:rPr>
                      <w:b/>
                      <w:bCs/>
                      <w:color w:val="000000"/>
                      <w:kern w:val="2"/>
                    </w:rPr>
                  </w:pPr>
                  <w:r>
                    <w:rPr>
                      <w:b/>
                      <w:bCs/>
                      <w:color w:val="000000"/>
                      <w:kern w:val="2"/>
                    </w:rPr>
                    <w:t>方法检出限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8" w:type="dxa"/>
                  <w:left w:w="108" w:type="dxa"/>
                  <w:bottom w:w="0" w:type="dxa"/>
                  <w:right w:w="108" w:type="dxa"/>
                </w:tblCellMar>
              </w:tblPrEx>
              <w:trPr>
                <w:trHeight w:val="781" w:hRule="atLeast"/>
              </w:trPr>
              <w:tc>
                <w:tcPr>
                  <w:tcW w:w="904" w:type="dxa"/>
                  <w:tcBorders>
                    <w:tl2br w:val="nil"/>
                    <w:tr2bl w:val="nil"/>
                  </w:tcBorders>
                  <w:vAlign w:val="center"/>
                </w:tcPr>
                <w:p>
                  <w:pPr>
                    <w:pStyle w:val="48"/>
                    <w:widowControl w:val="0"/>
                    <w:rPr>
                      <w:rStyle w:val="52"/>
                      <w:rFonts w:hint="default" w:ascii="Times New Roman" w:hAnsi="Times New Roman"/>
                      <w:kern w:val="2"/>
                      <w:sz w:val="21"/>
                    </w:rPr>
                  </w:pPr>
                  <w:r>
                    <w:rPr>
                      <w:rStyle w:val="52"/>
                      <w:rFonts w:hint="default" w:ascii="Times New Roman" w:hAnsi="Times New Roman"/>
                      <w:kern w:val="2"/>
                      <w:sz w:val="21"/>
                    </w:rPr>
                    <w:t>TSP</w:t>
                  </w:r>
                </w:p>
              </w:tc>
              <w:tc>
                <w:tcPr>
                  <w:tcW w:w="3118" w:type="dxa"/>
                  <w:tcBorders>
                    <w:tl2br w:val="nil"/>
                    <w:tr2bl w:val="nil"/>
                  </w:tcBorders>
                  <w:vAlign w:val="center"/>
                </w:tcPr>
                <w:p>
                  <w:pPr>
                    <w:pStyle w:val="48"/>
                    <w:widowControl w:val="0"/>
                    <w:rPr>
                      <w:rStyle w:val="52"/>
                      <w:rFonts w:hint="default" w:ascii="Times New Roman" w:hAnsi="Times New Roman"/>
                      <w:kern w:val="2"/>
                      <w:sz w:val="21"/>
                    </w:rPr>
                  </w:pPr>
                  <w:r>
                    <w:rPr>
                      <w:rStyle w:val="52"/>
                      <w:rFonts w:hint="default" w:ascii="Times New Roman" w:hAnsi="Times New Roman"/>
                      <w:kern w:val="2"/>
                      <w:sz w:val="21"/>
                    </w:rPr>
                    <w:t>《环境空气总悬浮颗粒物的测定重量法》HJ1263-2022</w:t>
                  </w:r>
                </w:p>
              </w:tc>
              <w:tc>
                <w:tcPr>
                  <w:tcW w:w="2803" w:type="dxa"/>
                  <w:tcBorders>
                    <w:tl2br w:val="nil"/>
                    <w:tr2bl w:val="nil"/>
                  </w:tcBorders>
                  <w:vAlign w:val="center"/>
                </w:tcPr>
                <w:p>
                  <w:pPr>
                    <w:pStyle w:val="48"/>
                    <w:widowControl w:val="0"/>
                    <w:rPr>
                      <w:color w:val="000000"/>
                      <w:kern w:val="2"/>
                    </w:rPr>
                  </w:pPr>
                  <w:r>
                    <w:rPr>
                      <w:rFonts w:hint="eastAsia"/>
                      <w:color w:val="000000"/>
                      <w:kern w:val="2"/>
                    </w:rPr>
                    <w:t>EX225DZH十万分之一电子天平DHJC-YQ-59</w:t>
                  </w:r>
                </w:p>
              </w:tc>
              <w:tc>
                <w:tcPr>
                  <w:tcW w:w="1233" w:type="dxa"/>
                  <w:tcBorders>
                    <w:tl2br w:val="nil"/>
                    <w:tr2bl w:val="nil"/>
                  </w:tcBorders>
                  <w:vAlign w:val="center"/>
                </w:tcPr>
                <w:p>
                  <w:pPr>
                    <w:pStyle w:val="48"/>
                    <w:widowControl w:val="0"/>
                    <w:rPr>
                      <w:color w:val="000000"/>
                      <w:kern w:val="2"/>
                    </w:rPr>
                  </w:pPr>
                  <w:r>
                    <w:rPr>
                      <w:color w:val="000000"/>
                      <w:kern w:val="2"/>
                    </w:rPr>
                    <w:t>0.007mg/m</w:t>
                  </w:r>
                  <w:r>
                    <w:rPr>
                      <w:color w:val="000000"/>
                      <w:kern w:val="2"/>
                      <w:vertAlign w:val="superscript"/>
                    </w:rPr>
                    <w:t>3</w:t>
                  </w:r>
                </w:p>
              </w:tc>
            </w:tr>
          </w:tbl>
          <w:p>
            <w:pPr>
              <w:pStyle w:val="76"/>
              <w:adjustRightInd w:val="0"/>
              <w:snapToGrid w:val="0"/>
              <w:spacing w:line="360" w:lineRule="auto"/>
              <w:rPr>
                <w:rFonts w:hint="eastAsia"/>
                <w:sz w:val="24"/>
                <w:highlight w:val="none"/>
                <w:lang w:val="en-US" w:eastAsia="zh-CN"/>
              </w:rPr>
            </w:pPr>
            <w:r>
              <w:rPr>
                <w:rFonts w:hint="eastAsia"/>
                <w:sz w:val="24"/>
                <w:highlight w:val="none"/>
                <w:lang w:val="en-US" w:eastAsia="zh-CN"/>
              </w:rPr>
              <w:t>4）监测结果与评价</w:t>
            </w:r>
          </w:p>
          <w:p>
            <w:pPr>
              <w:ind w:firstLine="480"/>
              <w:rPr>
                <w:szCs w:val="21"/>
              </w:rPr>
            </w:pPr>
            <w:r>
              <w:rPr>
                <w:szCs w:val="21"/>
              </w:rPr>
              <w:t>环境空气质量监测结果见</w:t>
            </w:r>
            <w:r>
              <w:rPr>
                <w:rFonts w:hint="eastAsia"/>
                <w:szCs w:val="21"/>
              </w:rPr>
              <w:t>下</w:t>
            </w:r>
            <w:r>
              <w:rPr>
                <w:szCs w:val="21"/>
              </w:rPr>
              <w:t>表。</w:t>
            </w:r>
          </w:p>
          <w:p>
            <w:pPr>
              <w:spacing w:line="240" w:lineRule="auto"/>
              <w:ind w:firstLine="482" w:firstLineChars="0"/>
              <w:jc w:val="center"/>
              <w:rPr>
                <w:b/>
                <w:bCs/>
                <w:kern w:val="0"/>
                <w:sz w:val="21"/>
              </w:rPr>
            </w:pPr>
            <w:r>
              <w:rPr>
                <w:rFonts w:hint="eastAsia"/>
                <w:b/>
                <w:bCs/>
                <w:kern w:val="0"/>
                <w:sz w:val="21"/>
                <w:lang w:val="en-US" w:eastAsia="zh-CN"/>
              </w:rPr>
              <w:t xml:space="preserve">表 </w:t>
            </w:r>
            <w:r>
              <w:rPr>
                <w:rFonts w:hint="default"/>
                <w:b/>
                <w:bCs/>
                <w:kern w:val="0"/>
                <w:sz w:val="21"/>
                <w:lang w:val="en-US" w:eastAsia="zh-CN"/>
              </w:rPr>
              <w:t>3-</w:t>
            </w:r>
            <w:r>
              <w:rPr>
                <w:rFonts w:hint="eastAsia"/>
                <w:b/>
                <w:bCs/>
                <w:kern w:val="0"/>
                <w:sz w:val="21"/>
                <w:lang w:val="en-US" w:eastAsia="zh-CN"/>
              </w:rPr>
              <w:t>4</w:t>
            </w:r>
            <w:r>
              <w:rPr>
                <w:rFonts w:hint="default"/>
                <w:b/>
                <w:bCs/>
                <w:kern w:val="0"/>
                <w:sz w:val="21"/>
                <w:lang w:val="en-US" w:eastAsia="zh-CN"/>
              </w:rPr>
              <w:t xml:space="preserve"> </w:t>
            </w:r>
            <w:r>
              <w:rPr>
                <w:rFonts w:hint="eastAsia"/>
                <w:b/>
                <w:bCs/>
                <w:kern w:val="0"/>
                <w:sz w:val="21"/>
                <w:lang w:val="en-US" w:eastAsia="zh-CN"/>
              </w:rPr>
              <w:t>其他特征污染物环境质量监测结果一览表 单位</w:t>
            </w:r>
            <w:r>
              <w:rPr>
                <w:rFonts w:hint="default"/>
                <w:b/>
                <w:bCs/>
                <w:kern w:val="0"/>
                <w:sz w:val="21"/>
                <w:lang w:val="en-US" w:eastAsia="zh-CN"/>
              </w:rPr>
              <w:t xml:space="preserve">: </w:t>
            </w:r>
            <w:r>
              <w:rPr>
                <w:rFonts w:hint="eastAsia"/>
                <w:b/>
                <w:bCs/>
                <w:kern w:val="0"/>
                <w:sz w:val="21"/>
                <w:lang w:val="en-US" w:eastAsia="zh-CN"/>
              </w:rPr>
              <w:t>m</w:t>
            </w:r>
            <w:r>
              <w:rPr>
                <w:rFonts w:hint="default"/>
                <w:b/>
                <w:bCs/>
                <w:kern w:val="0"/>
                <w:sz w:val="21"/>
                <w:lang w:val="en-US" w:eastAsia="zh-CN"/>
              </w:rPr>
              <w:t>g/m</w:t>
            </w:r>
            <w:r>
              <w:rPr>
                <w:rFonts w:hint="default"/>
                <w:b/>
                <w:bCs/>
                <w:kern w:val="0"/>
                <w:sz w:val="21"/>
                <w:vertAlign w:val="superscript"/>
                <w:lang w:val="en-US" w:eastAsia="zh-CN"/>
              </w:rPr>
              <w:t>3</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992"/>
              <w:gridCol w:w="1371"/>
              <w:gridCol w:w="990"/>
              <w:gridCol w:w="1128"/>
              <w:gridCol w:w="870"/>
              <w:gridCol w:w="981"/>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982" w:type="dxa"/>
                  <w:vAlign w:val="center"/>
                </w:tcPr>
                <w:p>
                  <w:pPr>
                    <w:pStyle w:val="48"/>
                    <w:widowControl w:val="0"/>
                    <w:rPr>
                      <w:rFonts w:hint="default" w:ascii="Times New Roman" w:hAnsi="Times New Roman"/>
                      <w:b/>
                      <w:bCs/>
                      <w:kern w:val="2"/>
                      <w:sz w:val="21"/>
                      <w:lang w:val="en-US" w:eastAsia="zh-CN"/>
                    </w:rPr>
                  </w:pPr>
                  <w:r>
                    <w:rPr>
                      <w:rFonts w:hint="default" w:ascii="Times New Roman" w:hAnsi="Times New Roman"/>
                      <w:b/>
                      <w:bCs/>
                      <w:kern w:val="2"/>
                      <w:sz w:val="21"/>
                      <w:lang w:val="en-US" w:eastAsia="zh-CN"/>
                    </w:rPr>
                    <w:t>点位</w:t>
                  </w:r>
                </w:p>
              </w:tc>
              <w:tc>
                <w:tcPr>
                  <w:tcW w:w="992" w:type="dxa"/>
                  <w:vAlign w:val="center"/>
                </w:tcPr>
                <w:p>
                  <w:pPr>
                    <w:pStyle w:val="48"/>
                    <w:widowControl w:val="0"/>
                    <w:rPr>
                      <w:rFonts w:hint="default" w:ascii="Times New Roman" w:hAnsi="Times New Roman"/>
                      <w:b/>
                      <w:bCs/>
                      <w:kern w:val="2"/>
                      <w:sz w:val="21"/>
                      <w:lang w:val="en-US" w:eastAsia="zh-CN"/>
                    </w:rPr>
                  </w:pPr>
                  <w:r>
                    <w:rPr>
                      <w:rFonts w:hint="default"/>
                      <w:b/>
                      <w:bCs/>
                      <w:kern w:val="2"/>
                      <w:sz w:val="21"/>
                      <w:lang w:val="en-US" w:eastAsia="zh-CN"/>
                    </w:rPr>
                    <w:t>监测项目</w:t>
                  </w:r>
                </w:p>
              </w:tc>
              <w:tc>
                <w:tcPr>
                  <w:tcW w:w="1354" w:type="dxa"/>
                  <w:vAlign w:val="center"/>
                </w:tcPr>
                <w:p>
                  <w:pPr>
                    <w:pStyle w:val="48"/>
                    <w:widowControl w:val="0"/>
                    <w:rPr>
                      <w:rFonts w:hint="default" w:ascii="Times New Roman" w:hAnsi="Times New Roman"/>
                      <w:b/>
                      <w:bCs/>
                      <w:kern w:val="2"/>
                      <w:sz w:val="21"/>
                      <w:lang w:val="en-US" w:eastAsia="zh-CN"/>
                    </w:rPr>
                  </w:pPr>
                  <w:r>
                    <w:rPr>
                      <w:rFonts w:hint="default"/>
                      <w:b/>
                      <w:bCs/>
                      <w:kern w:val="2"/>
                      <w:sz w:val="21"/>
                      <w:lang w:val="en-US" w:eastAsia="zh-CN"/>
                    </w:rPr>
                    <w:t>监测结果</w:t>
                  </w:r>
                </w:p>
              </w:tc>
              <w:tc>
                <w:tcPr>
                  <w:tcW w:w="990" w:type="dxa"/>
                  <w:vAlign w:val="center"/>
                </w:tcPr>
                <w:p>
                  <w:pPr>
                    <w:pStyle w:val="48"/>
                    <w:widowControl w:val="0"/>
                    <w:rPr>
                      <w:rFonts w:hint="default" w:ascii="Times New Roman" w:hAnsi="Times New Roman"/>
                      <w:b/>
                      <w:bCs/>
                      <w:kern w:val="2"/>
                      <w:sz w:val="21"/>
                      <w:lang w:val="en-US" w:eastAsia="zh-CN"/>
                    </w:rPr>
                  </w:pPr>
                  <w:r>
                    <w:rPr>
                      <w:rFonts w:hint="default"/>
                      <w:b/>
                      <w:bCs/>
                      <w:kern w:val="2"/>
                      <w:sz w:val="21"/>
                      <w:lang w:val="en-US" w:eastAsia="zh-CN"/>
                    </w:rPr>
                    <w:t>标准值</w:t>
                  </w:r>
                </w:p>
              </w:tc>
              <w:tc>
                <w:tcPr>
                  <w:tcW w:w="1128" w:type="dxa"/>
                  <w:vAlign w:val="center"/>
                </w:tcPr>
                <w:p>
                  <w:pPr>
                    <w:pStyle w:val="48"/>
                    <w:widowControl w:val="0"/>
                    <w:rPr>
                      <w:rFonts w:hint="default" w:ascii="Times New Roman" w:hAnsi="Times New Roman"/>
                      <w:b/>
                      <w:bCs/>
                      <w:kern w:val="2"/>
                      <w:sz w:val="21"/>
                      <w:lang w:val="en-US" w:eastAsia="zh-CN"/>
                    </w:rPr>
                  </w:pPr>
                  <w:r>
                    <w:rPr>
                      <w:rFonts w:hint="default"/>
                      <w:b/>
                      <w:bCs/>
                      <w:kern w:val="2"/>
                      <w:sz w:val="21"/>
                      <w:lang w:val="en-US" w:eastAsia="zh-CN"/>
                    </w:rPr>
                    <w:t>最大浓度占标率</w:t>
                  </w:r>
                </w:p>
              </w:tc>
              <w:tc>
                <w:tcPr>
                  <w:tcW w:w="870" w:type="dxa"/>
                  <w:vAlign w:val="center"/>
                </w:tcPr>
                <w:p>
                  <w:pPr>
                    <w:pStyle w:val="48"/>
                    <w:widowControl w:val="0"/>
                    <w:rPr>
                      <w:rFonts w:hint="default" w:ascii="Times New Roman" w:hAnsi="Times New Roman"/>
                      <w:b/>
                      <w:bCs/>
                      <w:kern w:val="2"/>
                      <w:sz w:val="21"/>
                      <w:lang w:val="en-US" w:eastAsia="zh-CN"/>
                    </w:rPr>
                  </w:pPr>
                  <w:r>
                    <w:rPr>
                      <w:rFonts w:hint="default"/>
                      <w:b/>
                      <w:bCs/>
                      <w:kern w:val="2"/>
                      <w:sz w:val="21"/>
                      <w:lang w:val="en-US" w:eastAsia="zh-CN"/>
                    </w:rPr>
                    <w:t>超标率</w:t>
                  </w:r>
                </w:p>
              </w:tc>
              <w:tc>
                <w:tcPr>
                  <w:tcW w:w="981" w:type="dxa"/>
                  <w:vAlign w:val="center"/>
                </w:tcPr>
                <w:p>
                  <w:pPr>
                    <w:pStyle w:val="48"/>
                    <w:widowControl w:val="0"/>
                    <w:rPr>
                      <w:rFonts w:hint="default" w:ascii="Times New Roman" w:hAnsi="Times New Roman"/>
                      <w:b/>
                      <w:bCs/>
                      <w:kern w:val="2"/>
                      <w:sz w:val="21"/>
                      <w:lang w:val="en-US" w:eastAsia="zh-CN"/>
                    </w:rPr>
                  </w:pPr>
                  <w:r>
                    <w:rPr>
                      <w:rFonts w:hint="default"/>
                      <w:b/>
                      <w:bCs/>
                      <w:kern w:val="2"/>
                      <w:sz w:val="21"/>
                      <w:lang w:val="en-US" w:eastAsia="zh-CN"/>
                    </w:rPr>
                    <w:t>超标倍数</w:t>
                  </w:r>
                </w:p>
              </w:tc>
              <w:tc>
                <w:tcPr>
                  <w:tcW w:w="981" w:type="dxa"/>
                  <w:vAlign w:val="center"/>
                </w:tcPr>
                <w:p>
                  <w:pPr>
                    <w:pStyle w:val="48"/>
                    <w:widowControl w:val="0"/>
                    <w:rPr>
                      <w:rFonts w:hint="default" w:ascii="Times New Roman" w:hAnsi="Times New Roman"/>
                      <w:b/>
                      <w:bCs/>
                      <w:kern w:val="2"/>
                      <w:sz w:val="21"/>
                      <w:lang w:val="en-US" w:eastAsia="zh-CN"/>
                    </w:rPr>
                  </w:pPr>
                  <w:r>
                    <w:rPr>
                      <w:rFonts w:hint="default"/>
                      <w:b/>
                      <w:bCs/>
                      <w:kern w:val="2"/>
                      <w:sz w:val="21"/>
                      <w:lang w:val="en-US" w:eastAsia="zh-CN"/>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982" w:type="dxa"/>
                  <w:vAlign w:val="center"/>
                </w:tcPr>
                <w:p>
                  <w:pPr>
                    <w:pStyle w:val="48"/>
                    <w:widowControl w:val="0"/>
                    <w:rPr>
                      <w:rStyle w:val="52"/>
                      <w:rFonts w:hint="default" w:ascii="Times New Roman" w:hAnsi="Times New Roman"/>
                      <w:kern w:val="2"/>
                      <w:sz w:val="21"/>
                      <w:lang w:val="en-US" w:eastAsia="zh-CN"/>
                    </w:rPr>
                  </w:pPr>
                  <w:r>
                    <w:rPr>
                      <w:rStyle w:val="52"/>
                      <w:rFonts w:hint="eastAsia" w:ascii="Times New Roman" w:hAnsi="Times New Roman"/>
                      <w:kern w:val="2"/>
                      <w:sz w:val="21"/>
                      <w:lang w:val="en-US" w:eastAsia="zh-CN"/>
                    </w:rPr>
                    <w:t>A1</w:t>
                  </w:r>
                </w:p>
              </w:tc>
              <w:tc>
                <w:tcPr>
                  <w:tcW w:w="992" w:type="dxa"/>
                  <w:vAlign w:val="center"/>
                </w:tcPr>
                <w:p>
                  <w:pPr>
                    <w:pStyle w:val="48"/>
                    <w:widowControl w:val="0"/>
                    <w:rPr>
                      <w:rStyle w:val="52"/>
                      <w:rFonts w:hint="eastAsia" w:ascii="Times New Roman" w:hAnsi="Times New Roman"/>
                      <w:kern w:val="2"/>
                      <w:sz w:val="21"/>
                      <w:lang w:val="en-US" w:eastAsia="zh-CN"/>
                    </w:rPr>
                  </w:pPr>
                  <w:r>
                    <w:rPr>
                      <w:rStyle w:val="52"/>
                      <w:rFonts w:hint="eastAsia" w:ascii="Times New Roman" w:hAnsi="Times New Roman"/>
                      <w:kern w:val="2"/>
                      <w:sz w:val="21"/>
                    </w:rPr>
                    <w:t>T</w:t>
                  </w:r>
                  <w:r>
                    <w:rPr>
                      <w:rStyle w:val="52"/>
                      <w:rFonts w:hint="default" w:ascii="Times New Roman" w:hAnsi="Times New Roman"/>
                      <w:kern w:val="2"/>
                      <w:sz w:val="21"/>
                    </w:rPr>
                    <w:t>SP</w:t>
                  </w:r>
                </w:p>
              </w:tc>
              <w:tc>
                <w:tcPr>
                  <w:tcW w:w="1354" w:type="dxa"/>
                  <w:vAlign w:val="center"/>
                </w:tcPr>
                <w:p>
                  <w:pPr>
                    <w:pStyle w:val="48"/>
                    <w:widowControl w:val="0"/>
                    <w:rPr>
                      <w:rStyle w:val="52"/>
                      <w:rFonts w:hint="default" w:ascii="Times New Roman" w:hAnsi="Times New Roman"/>
                      <w:kern w:val="2"/>
                      <w:sz w:val="21"/>
                      <w:lang w:val="en-US" w:eastAsia="zh-CN"/>
                    </w:rPr>
                  </w:pPr>
                  <w:r>
                    <w:rPr>
                      <w:rStyle w:val="52"/>
                      <w:rFonts w:hint="eastAsia"/>
                      <w:kern w:val="2"/>
                      <w:sz w:val="21"/>
                      <w:lang w:val="en-US" w:eastAsia="zh-CN"/>
                    </w:rPr>
                    <w:t>0.04~0.068</w:t>
                  </w:r>
                </w:p>
              </w:tc>
              <w:tc>
                <w:tcPr>
                  <w:tcW w:w="990" w:type="dxa"/>
                  <w:vAlign w:val="center"/>
                </w:tcPr>
                <w:p>
                  <w:pPr>
                    <w:pStyle w:val="48"/>
                    <w:widowControl w:val="0"/>
                    <w:rPr>
                      <w:rStyle w:val="52"/>
                      <w:rFonts w:hint="default" w:ascii="Times New Roman" w:hAnsi="Times New Roman"/>
                      <w:kern w:val="2"/>
                      <w:sz w:val="21"/>
                      <w:lang w:val="en-US" w:eastAsia="zh-CN"/>
                    </w:rPr>
                  </w:pPr>
                  <w:r>
                    <w:rPr>
                      <w:rStyle w:val="52"/>
                      <w:rFonts w:hint="eastAsia"/>
                      <w:kern w:val="2"/>
                      <w:sz w:val="21"/>
                      <w:lang w:val="en-US" w:eastAsia="zh-CN"/>
                    </w:rPr>
                    <w:t>0.3</w:t>
                  </w:r>
                </w:p>
              </w:tc>
              <w:tc>
                <w:tcPr>
                  <w:tcW w:w="1128" w:type="dxa"/>
                  <w:vAlign w:val="center"/>
                </w:tcPr>
                <w:p>
                  <w:pPr>
                    <w:pStyle w:val="48"/>
                    <w:widowControl w:val="0"/>
                    <w:rPr>
                      <w:rStyle w:val="52"/>
                      <w:rFonts w:hint="default" w:ascii="Times New Roman" w:hAnsi="Times New Roman"/>
                      <w:kern w:val="2"/>
                      <w:sz w:val="21"/>
                      <w:lang w:val="en-US" w:eastAsia="zh-CN"/>
                    </w:rPr>
                  </w:pPr>
                  <w:r>
                    <w:rPr>
                      <w:rStyle w:val="52"/>
                      <w:rFonts w:hint="eastAsia"/>
                      <w:kern w:val="2"/>
                      <w:sz w:val="21"/>
                      <w:lang w:val="en-US" w:eastAsia="zh-CN"/>
                    </w:rPr>
                    <w:t>22.67%</w:t>
                  </w:r>
                </w:p>
              </w:tc>
              <w:tc>
                <w:tcPr>
                  <w:tcW w:w="870" w:type="dxa"/>
                  <w:vAlign w:val="center"/>
                </w:tcPr>
                <w:p>
                  <w:pPr>
                    <w:pStyle w:val="48"/>
                    <w:widowControl w:val="0"/>
                    <w:rPr>
                      <w:rStyle w:val="52"/>
                      <w:rFonts w:hint="default" w:ascii="Times New Roman" w:hAnsi="Times New Roman"/>
                      <w:kern w:val="2"/>
                      <w:sz w:val="21"/>
                      <w:lang w:val="en-US" w:eastAsia="zh-CN"/>
                    </w:rPr>
                  </w:pPr>
                  <w:r>
                    <w:rPr>
                      <w:rStyle w:val="52"/>
                      <w:rFonts w:hint="eastAsia"/>
                      <w:kern w:val="2"/>
                      <w:sz w:val="21"/>
                      <w:lang w:val="en-US" w:eastAsia="zh-CN"/>
                    </w:rPr>
                    <w:t>0</w:t>
                  </w:r>
                </w:p>
              </w:tc>
              <w:tc>
                <w:tcPr>
                  <w:tcW w:w="981" w:type="dxa"/>
                  <w:vAlign w:val="center"/>
                </w:tcPr>
                <w:p>
                  <w:pPr>
                    <w:pStyle w:val="48"/>
                    <w:widowControl w:val="0"/>
                    <w:rPr>
                      <w:rStyle w:val="52"/>
                      <w:rFonts w:hint="default" w:ascii="Times New Roman" w:hAnsi="Times New Roman"/>
                      <w:kern w:val="2"/>
                      <w:sz w:val="21"/>
                      <w:lang w:val="en-US" w:eastAsia="zh-CN"/>
                    </w:rPr>
                  </w:pPr>
                  <w:r>
                    <w:rPr>
                      <w:rStyle w:val="52"/>
                      <w:rFonts w:hint="eastAsia"/>
                      <w:kern w:val="2"/>
                      <w:sz w:val="21"/>
                      <w:lang w:val="en-US" w:eastAsia="zh-CN"/>
                    </w:rPr>
                    <w:t>0</w:t>
                  </w:r>
                </w:p>
              </w:tc>
              <w:tc>
                <w:tcPr>
                  <w:tcW w:w="981" w:type="dxa"/>
                  <w:vAlign w:val="center"/>
                </w:tcPr>
                <w:p>
                  <w:pPr>
                    <w:pStyle w:val="48"/>
                    <w:widowControl w:val="0"/>
                    <w:rPr>
                      <w:rStyle w:val="52"/>
                      <w:rFonts w:hint="default" w:ascii="Times New Roman" w:hAnsi="Times New Roman"/>
                      <w:kern w:val="2"/>
                      <w:sz w:val="21"/>
                      <w:lang w:val="en-US" w:eastAsia="zh-CN"/>
                    </w:rPr>
                  </w:pPr>
                  <w:r>
                    <w:rPr>
                      <w:rStyle w:val="52"/>
                      <w:rFonts w:hint="eastAsia"/>
                      <w:kern w:val="2"/>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82" w:type="dxa"/>
                  <w:vAlign w:val="center"/>
                </w:tcPr>
                <w:p>
                  <w:pPr>
                    <w:pStyle w:val="48"/>
                    <w:widowControl w:val="0"/>
                    <w:rPr>
                      <w:rStyle w:val="52"/>
                      <w:rFonts w:hint="default" w:ascii="Times New Roman" w:hAnsi="Times New Roman"/>
                      <w:kern w:val="2"/>
                      <w:sz w:val="21"/>
                      <w:lang w:val="en-US" w:eastAsia="zh-CN"/>
                    </w:rPr>
                  </w:pPr>
                  <w:r>
                    <w:rPr>
                      <w:rStyle w:val="52"/>
                      <w:rFonts w:hint="eastAsia" w:ascii="Times New Roman" w:hAnsi="Times New Roman"/>
                      <w:kern w:val="2"/>
                      <w:sz w:val="21"/>
                      <w:lang w:val="en-US" w:eastAsia="zh-CN"/>
                    </w:rPr>
                    <w:t>A2</w:t>
                  </w:r>
                </w:p>
              </w:tc>
              <w:tc>
                <w:tcPr>
                  <w:tcW w:w="992" w:type="dxa"/>
                  <w:vAlign w:val="center"/>
                </w:tcPr>
                <w:p>
                  <w:pPr>
                    <w:pStyle w:val="48"/>
                    <w:widowControl w:val="0"/>
                    <w:rPr>
                      <w:rStyle w:val="52"/>
                      <w:rFonts w:hint="eastAsia" w:ascii="Times New Roman" w:hAnsi="Times New Roman"/>
                      <w:kern w:val="2"/>
                      <w:sz w:val="21"/>
                      <w:lang w:val="en-US" w:eastAsia="zh-CN"/>
                    </w:rPr>
                  </w:pPr>
                  <w:r>
                    <w:rPr>
                      <w:rStyle w:val="52"/>
                      <w:rFonts w:hint="eastAsia" w:ascii="Times New Roman" w:hAnsi="Times New Roman"/>
                      <w:kern w:val="2"/>
                      <w:sz w:val="21"/>
                    </w:rPr>
                    <w:t>T</w:t>
                  </w:r>
                  <w:r>
                    <w:rPr>
                      <w:rStyle w:val="52"/>
                      <w:rFonts w:hint="default" w:ascii="Times New Roman" w:hAnsi="Times New Roman"/>
                      <w:kern w:val="2"/>
                      <w:sz w:val="21"/>
                    </w:rPr>
                    <w:t>SP</w:t>
                  </w:r>
                </w:p>
              </w:tc>
              <w:tc>
                <w:tcPr>
                  <w:tcW w:w="1354" w:type="dxa"/>
                  <w:vAlign w:val="center"/>
                </w:tcPr>
                <w:p>
                  <w:pPr>
                    <w:pStyle w:val="48"/>
                    <w:widowControl w:val="0"/>
                    <w:rPr>
                      <w:rStyle w:val="52"/>
                      <w:rFonts w:hint="default" w:ascii="Times New Roman" w:hAnsi="Times New Roman"/>
                      <w:kern w:val="2"/>
                      <w:sz w:val="21"/>
                      <w:lang w:val="en-US" w:eastAsia="zh-CN"/>
                    </w:rPr>
                  </w:pPr>
                  <w:r>
                    <w:rPr>
                      <w:rStyle w:val="52"/>
                      <w:rFonts w:hint="eastAsia"/>
                      <w:kern w:val="2"/>
                      <w:sz w:val="21"/>
                      <w:lang w:val="en-US" w:eastAsia="zh-CN"/>
                    </w:rPr>
                    <w:t>0.089~0.109</w:t>
                  </w:r>
                </w:p>
              </w:tc>
              <w:tc>
                <w:tcPr>
                  <w:tcW w:w="990" w:type="dxa"/>
                  <w:vAlign w:val="center"/>
                </w:tcPr>
                <w:p>
                  <w:pPr>
                    <w:pStyle w:val="48"/>
                    <w:widowControl w:val="0"/>
                    <w:rPr>
                      <w:rStyle w:val="52"/>
                      <w:rFonts w:hint="default" w:ascii="Times New Roman" w:hAnsi="Times New Roman"/>
                      <w:kern w:val="2"/>
                      <w:sz w:val="21"/>
                      <w:lang w:val="en-US" w:eastAsia="zh-CN"/>
                    </w:rPr>
                  </w:pPr>
                  <w:r>
                    <w:rPr>
                      <w:rStyle w:val="52"/>
                      <w:rFonts w:hint="eastAsia"/>
                      <w:kern w:val="2"/>
                      <w:sz w:val="21"/>
                      <w:lang w:val="en-US" w:eastAsia="zh-CN"/>
                    </w:rPr>
                    <w:t>0.3</w:t>
                  </w:r>
                </w:p>
              </w:tc>
              <w:tc>
                <w:tcPr>
                  <w:tcW w:w="1128" w:type="dxa"/>
                  <w:vAlign w:val="center"/>
                </w:tcPr>
                <w:p>
                  <w:pPr>
                    <w:pStyle w:val="48"/>
                    <w:widowControl w:val="0"/>
                    <w:rPr>
                      <w:rStyle w:val="52"/>
                      <w:rFonts w:hint="default" w:ascii="Times New Roman" w:hAnsi="Times New Roman"/>
                      <w:kern w:val="2"/>
                      <w:sz w:val="21"/>
                      <w:lang w:val="en-US" w:eastAsia="zh-CN"/>
                    </w:rPr>
                  </w:pPr>
                  <w:r>
                    <w:rPr>
                      <w:rStyle w:val="52"/>
                      <w:rFonts w:hint="eastAsia"/>
                      <w:kern w:val="2"/>
                      <w:sz w:val="21"/>
                      <w:lang w:val="en-US" w:eastAsia="zh-CN"/>
                    </w:rPr>
                    <w:t>36.3%</w:t>
                  </w:r>
                </w:p>
              </w:tc>
              <w:tc>
                <w:tcPr>
                  <w:tcW w:w="870" w:type="dxa"/>
                  <w:vAlign w:val="center"/>
                </w:tcPr>
                <w:p>
                  <w:pPr>
                    <w:pStyle w:val="48"/>
                    <w:widowControl w:val="0"/>
                    <w:rPr>
                      <w:rStyle w:val="52"/>
                      <w:rFonts w:hint="default" w:ascii="Times New Roman" w:hAnsi="Times New Roman"/>
                      <w:kern w:val="2"/>
                      <w:sz w:val="21"/>
                      <w:lang w:val="en-US" w:eastAsia="zh-CN"/>
                    </w:rPr>
                  </w:pPr>
                  <w:r>
                    <w:rPr>
                      <w:rStyle w:val="52"/>
                      <w:rFonts w:hint="eastAsia"/>
                      <w:kern w:val="2"/>
                      <w:sz w:val="21"/>
                      <w:lang w:val="en-US" w:eastAsia="zh-CN"/>
                    </w:rPr>
                    <w:t>0</w:t>
                  </w:r>
                </w:p>
              </w:tc>
              <w:tc>
                <w:tcPr>
                  <w:tcW w:w="981" w:type="dxa"/>
                  <w:vAlign w:val="center"/>
                </w:tcPr>
                <w:p>
                  <w:pPr>
                    <w:pStyle w:val="48"/>
                    <w:widowControl w:val="0"/>
                    <w:rPr>
                      <w:rStyle w:val="52"/>
                      <w:rFonts w:hint="default" w:ascii="Times New Roman" w:hAnsi="Times New Roman"/>
                      <w:kern w:val="2"/>
                      <w:sz w:val="21"/>
                      <w:lang w:val="en-US" w:eastAsia="zh-CN"/>
                    </w:rPr>
                  </w:pPr>
                  <w:r>
                    <w:rPr>
                      <w:rStyle w:val="52"/>
                      <w:rFonts w:hint="eastAsia"/>
                      <w:kern w:val="2"/>
                      <w:sz w:val="21"/>
                      <w:lang w:val="en-US" w:eastAsia="zh-CN"/>
                    </w:rPr>
                    <w:t>0</w:t>
                  </w:r>
                </w:p>
              </w:tc>
              <w:tc>
                <w:tcPr>
                  <w:tcW w:w="981" w:type="dxa"/>
                  <w:vAlign w:val="center"/>
                </w:tcPr>
                <w:p>
                  <w:pPr>
                    <w:pStyle w:val="48"/>
                    <w:widowControl w:val="0"/>
                    <w:rPr>
                      <w:rStyle w:val="52"/>
                      <w:rFonts w:hint="eastAsia" w:ascii="Times New Roman" w:hAnsi="Times New Roman"/>
                      <w:kern w:val="2"/>
                      <w:sz w:val="21"/>
                      <w:lang w:val="en-US" w:eastAsia="zh-CN"/>
                    </w:rPr>
                  </w:pPr>
                  <w:r>
                    <w:rPr>
                      <w:rStyle w:val="52"/>
                      <w:rFonts w:hint="eastAsia"/>
                      <w:kern w:val="2"/>
                      <w:sz w:val="21"/>
                      <w:lang w:val="en-US" w:eastAsia="zh-CN"/>
                    </w:rPr>
                    <w:t>达标</w:t>
                  </w:r>
                </w:p>
              </w:tc>
            </w:tr>
          </w:tbl>
          <w:p>
            <w:pPr>
              <w:keepNext w:val="0"/>
              <w:keepLines w:val="0"/>
              <w:widowControl/>
              <w:suppressLineNumbers w:val="0"/>
              <w:jc w:val="left"/>
              <w:rPr>
                <w:rFonts w:hint="eastAsia"/>
                <w:sz w:val="24"/>
                <w:highlight w:val="none"/>
                <w:lang w:val="en-US" w:eastAsia="zh-CN"/>
              </w:rPr>
            </w:pPr>
            <w:r>
              <w:rPr>
                <w:rFonts w:hint="eastAsia" w:ascii="宋体" w:hAnsi="宋体" w:eastAsia="宋体" w:cs="宋体"/>
                <w:color w:val="000000"/>
                <w:kern w:val="0"/>
                <w:sz w:val="24"/>
                <w:szCs w:val="24"/>
                <w:lang w:val="en-US" w:eastAsia="zh-CN" w:bidi="ar"/>
              </w:rPr>
              <w:t>根据上表监测结果：各监测点位环境空气中</w:t>
            </w:r>
            <w:r>
              <w:rPr>
                <w:rFonts w:hint="default" w:ascii="Times New Roman" w:hAnsi="Times New Roman" w:eastAsia="宋体" w:cs="Times New Roman"/>
                <w:color w:val="000000"/>
                <w:kern w:val="0"/>
                <w:sz w:val="24"/>
                <w:szCs w:val="24"/>
                <w:lang w:val="en-US" w:eastAsia="zh-CN" w:bidi="ar"/>
              </w:rPr>
              <w:t>TSP</w:t>
            </w:r>
            <w:r>
              <w:rPr>
                <w:rFonts w:hint="eastAsia" w:ascii="宋体" w:hAnsi="宋体" w:eastAsia="宋体" w:cs="宋体"/>
                <w:color w:val="000000"/>
                <w:kern w:val="0"/>
                <w:sz w:val="24"/>
                <w:szCs w:val="24"/>
                <w:lang w:val="en-US" w:eastAsia="zh-CN" w:bidi="ar"/>
              </w:rPr>
              <w:t>的监测浓度值均满足《环境空气质量标准》（</w:t>
            </w:r>
            <w:r>
              <w:rPr>
                <w:rFonts w:hint="default" w:ascii="Times New Roman" w:hAnsi="Times New Roman" w:eastAsia="宋体" w:cs="Times New Roman"/>
                <w:color w:val="000000"/>
                <w:kern w:val="0"/>
                <w:sz w:val="24"/>
                <w:szCs w:val="24"/>
                <w:lang w:val="en-US" w:eastAsia="zh-CN" w:bidi="ar"/>
              </w:rPr>
              <w:t>GB3095-2012</w:t>
            </w:r>
            <w:r>
              <w:rPr>
                <w:rFonts w:hint="eastAsia" w:ascii="宋体" w:hAnsi="宋体" w:eastAsia="宋体" w:cs="宋体"/>
                <w:color w:val="000000"/>
                <w:kern w:val="0"/>
                <w:sz w:val="24"/>
                <w:szCs w:val="24"/>
                <w:lang w:val="en-US" w:eastAsia="zh-CN" w:bidi="ar"/>
              </w:rPr>
              <w:t>）及其修改单</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生态环境部公告</w:t>
            </w:r>
            <w:r>
              <w:rPr>
                <w:rFonts w:hint="default" w:ascii="Times New Roman" w:hAnsi="Times New Roman" w:eastAsia="宋体" w:cs="Times New Roman"/>
                <w:color w:val="000000"/>
                <w:kern w:val="0"/>
                <w:sz w:val="24"/>
                <w:szCs w:val="24"/>
                <w:lang w:val="en-US" w:eastAsia="zh-CN" w:bidi="ar"/>
              </w:rPr>
              <w:t>2018</w:t>
            </w:r>
            <w:r>
              <w:rPr>
                <w:rFonts w:hint="eastAsia" w:ascii="宋体" w:hAnsi="宋体" w:eastAsia="宋体" w:cs="宋体"/>
                <w:color w:val="000000"/>
                <w:kern w:val="0"/>
                <w:sz w:val="24"/>
                <w:szCs w:val="24"/>
                <w:lang w:val="en-US" w:eastAsia="zh-CN" w:bidi="ar"/>
              </w:rPr>
              <w:t>年第</w:t>
            </w:r>
            <w:r>
              <w:rPr>
                <w:rFonts w:hint="default" w:ascii="Times New Roman" w:hAnsi="Times New Roman" w:eastAsia="宋体" w:cs="Times New Roman"/>
                <w:color w:val="000000"/>
                <w:kern w:val="0"/>
                <w:sz w:val="24"/>
                <w:szCs w:val="24"/>
                <w:lang w:val="en-US" w:eastAsia="zh-CN" w:bidi="ar"/>
              </w:rPr>
              <w:t>29</w:t>
            </w:r>
            <w:r>
              <w:rPr>
                <w:rFonts w:hint="eastAsia" w:ascii="宋体" w:hAnsi="宋体" w:eastAsia="宋体" w:cs="宋体"/>
                <w:color w:val="000000"/>
                <w:kern w:val="0"/>
                <w:sz w:val="24"/>
                <w:szCs w:val="24"/>
                <w:lang w:val="en-US" w:eastAsia="zh-CN" w:bidi="ar"/>
              </w:rPr>
              <w:t>号</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中的二级标准；</w:t>
            </w:r>
          </w:p>
          <w:p>
            <w:pPr>
              <w:ind w:firstLine="480"/>
            </w:pPr>
            <w:r>
              <w:rPr>
                <w:rFonts w:hint="eastAsia"/>
              </w:rPr>
              <w:t>2、水环境质量现状调查与评价</w:t>
            </w:r>
          </w:p>
          <w:p>
            <w:pPr>
              <w:ind w:firstLine="480"/>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引用岳阳市2023年度生态环境质量公报资料</w:t>
            </w:r>
          </w:p>
          <w:p>
            <w:pPr>
              <w:ind w:firstLine="480"/>
              <w:rPr>
                <w:rFonts w:ascii="宋体" w:hAnsi="宋体" w:eastAsia="宋体" w:cs="宋体"/>
                <w:sz w:val="24"/>
                <w:szCs w:val="24"/>
              </w:rPr>
            </w:pPr>
            <w:r>
              <w:rPr>
                <w:rFonts w:ascii="宋体" w:hAnsi="宋体" w:eastAsia="宋体" w:cs="宋体"/>
                <w:sz w:val="24"/>
                <w:szCs w:val="24"/>
              </w:rPr>
              <w:t>根据《岳阳市2023年度生态环境质量公报》，2023年岳阳市地表水水质总体为良，水环境质量整体状况稳定，局部水域水质有所改善。湘江干、支流岳阳段水体水质总体为优，乌龙嘴、屈原湘江取水口、屈原自来水厂、磊石山、白水港5个监测断面水质均达到Ⅱ类。2023年，岳阳洞庭湖湖体整体水质为轻度污染（Ⅳ类），7个断面均为Ⅳ类水质，超标污染物为总磷。岳阳洞庭湖湖体总体处于中营养水平，7个断面中有5个断面为中营养状态，2个断面为轻度富营养状态。洞庭湖水质综合评价达到考核要求，岳阳洞庭湖总磷浓度均值为0.059mg/l。2023年，岳阳洞庭湖内湖5个控制断面中有4个断面为Ⅲ类水质，1个断面（华容东湖）为Ⅴ类水质，超标污染物为总磷。华容东湖水质综合评价达到考核要求。</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）区域现有水环境现状资料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本项目区域主要地表水体为湘江、横岭湖。根据湖南省生态环境厅公布的《湖南省地表水水质状况（</w:t>
            </w:r>
            <w:r>
              <w:rPr>
                <w:rFonts w:hint="default" w:ascii="Times New Roman" w:hAnsi="Times New Roman" w:eastAsia="宋体" w:cs="Times New Roman"/>
                <w:color w:val="000000"/>
                <w:kern w:val="0"/>
                <w:sz w:val="24"/>
                <w:szCs w:val="24"/>
                <w:lang w:val="en-US" w:eastAsia="zh-CN" w:bidi="ar"/>
              </w:rPr>
              <w:t>2023</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月～</w:t>
            </w:r>
            <w:r>
              <w:rPr>
                <w:rFonts w:hint="default" w:ascii="Times New Roman" w:hAnsi="Times New Roman" w:eastAsia="宋体" w:cs="Times New Roman"/>
                <w:color w:val="000000"/>
                <w:kern w:val="0"/>
                <w:sz w:val="24"/>
                <w:szCs w:val="24"/>
                <w:lang w:val="en-US" w:eastAsia="zh-CN" w:bidi="ar"/>
              </w:rPr>
              <w:t>2023</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12</w:t>
            </w:r>
            <w:r>
              <w:rPr>
                <w:rFonts w:hint="eastAsia" w:ascii="宋体" w:hAnsi="宋体" w:eastAsia="宋体" w:cs="宋体"/>
                <w:color w:val="000000"/>
                <w:kern w:val="0"/>
                <w:sz w:val="24"/>
                <w:szCs w:val="24"/>
                <w:lang w:val="en-US" w:eastAsia="zh-CN" w:bidi="ar"/>
              </w:rPr>
              <w:t>月）》，屈原湘江取水口断面（项目地上游）、屈原自来水厂断面（屈原管理区原取水口断面，项目地东侧）、磊石山断面（项目地下游）、横岭湖水质状况如下：</w:t>
            </w:r>
          </w:p>
          <w:p>
            <w:pPr>
              <w:pStyle w:val="7"/>
              <w:rPr>
                <w:kern w:val="0"/>
                <w:sz w:val="21"/>
              </w:rPr>
            </w:pPr>
            <w:r>
              <w:rPr>
                <w:rFonts w:hint="eastAsia"/>
                <w:kern w:val="0"/>
                <w:sz w:val="21"/>
                <w:lang w:val="en-US" w:eastAsia="zh-CN"/>
              </w:rPr>
              <w:t>表</w:t>
            </w:r>
            <w:r>
              <w:rPr>
                <w:rFonts w:hint="default"/>
                <w:kern w:val="0"/>
                <w:sz w:val="21"/>
                <w:lang w:val="en-US" w:eastAsia="zh-CN"/>
              </w:rPr>
              <w:t>3-</w:t>
            </w:r>
            <w:r>
              <w:rPr>
                <w:rFonts w:hint="eastAsia"/>
                <w:kern w:val="0"/>
                <w:sz w:val="21"/>
                <w:lang w:val="en-US" w:eastAsia="zh-CN"/>
              </w:rPr>
              <w:t>5</w:t>
            </w:r>
            <w:r>
              <w:rPr>
                <w:rFonts w:hint="default"/>
                <w:kern w:val="0"/>
                <w:sz w:val="21"/>
                <w:lang w:val="en-US" w:eastAsia="zh-CN"/>
              </w:rPr>
              <w:t xml:space="preserve"> </w:t>
            </w:r>
            <w:r>
              <w:rPr>
                <w:rFonts w:hint="eastAsia"/>
                <w:kern w:val="0"/>
                <w:sz w:val="21"/>
                <w:lang w:val="en-US" w:eastAsia="zh-CN"/>
              </w:rPr>
              <w:t>湘江地表水环境质量现状</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6"/>
              <w:gridCol w:w="1676"/>
              <w:gridCol w:w="1481"/>
              <w:gridCol w:w="1170"/>
              <w:gridCol w:w="2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pPr>
                    <w:pStyle w:val="48"/>
                    <w:widowControl w:val="0"/>
                    <w:rPr>
                      <w:rFonts w:hint="eastAsia"/>
                      <w:b/>
                      <w:bCs/>
                      <w:color w:val="000000"/>
                      <w:kern w:val="2"/>
                      <w:lang w:val="en-US" w:eastAsia="zh-CN"/>
                    </w:rPr>
                  </w:pPr>
                  <w:r>
                    <w:rPr>
                      <w:rFonts w:hint="eastAsia"/>
                      <w:b/>
                      <w:bCs/>
                      <w:color w:val="000000"/>
                      <w:kern w:val="2"/>
                      <w:lang w:val="en-US" w:eastAsia="zh-CN"/>
                    </w:rPr>
                    <w:t>时间</w:t>
                  </w:r>
                </w:p>
              </w:tc>
              <w:tc>
                <w:tcPr>
                  <w:tcW w:w="1676" w:type="dxa"/>
                  <w:vAlign w:val="center"/>
                </w:tcPr>
                <w:p>
                  <w:pPr>
                    <w:pStyle w:val="48"/>
                    <w:widowControl w:val="0"/>
                    <w:rPr>
                      <w:b/>
                      <w:bCs/>
                      <w:color w:val="000000"/>
                      <w:kern w:val="2"/>
                    </w:rPr>
                  </w:pPr>
                  <w:r>
                    <w:rPr>
                      <w:rFonts w:hint="eastAsia"/>
                      <w:b/>
                      <w:bCs/>
                      <w:color w:val="000000"/>
                      <w:kern w:val="2"/>
                      <w:lang w:val="en-US" w:eastAsia="zh-CN"/>
                    </w:rPr>
                    <w:t>屈原湘江取水口断面</w:t>
                  </w:r>
                </w:p>
              </w:tc>
              <w:tc>
                <w:tcPr>
                  <w:tcW w:w="1481" w:type="dxa"/>
                  <w:vAlign w:val="center"/>
                </w:tcPr>
                <w:p>
                  <w:pPr>
                    <w:pStyle w:val="48"/>
                    <w:widowControl w:val="0"/>
                    <w:rPr>
                      <w:b/>
                      <w:bCs/>
                      <w:color w:val="000000"/>
                      <w:kern w:val="2"/>
                    </w:rPr>
                  </w:pPr>
                  <w:r>
                    <w:rPr>
                      <w:rFonts w:hint="eastAsia"/>
                      <w:b/>
                      <w:bCs/>
                      <w:color w:val="000000"/>
                      <w:kern w:val="2"/>
                      <w:lang w:val="en-US" w:eastAsia="zh-CN"/>
                    </w:rPr>
                    <w:t>屈原自来水厂断面</w:t>
                  </w:r>
                </w:p>
              </w:tc>
              <w:tc>
                <w:tcPr>
                  <w:tcW w:w="1170" w:type="dxa"/>
                  <w:vAlign w:val="center"/>
                </w:tcPr>
                <w:p>
                  <w:pPr>
                    <w:pStyle w:val="48"/>
                    <w:widowControl w:val="0"/>
                    <w:rPr>
                      <w:b/>
                      <w:bCs/>
                      <w:color w:val="000000"/>
                      <w:kern w:val="2"/>
                    </w:rPr>
                  </w:pPr>
                  <w:r>
                    <w:rPr>
                      <w:rFonts w:hint="eastAsia"/>
                      <w:b/>
                      <w:bCs/>
                      <w:color w:val="000000"/>
                      <w:kern w:val="2"/>
                      <w:lang w:val="en-US" w:eastAsia="zh-CN"/>
                    </w:rPr>
                    <w:t>磊石山断面</w:t>
                  </w:r>
                </w:p>
              </w:tc>
              <w:tc>
                <w:tcPr>
                  <w:tcW w:w="2377" w:type="dxa"/>
                  <w:vAlign w:val="center"/>
                </w:tcPr>
                <w:p>
                  <w:pPr>
                    <w:pStyle w:val="48"/>
                    <w:widowControl w:val="0"/>
                    <w:rPr>
                      <w:b/>
                      <w:bCs/>
                      <w:color w:val="000000"/>
                      <w:kern w:val="2"/>
                    </w:rPr>
                  </w:pPr>
                  <w:r>
                    <w:rPr>
                      <w:rFonts w:hint="eastAsia"/>
                      <w:b/>
                      <w:bCs/>
                      <w:color w:val="000000"/>
                      <w:kern w:val="2"/>
                      <w:lang w:val="en-US" w:eastAsia="zh-CN"/>
                    </w:rPr>
                    <w:t>横岭湖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pPr>
                    <w:pStyle w:val="48"/>
                    <w:widowControl w:val="0"/>
                    <w:rPr>
                      <w:rStyle w:val="53"/>
                      <w:rFonts w:hint="default" w:ascii="Times New Roman" w:hAnsi="Times New Roman"/>
                      <w:color w:val="000000"/>
                      <w:kern w:val="2"/>
                      <w:sz w:val="21"/>
                    </w:rPr>
                  </w:pPr>
                  <w:r>
                    <w:rPr>
                      <w:rStyle w:val="53"/>
                      <w:rFonts w:hint="default" w:ascii="Times New Roman" w:hAnsi="Times New Roman"/>
                      <w:color w:val="000000"/>
                      <w:kern w:val="2"/>
                      <w:sz w:val="21"/>
                      <w:lang w:val="en-US" w:eastAsia="zh-CN"/>
                    </w:rPr>
                    <w:t>2023</w:t>
                  </w:r>
                  <w:r>
                    <w:rPr>
                      <w:rStyle w:val="53"/>
                      <w:rFonts w:hint="eastAsia" w:ascii="Times New Roman" w:hAnsi="Times New Roman"/>
                      <w:color w:val="000000"/>
                      <w:kern w:val="2"/>
                      <w:sz w:val="21"/>
                      <w:lang w:val="en-US" w:eastAsia="zh-CN"/>
                    </w:rPr>
                    <w:t>年1月</w:t>
                  </w:r>
                </w:p>
              </w:tc>
              <w:tc>
                <w:tcPr>
                  <w:tcW w:w="1676" w:type="dxa"/>
                  <w:vAlign w:val="center"/>
                </w:tcPr>
                <w:p>
                  <w:pPr>
                    <w:pStyle w:val="48"/>
                    <w:widowControl w:val="0"/>
                    <w:rPr>
                      <w:rStyle w:val="53"/>
                      <w:rFonts w:hint="eastAsia"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1481"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1170"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2377" w:type="dxa"/>
                  <w:vAlign w:val="center"/>
                </w:tcPr>
                <w:p>
                  <w:pPr>
                    <w:pStyle w:val="48"/>
                    <w:widowControl w:val="0"/>
                    <w:rPr>
                      <w:rStyle w:val="53"/>
                      <w:rFonts w:hint="eastAsia"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Ⅳ（总磷超标0.4倍）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pPr>
                    <w:pStyle w:val="48"/>
                    <w:widowControl w:val="0"/>
                    <w:rPr>
                      <w:rStyle w:val="53"/>
                      <w:rFonts w:hint="default" w:ascii="Times New Roman" w:hAnsi="Times New Roman"/>
                      <w:color w:val="000000"/>
                      <w:kern w:val="2"/>
                      <w:sz w:val="21"/>
                    </w:rPr>
                  </w:pPr>
                  <w:r>
                    <w:rPr>
                      <w:rStyle w:val="53"/>
                      <w:rFonts w:hint="default" w:ascii="Times New Roman" w:hAnsi="Times New Roman"/>
                      <w:color w:val="000000"/>
                      <w:kern w:val="2"/>
                      <w:sz w:val="21"/>
                      <w:lang w:val="en-US" w:eastAsia="zh-CN"/>
                    </w:rPr>
                    <w:t>2023</w:t>
                  </w:r>
                  <w:r>
                    <w:rPr>
                      <w:rStyle w:val="53"/>
                      <w:rFonts w:hint="eastAsia" w:ascii="Times New Roman" w:hAnsi="Times New Roman"/>
                      <w:color w:val="000000"/>
                      <w:kern w:val="2"/>
                      <w:sz w:val="21"/>
                      <w:lang w:val="en-US" w:eastAsia="zh-CN"/>
                    </w:rPr>
                    <w:t>年2月</w:t>
                  </w:r>
                </w:p>
              </w:tc>
              <w:tc>
                <w:tcPr>
                  <w:tcW w:w="1676"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1481"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1170"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2377" w:type="dxa"/>
                  <w:vAlign w:val="center"/>
                </w:tcPr>
                <w:p>
                  <w:pPr>
                    <w:pStyle w:val="48"/>
                    <w:widowControl w:val="0"/>
                    <w:rPr>
                      <w:rStyle w:val="53"/>
                      <w:rFonts w:hint="eastAsia"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pPr>
                    <w:pStyle w:val="48"/>
                    <w:widowControl w:val="0"/>
                    <w:rPr>
                      <w:rStyle w:val="53"/>
                      <w:rFonts w:hint="default" w:ascii="Times New Roman" w:hAnsi="Times New Roman"/>
                      <w:color w:val="000000"/>
                      <w:kern w:val="2"/>
                      <w:sz w:val="21"/>
                    </w:rPr>
                  </w:pPr>
                  <w:r>
                    <w:rPr>
                      <w:rStyle w:val="53"/>
                      <w:rFonts w:hint="default" w:ascii="Times New Roman" w:hAnsi="Times New Roman"/>
                      <w:color w:val="000000"/>
                      <w:kern w:val="2"/>
                      <w:sz w:val="21"/>
                      <w:lang w:val="en-US" w:eastAsia="zh-CN"/>
                    </w:rPr>
                    <w:t>2023</w:t>
                  </w:r>
                  <w:r>
                    <w:rPr>
                      <w:rStyle w:val="53"/>
                      <w:rFonts w:hint="eastAsia" w:ascii="Times New Roman" w:hAnsi="Times New Roman"/>
                      <w:color w:val="000000"/>
                      <w:kern w:val="2"/>
                      <w:sz w:val="21"/>
                      <w:lang w:val="en-US" w:eastAsia="zh-CN"/>
                    </w:rPr>
                    <w:t>年3月</w:t>
                  </w:r>
                </w:p>
              </w:tc>
              <w:tc>
                <w:tcPr>
                  <w:tcW w:w="1676"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1481"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1170"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2377"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pPr>
                    <w:pStyle w:val="48"/>
                    <w:widowControl w:val="0"/>
                    <w:rPr>
                      <w:rStyle w:val="53"/>
                      <w:rFonts w:hint="default" w:ascii="Times New Roman" w:hAnsi="Times New Roman"/>
                      <w:color w:val="000000"/>
                      <w:kern w:val="2"/>
                      <w:sz w:val="21"/>
                    </w:rPr>
                  </w:pPr>
                  <w:r>
                    <w:rPr>
                      <w:rStyle w:val="53"/>
                      <w:rFonts w:hint="default" w:ascii="Times New Roman" w:hAnsi="Times New Roman"/>
                      <w:color w:val="000000"/>
                      <w:kern w:val="2"/>
                      <w:sz w:val="21"/>
                      <w:lang w:val="en-US" w:eastAsia="zh-CN"/>
                    </w:rPr>
                    <w:t>2023</w:t>
                  </w:r>
                  <w:r>
                    <w:rPr>
                      <w:rStyle w:val="53"/>
                      <w:rFonts w:hint="eastAsia" w:ascii="Times New Roman" w:hAnsi="Times New Roman"/>
                      <w:color w:val="000000"/>
                      <w:kern w:val="2"/>
                      <w:sz w:val="21"/>
                      <w:lang w:val="en-US" w:eastAsia="zh-CN"/>
                    </w:rPr>
                    <w:t>年4月</w:t>
                  </w:r>
                </w:p>
              </w:tc>
              <w:tc>
                <w:tcPr>
                  <w:tcW w:w="1676"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1481"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1170"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2377"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Ⅳ（总磷超标0.</w:t>
                  </w:r>
                  <w:r>
                    <w:rPr>
                      <w:rStyle w:val="53"/>
                      <w:rFonts w:hint="eastAsia"/>
                      <w:color w:val="000000"/>
                      <w:kern w:val="2"/>
                      <w:sz w:val="21"/>
                      <w:lang w:val="en-US" w:eastAsia="zh-CN"/>
                    </w:rPr>
                    <w:t>2</w:t>
                  </w:r>
                  <w:r>
                    <w:rPr>
                      <w:rStyle w:val="53"/>
                      <w:rFonts w:hint="eastAsia" w:ascii="Times New Roman" w:hAnsi="Times New Roman"/>
                      <w:color w:val="000000"/>
                      <w:kern w:val="2"/>
                      <w:sz w:val="21"/>
                      <w:lang w:val="en-US" w:eastAsia="zh-CN"/>
                    </w:rPr>
                    <w:t>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pPr>
                    <w:pStyle w:val="48"/>
                    <w:widowControl w:val="0"/>
                    <w:rPr>
                      <w:rStyle w:val="53"/>
                      <w:rFonts w:hint="default" w:ascii="Times New Roman" w:hAnsi="Times New Roman"/>
                      <w:color w:val="000000"/>
                      <w:kern w:val="2"/>
                      <w:sz w:val="21"/>
                    </w:rPr>
                  </w:pPr>
                  <w:r>
                    <w:rPr>
                      <w:rStyle w:val="53"/>
                      <w:rFonts w:hint="default" w:ascii="Times New Roman" w:hAnsi="Times New Roman"/>
                      <w:color w:val="000000"/>
                      <w:kern w:val="2"/>
                      <w:sz w:val="21"/>
                      <w:lang w:val="en-US" w:eastAsia="zh-CN"/>
                    </w:rPr>
                    <w:t>2023</w:t>
                  </w:r>
                  <w:r>
                    <w:rPr>
                      <w:rStyle w:val="53"/>
                      <w:rFonts w:hint="eastAsia" w:ascii="Times New Roman" w:hAnsi="Times New Roman"/>
                      <w:color w:val="000000"/>
                      <w:kern w:val="2"/>
                      <w:sz w:val="21"/>
                      <w:lang w:val="en-US" w:eastAsia="zh-CN"/>
                    </w:rPr>
                    <w:t>年5月</w:t>
                  </w:r>
                </w:p>
              </w:tc>
              <w:tc>
                <w:tcPr>
                  <w:tcW w:w="1676"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1481"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1170"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2377"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Ⅳ（总磷超标0.</w:t>
                  </w:r>
                  <w:r>
                    <w:rPr>
                      <w:rStyle w:val="53"/>
                      <w:rFonts w:hint="eastAsia"/>
                      <w:color w:val="000000"/>
                      <w:kern w:val="2"/>
                      <w:sz w:val="21"/>
                      <w:lang w:val="en-US" w:eastAsia="zh-CN"/>
                    </w:rPr>
                    <w:t>6</w:t>
                  </w:r>
                  <w:r>
                    <w:rPr>
                      <w:rStyle w:val="53"/>
                      <w:rFonts w:hint="eastAsia" w:ascii="Times New Roman" w:hAnsi="Times New Roman"/>
                      <w:color w:val="000000"/>
                      <w:kern w:val="2"/>
                      <w:sz w:val="21"/>
                      <w:lang w:val="en-US" w:eastAsia="zh-CN"/>
                    </w:rPr>
                    <w:t>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pPr>
                    <w:pStyle w:val="48"/>
                    <w:widowControl w:val="0"/>
                    <w:rPr>
                      <w:rStyle w:val="53"/>
                      <w:rFonts w:hint="default" w:ascii="Times New Roman" w:hAnsi="Times New Roman"/>
                      <w:color w:val="000000"/>
                      <w:kern w:val="2"/>
                      <w:sz w:val="21"/>
                    </w:rPr>
                  </w:pPr>
                  <w:r>
                    <w:rPr>
                      <w:rStyle w:val="53"/>
                      <w:rFonts w:hint="default" w:ascii="Times New Roman" w:hAnsi="Times New Roman"/>
                      <w:color w:val="000000"/>
                      <w:kern w:val="2"/>
                      <w:sz w:val="21"/>
                      <w:lang w:val="en-US" w:eastAsia="zh-CN"/>
                    </w:rPr>
                    <w:t>2023</w:t>
                  </w:r>
                  <w:r>
                    <w:rPr>
                      <w:rStyle w:val="53"/>
                      <w:rFonts w:hint="eastAsia" w:ascii="Times New Roman" w:hAnsi="Times New Roman"/>
                      <w:color w:val="000000"/>
                      <w:kern w:val="2"/>
                      <w:sz w:val="21"/>
                      <w:lang w:val="en-US" w:eastAsia="zh-CN"/>
                    </w:rPr>
                    <w:t>年6月</w:t>
                  </w:r>
                </w:p>
              </w:tc>
              <w:tc>
                <w:tcPr>
                  <w:tcW w:w="1676"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1481"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1170"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2377"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Ⅳ（总磷超标0.</w:t>
                  </w:r>
                  <w:r>
                    <w:rPr>
                      <w:rStyle w:val="53"/>
                      <w:rFonts w:hint="eastAsia"/>
                      <w:color w:val="000000"/>
                      <w:kern w:val="2"/>
                      <w:sz w:val="21"/>
                      <w:lang w:val="en-US" w:eastAsia="zh-CN"/>
                    </w:rPr>
                    <w:t>5</w:t>
                  </w:r>
                  <w:r>
                    <w:rPr>
                      <w:rStyle w:val="53"/>
                      <w:rFonts w:hint="eastAsia" w:ascii="Times New Roman" w:hAnsi="Times New Roman"/>
                      <w:color w:val="000000"/>
                      <w:kern w:val="2"/>
                      <w:sz w:val="21"/>
                      <w:lang w:val="en-US" w:eastAsia="zh-CN"/>
                    </w:rPr>
                    <w:t>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pPr>
                    <w:pStyle w:val="48"/>
                    <w:widowControl w:val="0"/>
                    <w:rPr>
                      <w:rStyle w:val="53"/>
                      <w:rFonts w:hint="default" w:ascii="Times New Roman" w:hAnsi="Times New Roman"/>
                      <w:color w:val="000000"/>
                      <w:kern w:val="2"/>
                      <w:sz w:val="21"/>
                    </w:rPr>
                  </w:pPr>
                  <w:r>
                    <w:rPr>
                      <w:rStyle w:val="53"/>
                      <w:rFonts w:hint="default" w:ascii="Times New Roman" w:hAnsi="Times New Roman"/>
                      <w:color w:val="000000"/>
                      <w:kern w:val="2"/>
                      <w:sz w:val="21"/>
                      <w:lang w:val="en-US" w:eastAsia="zh-CN"/>
                    </w:rPr>
                    <w:t>2023</w:t>
                  </w:r>
                  <w:r>
                    <w:rPr>
                      <w:rStyle w:val="53"/>
                      <w:rFonts w:hint="eastAsia" w:ascii="Times New Roman" w:hAnsi="Times New Roman"/>
                      <w:color w:val="000000"/>
                      <w:kern w:val="2"/>
                      <w:sz w:val="21"/>
                      <w:lang w:val="en-US" w:eastAsia="zh-CN"/>
                    </w:rPr>
                    <w:t>年7月</w:t>
                  </w:r>
                </w:p>
              </w:tc>
              <w:tc>
                <w:tcPr>
                  <w:tcW w:w="1676"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1481"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1170"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2377"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Ⅳ（总磷超标0.</w:t>
                  </w:r>
                  <w:r>
                    <w:rPr>
                      <w:rStyle w:val="53"/>
                      <w:rFonts w:hint="eastAsia"/>
                      <w:color w:val="000000"/>
                      <w:kern w:val="2"/>
                      <w:sz w:val="21"/>
                      <w:lang w:val="en-US" w:eastAsia="zh-CN"/>
                    </w:rPr>
                    <w:t>2</w:t>
                  </w:r>
                  <w:r>
                    <w:rPr>
                      <w:rStyle w:val="53"/>
                      <w:rFonts w:hint="eastAsia" w:ascii="Times New Roman" w:hAnsi="Times New Roman"/>
                      <w:color w:val="000000"/>
                      <w:kern w:val="2"/>
                      <w:sz w:val="21"/>
                      <w:lang w:val="en-US" w:eastAsia="zh-CN"/>
                    </w:rPr>
                    <w:t>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pPr>
                    <w:pStyle w:val="48"/>
                    <w:widowControl w:val="0"/>
                    <w:rPr>
                      <w:rStyle w:val="53"/>
                      <w:rFonts w:hint="default" w:ascii="Times New Roman" w:hAnsi="Times New Roman"/>
                      <w:color w:val="000000"/>
                      <w:kern w:val="2"/>
                      <w:sz w:val="21"/>
                      <w:lang w:val="en-US" w:eastAsia="zh-CN"/>
                    </w:rPr>
                  </w:pPr>
                  <w:r>
                    <w:rPr>
                      <w:rStyle w:val="53"/>
                      <w:rFonts w:hint="default" w:ascii="Times New Roman" w:hAnsi="Times New Roman"/>
                      <w:color w:val="000000"/>
                      <w:kern w:val="2"/>
                      <w:sz w:val="21"/>
                      <w:lang w:val="en-US" w:eastAsia="zh-CN"/>
                    </w:rPr>
                    <w:t>2023</w:t>
                  </w:r>
                  <w:r>
                    <w:rPr>
                      <w:rStyle w:val="53"/>
                      <w:rFonts w:hint="eastAsia" w:ascii="Times New Roman" w:hAnsi="Times New Roman"/>
                      <w:color w:val="000000"/>
                      <w:kern w:val="2"/>
                      <w:sz w:val="21"/>
                      <w:lang w:val="en-US" w:eastAsia="zh-CN"/>
                    </w:rPr>
                    <w:t>年8月</w:t>
                  </w:r>
                </w:p>
              </w:tc>
              <w:tc>
                <w:tcPr>
                  <w:tcW w:w="1676"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1481"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1170"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2377"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Ⅳ（总磷超标0.</w:t>
                  </w:r>
                  <w:r>
                    <w:rPr>
                      <w:rStyle w:val="53"/>
                      <w:rFonts w:hint="eastAsia"/>
                      <w:color w:val="000000"/>
                      <w:kern w:val="2"/>
                      <w:sz w:val="21"/>
                      <w:lang w:val="en-US" w:eastAsia="zh-CN"/>
                    </w:rPr>
                    <w:t>3</w:t>
                  </w:r>
                  <w:r>
                    <w:rPr>
                      <w:rStyle w:val="53"/>
                      <w:rFonts w:hint="eastAsia" w:ascii="Times New Roman" w:hAnsi="Times New Roman"/>
                      <w:color w:val="000000"/>
                      <w:kern w:val="2"/>
                      <w:sz w:val="21"/>
                      <w:lang w:val="en-US" w:eastAsia="zh-CN"/>
                    </w:rPr>
                    <w:t>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pPr>
                    <w:pStyle w:val="48"/>
                    <w:widowControl w:val="0"/>
                    <w:rPr>
                      <w:rStyle w:val="53"/>
                      <w:rFonts w:hint="default" w:ascii="Times New Roman" w:hAnsi="Times New Roman"/>
                      <w:color w:val="000000"/>
                      <w:kern w:val="2"/>
                      <w:sz w:val="21"/>
                      <w:lang w:val="en-US" w:eastAsia="zh-CN"/>
                    </w:rPr>
                  </w:pPr>
                  <w:r>
                    <w:rPr>
                      <w:rStyle w:val="53"/>
                      <w:rFonts w:hint="default" w:ascii="Times New Roman" w:hAnsi="Times New Roman"/>
                      <w:color w:val="000000"/>
                      <w:kern w:val="2"/>
                      <w:sz w:val="21"/>
                      <w:lang w:val="en-US" w:eastAsia="zh-CN"/>
                    </w:rPr>
                    <w:t>2023</w:t>
                  </w:r>
                  <w:r>
                    <w:rPr>
                      <w:rStyle w:val="53"/>
                      <w:rFonts w:hint="eastAsia" w:ascii="Times New Roman" w:hAnsi="Times New Roman"/>
                      <w:color w:val="000000"/>
                      <w:kern w:val="2"/>
                      <w:sz w:val="21"/>
                      <w:lang w:val="en-US" w:eastAsia="zh-CN"/>
                    </w:rPr>
                    <w:t>年9月</w:t>
                  </w:r>
                </w:p>
              </w:tc>
              <w:tc>
                <w:tcPr>
                  <w:tcW w:w="1676"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1481"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1170"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2377"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pPr>
                    <w:pStyle w:val="48"/>
                    <w:widowControl w:val="0"/>
                    <w:rPr>
                      <w:rStyle w:val="53"/>
                      <w:rFonts w:hint="default" w:ascii="Times New Roman" w:hAnsi="Times New Roman"/>
                      <w:color w:val="000000"/>
                      <w:kern w:val="2"/>
                      <w:sz w:val="21"/>
                      <w:lang w:val="en-US" w:eastAsia="zh-CN"/>
                    </w:rPr>
                  </w:pPr>
                  <w:r>
                    <w:rPr>
                      <w:rStyle w:val="53"/>
                      <w:rFonts w:hint="default" w:ascii="Times New Roman" w:hAnsi="Times New Roman"/>
                      <w:color w:val="000000"/>
                      <w:kern w:val="2"/>
                      <w:sz w:val="21"/>
                      <w:lang w:val="en-US" w:eastAsia="zh-CN"/>
                    </w:rPr>
                    <w:t>2023</w:t>
                  </w:r>
                  <w:r>
                    <w:rPr>
                      <w:rStyle w:val="53"/>
                      <w:rFonts w:hint="eastAsia" w:ascii="Times New Roman" w:hAnsi="Times New Roman"/>
                      <w:color w:val="000000"/>
                      <w:kern w:val="2"/>
                      <w:sz w:val="21"/>
                      <w:lang w:val="en-US" w:eastAsia="zh-CN"/>
                    </w:rPr>
                    <w:t>年10月</w:t>
                  </w:r>
                </w:p>
              </w:tc>
              <w:tc>
                <w:tcPr>
                  <w:tcW w:w="1676"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1481"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1170"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2377"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Ⅳ（总磷超标0</w:t>
                  </w:r>
                  <w:r>
                    <w:rPr>
                      <w:rStyle w:val="53"/>
                      <w:rFonts w:hint="eastAsia"/>
                      <w:color w:val="000000"/>
                      <w:kern w:val="2"/>
                      <w:sz w:val="21"/>
                      <w:lang w:val="en-US" w:eastAsia="zh-CN"/>
                    </w:rPr>
                    <w:t>.6</w:t>
                  </w:r>
                  <w:r>
                    <w:rPr>
                      <w:rStyle w:val="53"/>
                      <w:rFonts w:hint="eastAsia" w:ascii="Times New Roman" w:hAnsi="Times New Roman"/>
                      <w:color w:val="000000"/>
                      <w:kern w:val="2"/>
                      <w:sz w:val="21"/>
                      <w:lang w:val="en-US" w:eastAsia="zh-CN"/>
                    </w:rPr>
                    <w:t>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pPr>
                    <w:pStyle w:val="48"/>
                    <w:widowControl w:val="0"/>
                    <w:rPr>
                      <w:rStyle w:val="53"/>
                      <w:rFonts w:hint="default" w:ascii="Times New Roman" w:hAnsi="Times New Roman"/>
                      <w:color w:val="000000"/>
                      <w:kern w:val="2"/>
                      <w:sz w:val="21"/>
                      <w:lang w:val="en-US" w:eastAsia="zh-CN"/>
                    </w:rPr>
                  </w:pPr>
                  <w:r>
                    <w:rPr>
                      <w:rStyle w:val="53"/>
                      <w:rFonts w:hint="default" w:ascii="Times New Roman" w:hAnsi="Times New Roman"/>
                      <w:color w:val="000000"/>
                      <w:kern w:val="2"/>
                      <w:sz w:val="21"/>
                      <w:lang w:val="en-US" w:eastAsia="zh-CN"/>
                    </w:rPr>
                    <w:t>2023</w:t>
                  </w:r>
                  <w:r>
                    <w:rPr>
                      <w:rStyle w:val="53"/>
                      <w:rFonts w:hint="eastAsia" w:ascii="Times New Roman" w:hAnsi="Times New Roman"/>
                      <w:color w:val="000000"/>
                      <w:kern w:val="2"/>
                      <w:sz w:val="21"/>
                      <w:lang w:val="en-US" w:eastAsia="zh-CN"/>
                    </w:rPr>
                    <w:t>年11月</w:t>
                  </w:r>
                </w:p>
              </w:tc>
              <w:tc>
                <w:tcPr>
                  <w:tcW w:w="1676"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1481"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1170"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2377"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pPr>
                    <w:pStyle w:val="48"/>
                    <w:widowControl w:val="0"/>
                    <w:rPr>
                      <w:rStyle w:val="53"/>
                      <w:rFonts w:hint="default" w:ascii="Times New Roman" w:hAnsi="Times New Roman"/>
                      <w:color w:val="000000"/>
                      <w:kern w:val="2"/>
                      <w:sz w:val="21"/>
                      <w:lang w:val="en-US" w:eastAsia="zh-CN"/>
                    </w:rPr>
                  </w:pPr>
                  <w:r>
                    <w:rPr>
                      <w:rStyle w:val="53"/>
                      <w:rFonts w:hint="default" w:ascii="Times New Roman" w:hAnsi="Times New Roman"/>
                      <w:color w:val="000000"/>
                      <w:kern w:val="2"/>
                      <w:sz w:val="21"/>
                      <w:lang w:val="en-US" w:eastAsia="zh-CN"/>
                    </w:rPr>
                    <w:t>2023</w:t>
                  </w:r>
                  <w:r>
                    <w:rPr>
                      <w:rStyle w:val="53"/>
                      <w:rFonts w:hint="eastAsia" w:ascii="Times New Roman" w:hAnsi="Times New Roman"/>
                      <w:color w:val="000000"/>
                      <w:kern w:val="2"/>
                      <w:sz w:val="21"/>
                      <w:lang w:val="en-US" w:eastAsia="zh-CN"/>
                    </w:rPr>
                    <w:t>年12月</w:t>
                  </w:r>
                </w:p>
              </w:tc>
              <w:tc>
                <w:tcPr>
                  <w:tcW w:w="1676"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1481"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1170"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Ⅱ</w:t>
                  </w:r>
                </w:p>
              </w:tc>
              <w:tc>
                <w:tcPr>
                  <w:tcW w:w="2377" w:type="dxa"/>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ascii="Times New Roman" w:hAnsi="Times New Roman"/>
                      <w:color w:val="000000"/>
                      <w:kern w:val="2"/>
                      <w:sz w:val="21"/>
                      <w:lang w:val="en-US" w:eastAsia="zh-CN"/>
                    </w:rPr>
                    <w:t>Ⅲ</w:t>
                  </w:r>
                </w:p>
              </w:tc>
            </w:tr>
          </w:tbl>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根据上表可知，屈原湘江取水口断面和屈原自来水厂断面自</w:t>
            </w:r>
            <w:r>
              <w:rPr>
                <w:rFonts w:hint="default" w:ascii="Times New Roman" w:hAnsi="Times New Roman" w:eastAsia="宋体" w:cs="Times New Roman"/>
                <w:color w:val="000000"/>
                <w:kern w:val="0"/>
                <w:sz w:val="24"/>
                <w:szCs w:val="24"/>
                <w:lang w:val="en-US" w:eastAsia="zh-CN" w:bidi="ar"/>
              </w:rPr>
              <w:t>2023</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月</w:t>
            </w:r>
            <w:r>
              <w:rPr>
                <w:rFonts w:hint="default" w:ascii="Times New Roman" w:hAnsi="Times New Roman" w:eastAsia="宋体" w:cs="Times New Roman"/>
                <w:color w:val="000000"/>
                <w:kern w:val="0"/>
                <w:sz w:val="24"/>
                <w:szCs w:val="24"/>
                <w:lang w:val="en-US" w:eastAsia="zh-CN" w:bidi="ar"/>
              </w:rPr>
              <w:t>~2023</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12</w:t>
            </w:r>
            <w:r>
              <w:rPr>
                <w:rFonts w:hint="eastAsia" w:ascii="宋体" w:hAnsi="宋体" w:eastAsia="宋体" w:cs="宋体"/>
                <w:color w:val="000000"/>
                <w:kern w:val="0"/>
                <w:sz w:val="24"/>
                <w:szCs w:val="24"/>
                <w:lang w:val="en-US" w:eastAsia="zh-CN" w:bidi="ar"/>
              </w:rPr>
              <w:t>月水质均能满足《地表水环境质量标准》（</w:t>
            </w:r>
            <w:r>
              <w:rPr>
                <w:rFonts w:hint="default" w:ascii="Times New Roman" w:hAnsi="Times New Roman" w:eastAsia="宋体" w:cs="Times New Roman"/>
                <w:color w:val="000000"/>
                <w:kern w:val="0"/>
                <w:sz w:val="24"/>
                <w:szCs w:val="24"/>
                <w:lang w:val="en-US" w:eastAsia="zh-CN" w:bidi="ar"/>
              </w:rPr>
              <w:t>GB3838-2002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Ⅱ</w:t>
            </w:r>
            <w:r>
              <w:rPr>
                <w:rFonts w:hint="eastAsia" w:ascii="宋体" w:hAnsi="宋体" w:eastAsia="宋体" w:cs="宋体"/>
                <w:color w:val="000000"/>
                <w:kern w:val="0"/>
                <w:sz w:val="24"/>
                <w:szCs w:val="24"/>
                <w:lang w:val="en-US" w:eastAsia="zh-CN" w:bidi="ar"/>
              </w:rPr>
              <w:t>类标准值要求（除</w:t>
            </w:r>
            <w:r>
              <w:rPr>
                <w:rFonts w:hint="default" w:ascii="Times New Roman" w:hAnsi="Times New Roman" w:eastAsia="宋体" w:cs="Times New Roman"/>
                <w:color w:val="000000"/>
                <w:kern w:val="0"/>
                <w:sz w:val="24"/>
                <w:szCs w:val="24"/>
                <w:lang w:val="en-US" w:eastAsia="zh-CN" w:bidi="ar"/>
              </w:rPr>
              <w:t>2023</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月屈原自来水厂断面未开展监测），横岭湖断面部分月份水质总磷超标。超标主要是由农业生产过程使用的含磷化肥和农药通过地表径流进入水体，区域投肥养殖，养殖尾水未经充分处理直接排入水体，农村生活污水未经处理直接排放或城市生活污水处理设施效果不佳、工业废水污染等多方面原因形成。《湘阴县</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十四五</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生态环境保护专项规划（</w:t>
            </w:r>
            <w:r>
              <w:rPr>
                <w:rFonts w:hint="default" w:ascii="Times New Roman" w:hAnsi="Times New Roman" w:eastAsia="宋体" w:cs="Times New Roman"/>
                <w:color w:val="000000"/>
                <w:kern w:val="0"/>
                <w:sz w:val="24"/>
                <w:szCs w:val="24"/>
                <w:lang w:val="en-US" w:eastAsia="zh-CN" w:bidi="ar"/>
              </w:rPr>
              <w:t>2021-2025</w:t>
            </w:r>
            <w:r>
              <w:rPr>
                <w:rFonts w:hint="eastAsia" w:ascii="宋体" w:hAnsi="宋体" w:eastAsia="宋体" w:cs="宋体"/>
                <w:color w:val="000000"/>
                <w:kern w:val="0"/>
                <w:sz w:val="24"/>
                <w:szCs w:val="24"/>
                <w:lang w:val="en-US" w:eastAsia="zh-CN" w:bidi="ar"/>
              </w:rPr>
              <w:t>年）》中提出了洞庭湖总磷稳定达到</w:t>
            </w:r>
            <w:r>
              <w:rPr>
                <w:rFonts w:hint="default" w:ascii="Times New Roman" w:hAnsi="Times New Roman" w:eastAsia="宋体" w:cs="Times New Roman"/>
                <w:color w:val="000000"/>
                <w:kern w:val="0"/>
                <w:sz w:val="24"/>
                <w:szCs w:val="24"/>
                <w:lang w:val="en-US" w:eastAsia="zh-CN" w:bidi="ar"/>
              </w:rPr>
              <w:t>0.07mg/L</w:t>
            </w:r>
            <w:r>
              <w:rPr>
                <w:rFonts w:hint="eastAsia" w:ascii="宋体" w:hAnsi="宋体" w:eastAsia="宋体" w:cs="宋体"/>
                <w:color w:val="000000"/>
                <w:kern w:val="0"/>
                <w:sz w:val="24"/>
                <w:szCs w:val="24"/>
                <w:lang w:val="en-US" w:eastAsia="zh-CN" w:bidi="ar"/>
              </w:rPr>
              <w:t>的要求，以及持续推进重点湖泊等内湖的总氮、化学需氧量和氨氮等水体污染物治理要求；《洞庭湖总磷污染控制与削减攻坚行动计划（</w:t>
            </w:r>
            <w:r>
              <w:rPr>
                <w:rFonts w:hint="default" w:ascii="Times New Roman" w:hAnsi="Times New Roman" w:eastAsia="宋体" w:cs="Times New Roman"/>
                <w:color w:val="000000"/>
                <w:kern w:val="0"/>
                <w:sz w:val="24"/>
                <w:szCs w:val="24"/>
                <w:lang w:val="en-US" w:eastAsia="zh-CN" w:bidi="ar"/>
              </w:rPr>
              <w:t>2022—2025</w:t>
            </w:r>
            <w:r>
              <w:rPr>
                <w:rFonts w:hint="eastAsia" w:ascii="宋体" w:hAnsi="宋体" w:eastAsia="宋体" w:cs="宋体"/>
                <w:color w:val="000000"/>
                <w:kern w:val="0"/>
                <w:sz w:val="24"/>
                <w:szCs w:val="24"/>
                <w:lang w:val="en-US" w:eastAsia="zh-CN" w:bidi="ar"/>
              </w:rPr>
              <w:t>年）》也提出了</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到</w:t>
            </w:r>
            <w:r>
              <w:rPr>
                <w:rFonts w:hint="default" w:ascii="Times New Roman" w:hAnsi="Times New Roman" w:eastAsia="宋体" w:cs="Times New Roman"/>
                <w:color w:val="000000"/>
                <w:kern w:val="0"/>
                <w:sz w:val="24"/>
                <w:szCs w:val="24"/>
                <w:lang w:val="en-US" w:eastAsia="zh-CN" w:bidi="ar"/>
              </w:rPr>
              <w:t>2025</w:t>
            </w:r>
            <w:r>
              <w:rPr>
                <w:rFonts w:hint="eastAsia" w:ascii="宋体" w:hAnsi="宋体" w:eastAsia="宋体" w:cs="宋体"/>
                <w:color w:val="000000"/>
                <w:kern w:val="0"/>
                <w:sz w:val="24"/>
                <w:szCs w:val="24"/>
                <w:lang w:val="en-US" w:eastAsia="zh-CN" w:bidi="ar"/>
              </w:rPr>
              <w:t>年，洞庭湖湖体总磷浓度持续下降，稳定达到国家考核目标，力争</w:t>
            </w:r>
            <w:r>
              <w:rPr>
                <w:rFonts w:hint="default" w:ascii="Times New Roman" w:hAnsi="Times New Roman" w:eastAsia="宋体" w:cs="Times New Roman"/>
                <w:color w:val="000000"/>
                <w:kern w:val="0"/>
                <w:sz w:val="24"/>
                <w:szCs w:val="24"/>
                <w:lang w:val="en-US" w:eastAsia="zh-CN" w:bidi="ar"/>
              </w:rPr>
              <w:t>2/3</w:t>
            </w:r>
            <w:r>
              <w:rPr>
                <w:rFonts w:hint="eastAsia" w:ascii="宋体" w:hAnsi="宋体" w:eastAsia="宋体" w:cs="宋体"/>
                <w:color w:val="000000"/>
                <w:kern w:val="0"/>
                <w:sz w:val="24"/>
                <w:szCs w:val="24"/>
                <w:lang w:val="en-US" w:eastAsia="zh-CN" w:bidi="ar"/>
              </w:rPr>
              <w:t>以上国家考核断面水质达到</w:t>
            </w:r>
            <w:r>
              <w:rPr>
                <w:rFonts w:hint="default" w:ascii="Times New Roman" w:hAnsi="Times New Roman" w:eastAsia="宋体" w:cs="Times New Roman"/>
                <w:color w:val="000000"/>
                <w:kern w:val="0"/>
                <w:sz w:val="24"/>
                <w:szCs w:val="24"/>
                <w:lang w:val="en-US" w:eastAsia="zh-CN" w:bidi="ar"/>
              </w:rPr>
              <w:t>III</w:t>
            </w:r>
            <w:r>
              <w:rPr>
                <w:rFonts w:hint="eastAsia" w:ascii="宋体" w:hAnsi="宋体" w:eastAsia="宋体" w:cs="宋体"/>
                <w:color w:val="000000"/>
                <w:kern w:val="0"/>
                <w:sz w:val="24"/>
                <w:szCs w:val="24"/>
                <w:lang w:val="en-US" w:eastAsia="zh-CN" w:bidi="ar"/>
              </w:rPr>
              <w:t>类；入湖河流总磷浓度持续下降；湖区生态环境质量和稳定性持续提升</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的目标，并提出了狠抓农业农村污染防治、深化城镇生活污水收集、强化工业污染治理</w:t>
            </w:r>
            <w:r>
              <w:rPr>
                <w:rFonts w:hint="eastAsia" w:ascii="宋体" w:hAnsi="宋体" w:cs="宋体"/>
                <w:color w:val="000000"/>
                <w:kern w:val="0"/>
                <w:sz w:val="24"/>
                <w:szCs w:val="24"/>
                <w:lang w:val="en-US" w:eastAsia="zh-CN" w:bidi="ar"/>
              </w:rPr>
              <w:t>等</w:t>
            </w:r>
            <w:r>
              <w:rPr>
                <w:rFonts w:hint="eastAsia" w:ascii="宋体" w:hAnsi="宋体" w:eastAsia="宋体" w:cs="宋体"/>
                <w:color w:val="000000"/>
                <w:kern w:val="0"/>
                <w:sz w:val="24"/>
                <w:szCs w:val="24"/>
                <w:lang w:val="en-US" w:eastAsia="zh-CN" w:bidi="ar"/>
              </w:rPr>
              <w:t>方面的措施，在按照上述要求开展治理措施后，横岭湖水质会得到改善。</w:t>
            </w:r>
          </w:p>
          <w:p>
            <w:pPr>
              <w:ind w:firstLine="480"/>
            </w:pPr>
            <w:r>
              <w:rPr>
                <w:rFonts w:hint="eastAsia"/>
              </w:rPr>
              <w:t>3、声环境现状调查与评价</w:t>
            </w:r>
          </w:p>
          <w:p>
            <w:pPr>
              <w:ind w:firstLine="480"/>
            </w:pPr>
            <w:r>
              <w:rPr>
                <w:rFonts w:hint="eastAsia"/>
              </w:rPr>
              <w:t>根据《建设项目环境影响报告编制技术指南（污染影响类）（试行）》中“厂界外周边50m范围内存在声环境保护目标的建设项目，应监测保护</w:t>
            </w:r>
            <w:r>
              <w:rPr>
                <w:rFonts w:hint="eastAsia"/>
                <w:lang w:eastAsia="zh-CN"/>
              </w:rPr>
              <w:t>目标</w:t>
            </w:r>
            <w:r>
              <w:rPr>
                <w:rFonts w:hint="eastAsia"/>
              </w:rPr>
              <w:t>声环境并评价达标情况，各点位应监测昼夜间噪声，监测时间不少于1天”。</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本项目周边</w:t>
            </w:r>
            <w:r>
              <w:rPr>
                <w:rFonts w:hint="default" w:ascii="Times New Roman" w:hAnsi="Times New Roman" w:eastAsia="宋体" w:cs="Times New Roman"/>
                <w:color w:val="000000"/>
                <w:kern w:val="0"/>
                <w:sz w:val="24"/>
                <w:szCs w:val="24"/>
                <w:lang w:val="en-US" w:eastAsia="zh-CN" w:bidi="ar"/>
              </w:rPr>
              <w:t>50m</w:t>
            </w:r>
            <w:r>
              <w:rPr>
                <w:rFonts w:hint="eastAsia" w:ascii="宋体" w:hAnsi="宋体" w:eastAsia="宋体" w:cs="宋体"/>
                <w:color w:val="000000"/>
                <w:kern w:val="0"/>
                <w:sz w:val="24"/>
                <w:szCs w:val="24"/>
                <w:lang w:val="en-US" w:eastAsia="zh-CN" w:bidi="ar"/>
              </w:rPr>
              <w:t>范围内仅东、西、北均存在敏感点，距离本项目最近厂界距离为1</w:t>
            </w:r>
            <w:r>
              <w:rPr>
                <w:rFonts w:hint="default" w:ascii="Times New Roman" w:hAnsi="Times New Roman" w:eastAsia="宋体" w:cs="Times New Roman"/>
                <w:color w:val="000000"/>
                <w:kern w:val="0"/>
                <w:sz w:val="24"/>
                <w:szCs w:val="24"/>
                <w:lang w:val="en-US" w:eastAsia="zh-CN" w:bidi="ar"/>
              </w:rPr>
              <w:t>m</w:t>
            </w:r>
            <w:r>
              <w:rPr>
                <w:rFonts w:hint="eastAsia" w:ascii="宋体" w:hAnsi="宋体" w:eastAsia="宋体" w:cs="宋体"/>
                <w:color w:val="000000"/>
                <w:kern w:val="0"/>
                <w:sz w:val="24"/>
                <w:szCs w:val="24"/>
                <w:lang w:val="en-US" w:eastAsia="zh-CN" w:bidi="ar"/>
              </w:rPr>
              <w:t>。因此，本次需要监测其声环境质量现状，本次委托</w:t>
            </w:r>
            <w:r>
              <w:rPr>
                <w:rFonts w:hint="eastAsia" w:ascii="Times New Roman" w:hAnsi="Times New Roman" w:cs="Times New Roman"/>
                <w:color w:val="auto"/>
                <w:sz w:val="24"/>
                <w:szCs w:val="24"/>
                <w:highlight w:val="none"/>
                <w:u w:val="none"/>
                <w:lang w:val="en-US" w:eastAsia="zh-CN"/>
              </w:rPr>
              <w:t>精威检测（湖南）有限公司</w:t>
            </w:r>
            <w:r>
              <w:rPr>
                <w:rFonts w:hint="eastAsia" w:ascii="宋体" w:hAnsi="宋体" w:eastAsia="宋体" w:cs="宋体"/>
                <w:color w:val="000000"/>
                <w:kern w:val="0"/>
                <w:sz w:val="24"/>
                <w:szCs w:val="24"/>
                <w:lang w:val="en-US" w:eastAsia="zh-CN" w:bidi="ar"/>
              </w:rPr>
              <w:t>于</w:t>
            </w:r>
            <w:r>
              <w:rPr>
                <w:rFonts w:hint="default" w:ascii="Times New Roman" w:hAnsi="Times New Roman" w:eastAsia="宋体" w:cs="Times New Roman"/>
                <w:color w:val="000000"/>
                <w:kern w:val="0"/>
                <w:sz w:val="24"/>
                <w:szCs w:val="24"/>
                <w:lang w:val="en-US" w:eastAsia="zh-CN" w:bidi="ar"/>
              </w:rPr>
              <w:t>202</w:t>
            </w:r>
            <w:r>
              <w:rPr>
                <w:rFonts w:hint="eastAsia"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月</w:t>
            </w:r>
            <w:r>
              <w:rPr>
                <w:rFonts w:hint="default" w:ascii="Times New Roman" w:hAnsi="Times New Roman" w:eastAsia="宋体" w:cs="Times New Roman"/>
                <w:color w:val="000000"/>
                <w:kern w:val="0"/>
                <w:sz w:val="24"/>
                <w:szCs w:val="24"/>
                <w:lang w:val="en-US" w:eastAsia="zh-CN" w:bidi="ar"/>
              </w:rPr>
              <w:t>17</w:t>
            </w:r>
            <w:r>
              <w:rPr>
                <w:rFonts w:hint="eastAsia" w:ascii="宋体" w:hAnsi="宋体" w:eastAsia="宋体" w:cs="宋体"/>
                <w:color w:val="000000"/>
                <w:kern w:val="0"/>
                <w:sz w:val="24"/>
                <w:szCs w:val="24"/>
                <w:lang w:val="en-US" w:eastAsia="zh-CN" w:bidi="ar"/>
              </w:rPr>
              <w:t>日进行现场监测。</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）监测点位：</w:t>
            </w:r>
            <w:r>
              <w:rPr>
                <w:rFonts w:hint="default" w:ascii="Times New Roman" w:hAnsi="Times New Roman" w:eastAsia="宋体" w:cs="Times New Roman"/>
                <w:color w:val="000000"/>
                <w:kern w:val="0"/>
                <w:sz w:val="24"/>
                <w:szCs w:val="24"/>
                <w:lang w:val="en-US" w:eastAsia="zh-CN" w:bidi="ar"/>
              </w:rPr>
              <w:t>N1</w:t>
            </w:r>
            <w:r>
              <w:rPr>
                <w:rFonts w:hint="eastAsia" w:ascii="宋体" w:hAnsi="宋体" w:eastAsia="宋体" w:cs="宋体"/>
                <w:color w:val="000000"/>
                <w:kern w:val="0"/>
                <w:sz w:val="24"/>
                <w:szCs w:val="24"/>
                <w:lang w:val="en-US" w:eastAsia="zh-CN" w:bidi="ar"/>
              </w:rPr>
              <w:t>：项目西侧居民点；</w:t>
            </w:r>
            <w:r>
              <w:rPr>
                <w:rFonts w:hint="default" w:ascii="Times New Roman" w:hAnsi="Times New Roman" w:eastAsia="宋体" w:cs="Times New Roman"/>
                <w:color w:val="000000"/>
                <w:kern w:val="0"/>
                <w:sz w:val="24"/>
                <w:szCs w:val="24"/>
                <w:lang w:val="en-US" w:eastAsia="zh-CN" w:bidi="ar"/>
              </w:rPr>
              <w:t>N2</w:t>
            </w:r>
            <w:r>
              <w:rPr>
                <w:rFonts w:hint="eastAsia" w:ascii="宋体" w:hAnsi="宋体" w:eastAsia="宋体" w:cs="宋体"/>
                <w:color w:val="000000"/>
                <w:kern w:val="0"/>
                <w:sz w:val="24"/>
                <w:szCs w:val="24"/>
                <w:lang w:val="en-US" w:eastAsia="zh-CN" w:bidi="ar"/>
              </w:rPr>
              <w:t>：项目北侧居民点；</w:t>
            </w:r>
            <w:r>
              <w:rPr>
                <w:rFonts w:hint="default" w:ascii="Times New Roman" w:hAnsi="Times New Roman" w:eastAsia="宋体" w:cs="Times New Roman"/>
                <w:color w:val="000000"/>
                <w:kern w:val="0"/>
                <w:sz w:val="24"/>
                <w:szCs w:val="24"/>
                <w:lang w:val="en-US" w:eastAsia="zh-CN" w:bidi="ar"/>
              </w:rPr>
              <w:t>N</w:t>
            </w:r>
            <w:r>
              <w:rPr>
                <w:rFonts w:hint="eastAsia"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：项目</w:t>
            </w:r>
            <w:r>
              <w:rPr>
                <w:rFonts w:hint="eastAsia" w:ascii="宋体" w:hAnsi="宋体" w:cs="宋体"/>
                <w:color w:val="000000"/>
                <w:kern w:val="0"/>
                <w:sz w:val="24"/>
                <w:szCs w:val="24"/>
                <w:lang w:val="en-US" w:eastAsia="zh-CN" w:bidi="ar"/>
              </w:rPr>
              <w:t>东</w:t>
            </w:r>
            <w:r>
              <w:rPr>
                <w:rFonts w:hint="eastAsia" w:ascii="宋体" w:hAnsi="宋体" w:eastAsia="宋体" w:cs="宋体"/>
                <w:color w:val="000000"/>
                <w:kern w:val="0"/>
                <w:sz w:val="24"/>
                <w:szCs w:val="24"/>
                <w:lang w:val="en-US" w:eastAsia="zh-CN" w:bidi="ar"/>
              </w:rPr>
              <w:t>侧居民点</w:t>
            </w:r>
            <w:r>
              <w:rPr>
                <w:rFonts w:hint="eastAsia" w:ascii="宋体" w:hAnsi="宋体" w:cs="宋体"/>
                <w:color w:val="000000"/>
                <w:kern w:val="0"/>
                <w:sz w:val="24"/>
                <w:szCs w:val="24"/>
                <w:lang w:val="en-US" w:eastAsia="zh-CN" w:bidi="ar"/>
              </w:rPr>
              <w:t>；</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）监测因子：</w:t>
            </w:r>
            <w:r>
              <w:rPr>
                <w:rFonts w:hint="default" w:ascii="Times New Roman" w:hAnsi="Times New Roman" w:eastAsia="宋体" w:cs="Times New Roman"/>
                <w:color w:val="000000"/>
                <w:kern w:val="0"/>
                <w:sz w:val="24"/>
                <w:szCs w:val="24"/>
                <w:lang w:val="en-US" w:eastAsia="zh-CN" w:bidi="ar"/>
              </w:rPr>
              <w:t>LeqA</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）监测频次：每日监测昼间、夜间声环境质量现状，连续监测1日；</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）监测结果：</w:t>
            </w:r>
          </w:p>
          <w:p>
            <w:pPr>
              <w:pStyle w:val="7"/>
              <w:rPr>
                <w:rFonts w:hint="eastAsia"/>
                <w:kern w:val="0"/>
                <w:sz w:val="21"/>
                <w:lang w:val="en-US" w:eastAsia="zh-CN"/>
              </w:rPr>
            </w:pPr>
            <w:r>
              <w:rPr>
                <w:rFonts w:hint="eastAsia"/>
                <w:kern w:val="0"/>
                <w:sz w:val="21"/>
                <w:lang w:val="en-US" w:eastAsia="zh-CN"/>
              </w:rPr>
              <w:t xml:space="preserve">表 </w:t>
            </w:r>
            <w:r>
              <w:rPr>
                <w:rFonts w:hint="default"/>
                <w:kern w:val="0"/>
                <w:sz w:val="21"/>
                <w:lang w:val="en-US" w:eastAsia="zh-CN"/>
              </w:rPr>
              <w:t xml:space="preserve">3-6 </w:t>
            </w:r>
            <w:r>
              <w:rPr>
                <w:rFonts w:hint="eastAsia"/>
                <w:kern w:val="0"/>
                <w:sz w:val="21"/>
                <w:lang w:val="en-US" w:eastAsia="zh-CN"/>
              </w:rPr>
              <w:t>噪声监测结果</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2224"/>
              <w:gridCol w:w="1674"/>
              <w:gridCol w:w="1674"/>
              <w:gridCol w:w="1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restart"/>
                  <w:vAlign w:val="center"/>
                </w:tcPr>
                <w:p>
                  <w:pPr>
                    <w:pStyle w:val="48"/>
                    <w:widowControl w:val="0"/>
                    <w:rPr>
                      <w:rStyle w:val="53"/>
                      <w:rFonts w:hint="default" w:ascii="Times New Roman" w:hAnsi="Times New Roman"/>
                      <w:b/>
                      <w:bCs/>
                      <w:color w:val="000000"/>
                      <w:kern w:val="2"/>
                      <w:sz w:val="21"/>
                      <w:lang w:val="en-US" w:eastAsia="zh-CN"/>
                    </w:rPr>
                  </w:pPr>
                  <w:r>
                    <w:rPr>
                      <w:rStyle w:val="53"/>
                      <w:rFonts w:hint="eastAsia"/>
                      <w:b/>
                      <w:bCs/>
                      <w:color w:val="000000"/>
                      <w:kern w:val="2"/>
                      <w:sz w:val="21"/>
                      <w:lang w:val="en-US" w:eastAsia="zh-CN"/>
                    </w:rPr>
                    <w:t>采样时间</w:t>
                  </w:r>
                </w:p>
              </w:tc>
              <w:tc>
                <w:tcPr>
                  <w:tcW w:w="1327" w:type="pct"/>
                  <w:vMerge w:val="restart"/>
                  <w:vAlign w:val="center"/>
                </w:tcPr>
                <w:p>
                  <w:pPr>
                    <w:pStyle w:val="48"/>
                    <w:widowControl w:val="0"/>
                    <w:rPr>
                      <w:rStyle w:val="53"/>
                      <w:rFonts w:hint="default" w:ascii="Times New Roman" w:hAnsi="Times New Roman"/>
                      <w:b/>
                      <w:bCs/>
                      <w:color w:val="000000"/>
                      <w:kern w:val="2"/>
                      <w:sz w:val="21"/>
                      <w:lang w:val="en-US" w:eastAsia="zh-CN"/>
                    </w:rPr>
                  </w:pPr>
                  <w:r>
                    <w:rPr>
                      <w:rStyle w:val="53"/>
                      <w:rFonts w:hint="eastAsia"/>
                      <w:b/>
                      <w:bCs/>
                      <w:color w:val="000000"/>
                      <w:kern w:val="2"/>
                      <w:sz w:val="21"/>
                      <w:lang w:val="en-US" w:eastAsia="zh-CN"/>
                    </w:rPr>
                    <w:t>采样点位</w:t>
                  </w:r>
                </w:p>
              </w:tc>
              <w:tc>
                <w:tcPr>
                  <w:tcW w:w="3000" w:type="pct"/>
                  <w:gridSpan w:val="3"/>
                  <w:vAlign w:val="center"/>
                </w:tcPr>
                <w:p>
                  <w:pPr>
                    <w:pStyle w:val="48"/>
                    <w:widowControl w:val="0"/>
                    <w:rPr>
                      <w:rStyle w:val="53"/>
                      <w:rFonts w:hint="eastAsia"/>
                      <w:b/>
                      <w:bCs/>
                      <w:color w:val="000000"/>
                      <w:kern w:val="2"/>
                      <w:sz w:val="21"/>
                      <w:lang w:val="en-US" w:eastAsia="zh-CN"/>
                    </w:rPr>
                  </w:pPr>
                  <w:r>
                    <w:rPr>
                      <w:rStyle w:val="53"/>
                      <w:rFonts w:hint="eastAsia"/>
                      <w:b/>
                      <w:bCs/>
                      <w:color w:val="000000"/>
                      <w:kern w:val="2"/>
                      <w:sz w:val="21"/>
                      <w:lang w:val="en-US" w:eastAsia="zh-CN"/>
                    </w:rPr>
                    <w:t>检测结果dB(A)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2" w:type="pct"/>
                  <w:vMerge w:val="continue"/>
                  <w:vAlign w:val="center"/>
                </w:tcPr>
                <w:p>
                  <w:pPr>
                    <w:pStyle w:val="48"/>
                    <w:widowControl w:val="0"/>
                    <w:rPr>
                      <w:rStyle w:val="53"/>
                      <w:rFonts w:hint="default" w:ascii="Times New Roman" w:hAnsi="Times New Roman"/>
                      <w:b/>
                      <w:bCs/>
                      <w:color w:val="000000"/>
                      <w:kern w:val="2"/>
                      <w:sz w:val="21"/>
                      <w:lang w:val="en-US" w:eastAsia="zh-CN"/>
                    </w:rPr>
                  </w:pPr>
                </w:p>
              </w:tc>
              <w:tc>
                <w:tcPr>
                  <w:tcW w:w="1327" w:type="pct"/>
                  <w:vMerge w:val="continue"/>
                  <w:vAlign w:val="center"/>
                </w:tcPr>
                <w:p>
                  <w:pPr>
                    <w:pStyle w:val="48"/>
                    <w:widowControl w:val="0"/>
                    <w:rPr>
                      <w:rStyle w:val="53"/>
                      <w:rFonts w:hint="default" w:ascii="Times New Roman" w:hAnsi="Times New Roman"/>
                      <w:b/>
                      <w:bCs/>
                      <w:color w:val="000000"/>
                      <w:kern w:val="2"/>
                      <w:sz w:val="21"/>
                      <w:lang w:val="en-US" w:eastAsia="zh-CN"/>
                    </w:rPr>
                  </w:pPr>
                </w:p>
              </w:tc>
              <w:tc>
                <w:tcPr>
                  <w:tcW w:w="999" w:type="pct"/>
                  <w:vAlign w:val="center"/>
                </w:tcPr>
                <w:p>
                  <w:pPr>
                    <w:pStyle w:val="48"/>
                    <w:widowControl w:val="0"/>
                    <w:rPr>
                      <w:rStyle w:val="53"/>
                      <w:rFonts w:hint="default" w:ascii="Times New Roman" w:hAnsi="Times New Roman"/>
                      <w:b/>
                      <w:bCs/>
                      <w:color w:val="000000"/>
                      <w:kern w:val="2"/>
                      <w:sz w:val="21"/>
                      <w:lang w:val="en-US" w:eastAsia="zh-CN"/>
                    </w:rPr>
                  </w:pPr>
                  <w:r>
                    <w:rPr>
                      <w:rStyle w:val="53"/>
                      <w:rFonts w:hint="eastAsia"/>
                      <w:b/>
                      <w:bCs/>
                      <w:color w:val="000000"/>
                      <w:kern w:val="2"/>
                      <w:sz w:val="21"/>
                      <w:lang w:val="en-US" w:eastAsia="zh-CN"/>
                    </w:rPr>
                    <w:t>昼间</w:t>
                  </w:r>
                </w:p>
              </w:tc>
              <w:tc>
                <w:tcPr>
                  <w:tcW w:w="999" w:type="pct"/>
                  <w:vAlign w:val="center"/>
                </w:tcPr>
                <w:p>
                  <w:pPr>
                    <w:pStyle w:val="48"/>
                    <w:widowControl w:val="0"/>
                    <w:rPr>
                      <w:rStyle w:val="53"/>
                      <w:rFonts w:hint="default" w:ascii="Times New Roman" w:hAnsi="Times New Roman"/>
                      <w:b/>
                      <w:bCs/>
                      <w:color w:val="000000"/>
                      <w:kern w:val="2"/>
                      <w:sz w:val="21"/>
                      <w:lang w:val="en-US" w:eastAsia="zh-CN"/>
                    </w:rPr>
                  </w:pPr>
                  <w:r>
                    <w:rPr>
                      <w:rStyle w:val="53"/>
                      <w:rFonts w:hint="eastAsia"/>
                      <w:b/>
                      <w:bCs/>
                      <w:color w:val="000000"/>
                      <w:kern w:val="2"/>
                      <w:sz w:val="21"/>
                      <w:lang w:val="en-US" w:eastAsia="zh-CN"/>
                    </w:rPr>
                    <w:t>夜间</w:t>
                  </w:r>
                </w:p>
              </w:tc>
              <w:tc>
                <w:tcPr>
                  <w:tcW w:w="1002" w:type="pct"/>
                  <w:vAlign w:val="center"/>
                </w:tcPr>
                <w:p>
                  <w:pPr>
                    <w:pStyle w:val="48"/>
                    <w:widowControl w:val="0"/>
                    <w:rPr>
                      <w:rStyle w:val="53"/>
                      <w:rFonts w:hint="default" w:ascii="Times New Roman" w:hAnsi="Times New Roman"/>
                      <w:b/>
                      <w:bCs/>
                      <w:color w:val="000000"/>
                      <w:kern w:val="2"/>
                      <w:sz w:val="21"/>
                      <w:lang w:val="en-US" w:eastAsia="zh-CN"/>
                    </w:rPr>
                  </w:pPr>
                  <w:r>
                    <w:rPr>
                      <w:rStyle w:val="53"/>
                      <w:rFonts w:hint="eastAsia"/>
                      <w:b/>
                      <w:bCs/>
                      <w:color w:val="000000"/>
                      <w:kern w:val="2"/>
                      <w:sz w:val="21"/>
                      <w:lang w:val="en-US" w:eastAsia="zh-CN"/>
                    </w:rPr>
                    <w:t>夜间突发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2" w:type="pct"/>
                  <w:vMerge w:val="restart"/>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color w:val="000000"/>
                      <w:kern w:val="2"/>
                      <w:sz w:val="21"/>
                      <w:lang w:val="en-US" w:eastAsia="zh-CN"/>
                    </w:rPr>
                    <w:t>1月17日</w:t>
                  </w:r>
                </w:p>
              </w:tc>
              <w:tc>
                <w:tcPr>
                  <w:tcW w:w="1327" w:type="pct"/>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color w:val="000000"/>
                      <w:kern w:val="2"/>
                      <w:sz w:val="21"/>
                      <w:lang w:val="en-US" w:eastAsia="zh-CN"/>
                    </w:rPr>
                    <w:t>N1地块西侧外1m</w:t>
                  </w:r>
                </w:p>
              </w:tc>
              <w:tc>
                <w:tcPr>
                  <w:tcW w:w="999" w:type="pct"/>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color w:val="000000"/>
                      <w:kern w:val="2"/>
                      <w:sz w:val="21"/>
                      <w:lang w:val="en-US" w:eastAsia="zh-CN"/>
                    </w:rPr>
                    <w:t>58</w:t>
                  </w:r>
                </w:p>
              </w:tc>
              <w:tc>
                <w:tcPr>
                  <w:tcW w:w="999" w:type="pct"/>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color w:val="000000"/>
                      <w:kern w:val="2"/>
                      <w:sz w:val="21"/>
                      <w:lang w:val="en-US" w:eastAsia="zh-CN"/>
                    </w:rPr>
                    <w:t>49</w:t>
                  </w:r>
                </w:p>
              </w:tc>
              <w:tc>
                <w:tcPr>
                  <w:tcW w:w="1002" w:type="pct"/>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color w:val="000000"/>
                      <w:kern w:val="2"/>
                      <w:sz w:val="21"/>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continue"/>
                  <w:vAlign w:val="center"/>
                </w:tcPr>
                <w:p>
                  <w:pPr>
                    <w:pStyle w:val="48"/>
                    <w:widowControl w:val="0"/>
                    <w:rPr>
                      <w:rStyle w:val="53"/>
                      <w:rFonts w:hint="default" w:ascii="Times New Roman" w:hAnsi="Times New Roman"/>
                      <w:color w:val="000000"/>
                      <w:kern w:val="2"/>
                      <w:sz w:val="21"/>
                      <w:lang w:val="en-US" w:eastAsia="zh-CN"/>
                    </w:rPr>
                  </w:pPr>
                </w:p>
              </w:tc>
              <w:tc>
                <w:tcPr>
                  <w:tcW w:w="1327" w:type="pct"/>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color w:val="000000"/>
                      <w:kern w:val="2"/>
                      <w:sz w:val="21"/>
                      <w:lang w:val="en-US" w:eastAsia="zh-CN"/>
                    </w:rPr>
                    <w:t>N2地块北侧外1m</w:t>
                  </w:r>
                </w:p>
              </w:tc>
              <w:tc>
                <w:tcPr>
                  <w:tcW w:w="999" w:type="pct"/>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color w:val="000000"/>
                      <w:kern w:val="2"/>
                      <w:sz w:val="21"/>
                      <w:lang w:val="en-US" w:eastAsia="zh-CN"/>
                    </w:rPr>
                    <w:t>57</w:t>
                  </w:r>
                </w:p>
              </w:tc>
              <w:tc>
                <w:tcPr>
                  <w:tcW w:w="999" w:type="pct"/>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color w:val="000000"/>
                      <w:kern w:val="2"/>
                      <w:sz w:val="21"/>
                      <w:lang w:val="en-US" w:eastAsia="zh-CN"/>
                    </w:rPr>
                    <w:t>48</w:t>
                  </w:r>
                </w:p>
              </w:tc>
              <w:tc>
                <w:tcPr>
                  <w:tcW w:w="1002" w:type="pct"/>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color w:val="000000"/>
                      <w:kern w:val="2"/>
                      <w:sz w:val="21"/>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Merge w:val="continue"/>
                  <w:vAlign w:val="center"/>
                </w:tcPr>
                <w:p>
                  <w:pPr>
                    <w:pStyle w:val="48"/>
                    <w:widowControl w:val="0"/>
                    <w:rPr>
                      <w:rStyle w:val="53"/>
                      <w:rFonts w:hint="default" w:ascii="Times New Roman" w:hAnsi="Times New Roman"/>
                      <w:color w:val="000000"/>
                      <w:kern w:val="2"/>
                      <w:sz w:val="21"/>
                      <w:lang w:val="en-US" w:eastAsia="zh-CN"/>
                    </w:rPr>
                  </w:pPr>
                </w:p>
              </w:tc>
              <w:tc>
                <w:tcPr>
                  <w:tcW w:w="1327" w:type="pct"/>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color w:val="000000"/>
                      <w:kern w:val="2"/>
                      <w:sz w:val="21"/>
                      <w:lang w:val="en-US" w:eastAsia="zh-CN"/>
                    </w:rPr>
                    <w:t>N3东侧居民点1m</w:t>
                  </w:r>
                </w:p>
              </w:tc>
              <w:tc>
                <w:tcPr>
                  <w:tcW w:w="999" w:type="pct"/>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color w:val="000000"/>
                      <w:kern w:val="2"/>
                      <w:sz w:val="21"/>
                      <w:lang w:val="en-US" w:eastAsia="zh-CN"/>
                    </w:rPr>
                    <w:t>56</w:t>
                  </w:r>
                </w:p>
              </w:tc>
              <w:tc>
                <w:tcPr>
                  <w:tcW w:w="999" w:type="pct"/>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color w:val="000000"/>
                      <w:kern w:val="2"/>
                      <w:sz w:val="21"/>
                      <w:lang w:val="en-US" w:eastAsia="zh-CN"/>
                    </w:rPr>
                    <w:t>47</w:t>
                  </w:r>
                </w:p>
              </w:tc>
              <w:tc>
                <w:tcPr>
                  <w:tcW w:w="1002" w:type="pct"/>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color w:val="000000"/>
                      <w:kern w:val="2"/>
                      <w:sz w:val="21"/>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99" w:type="pct"/>
                  <w:gridSpan w:val="2"/>
                  <w:vAlign w:val="center"/>
                </w:tcPr>
                <w:p>
                  <w:pPr>
                    <w:pStyle w:val="48"/>
                    <w:widowControl w:val="0"/>
                    <w:rPr>
                      <w:rStyle w:val="53"/>
                      <w:rFonts w:hint="default"/>
                      <w:color w:val="000000"/>
                      <w:kern w:val="2"/>
                      <w:sz w:val="21"/>
                      <w:lang w:val="en-US" w:eastAsia="zh-CN"/>
                    </w:rPr>
                  </w:pPr>
                  <w:r>
                    <w:rPr>
                      <w:rStyle w:val="53"/>
                      <w:rFonts w:hint="eastAsia"/>
                      <w:color w:val="000000"/>
                      <w:kern w:val="2"/>
                      <w:sz w:val="21"/>
                      <w:lang w:val="en-US" w:eastAsia="zh-CN"/>
                    </w:rPr>
                    <w:t>参考限值</w:t>
                  </w:r>
                </w:p>
              </w:tc>
              <w:tc>
                <w:tcPr>
                  <w:tcW w:w="999" w:type="pct"/>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color w:val="000000"/>
                      <w:kern w:val="2"/>
                      <w:sz w:val="21"/>
                      <w:lang w:val="en-US" w:eastAsia="zh-CN"/>
                    </w:rPr>
                    <w:t>60</w:t>
                  </w:r>
                </w:p>
              </w:tc>
              <w:tc>
                <w:tcPr>
                  <w:tcW w:w="999" w:type="pct"/>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color w:val="000000"/>
                      <w:kern w:val="2"/>
                      <w:sz w:val="21"/>
                      <w:lang w:val="en-US" w:eastAsia="zh-CN"/>
                    </w:rPr>
                    <w:t>50</w:t>
                  </w:r>
                </w:p>
              </w:tc>
              <w:tc>
                <w:tcPr>
                  <w:tcW w:w="1002" w:type="pct"/>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color w:val="000000"/>
                      <w:kern w:val="2"/>
                      <w:sz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9" w:type="pct"/>
                  <w:gridSpan w:val="2"/>
                  <w:vAlign w:val="center"/>
                </w:tcPr>
                <w:p>
                  <w:pPr>
                    <w:pStyle w:val="48"/>
                    <w:widowControl w:val="0"/>
                    <w:rPr>
                      <w:rStyle w:val="53"/>
                      <w:rFonts w:hint="default"/>
                      <w:color w:val="000000"/>
                      <w:kern w:val="2"/>
                      <w:sz w:val="21"/>
                      <w:lang w:val="en-US" w:eastAsia="zh-CN"/>
                    </w:rPr>
                  </w:pPr>
                  <w:r>
                    <w:rPr>
                      <w:rStyle w:val="53"/>
                      <w:rFonts w:hint="eastAsia"/>
                      <w:color w:val="000000"/>
                      <w:kern w:val="2"/>
                      <w:sz w:val="21"/>
                      <w:lang w:val="en-US" w:eastAsia="zh-CN"/>
                    </w:rPr>
                    <w:t>是否达标</w:t>
                  </w:r>
                </w:p>
              </w:tc>
              <w:tc>
                <w:tcPr>
                  <w:tcW w:w="999" w:type="pct"/>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color w:val="000000"/>
                      <w:kern w:val="2"/>
                      <w:sz w:val="21"/>
                      <w:lang w:val="en-US" w:eastAsia="zh-CN"/>
                    </w:rPr>
                    <w:t>达标</w:t>
                  </w:r>
                </w:p>
              </w:tc>
              <w:tc>
                <w:tcPr>
                  <w:tcW w:w="999" w:type="pct"/>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color w:val="000000"/>
                      <w:kern w:val="2"/>
                      <w:sz w:val="21"/>
                      <w:lang w:val="en-US" w:eastAsia="zh-CN"/>
                    </w:rPr>
                    <w:t>达标</w:t>
                  </w:r>
                </w:p>
              </w:tc>
              <w:tc>
                <w:tcPr>
                  <w:tcW w:w="1002" w:type="pct"/>
                  <w:vAlign w:val="center"/>
                </w:tcPr>
                <w:p>
                  <w:pPr>
                    <w:pStyle w:val="48"/>
                    <w:widowControl w:val="0"/>
                    <w:rPr>
                      <w:rStyle w:val="53"/>
                      <w:rFonts w:hint="default" w:ascii="Times New Roman" w:hAnsi="Times New Roman"/>
                      <w:color w:val="000000"/>
                      <w:kern w:val="2"/>
                      <w:sz w:val="21"/>
                      <w:lang w:val="en-US" w:eastAsia="zh-CN"/>
                    </w:rPr>
                  </w:pPr>
                  <w:r>
                    <w:rPr>
                      <w:rStyle w:val="53"/>
                      <w:rFonts w:hint="eastAsia"/>
                      <w:color w:val="000000"/>
                      <w:kern w:val="2"/>
                      <w:sz w:val="21"/>
                      <w:lang w:val="en-US" w:eastAsia="zh-CN"/>
                    </w:rPr>
                    <w:t>达标</w:t>
                  </w:r>
                </w:p>
              </w:tc>
            </w:tr>
          </w:tbl>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根据上表的监测结果，本项目</w:t>
            </w:r>
            <w:r>
              <w:rPr>
                <w:rFonts w:hint="eastAsia" w:ascii="宋体" w:hAnsi="宋体" w:cs="宋体"/>
                <w:color w:val="000000"/>
                <w:kern w:val="0"/>
                <w:sz w:val="24"/>
                <w:szCs w:val="24"/>
                <w:lang w:val="en-US" w:eastAsia="zh-CN" w:bidi="ar"/>
              </w:rPr>
              <w:t>周边敏感点</w:t>
            </w:r>
            <w:r>
              <w:rPr>
                <w:rFonts w:hint="eastAsia" w:ascii="宋体" w:hAnsi="宋体" w:eastAsia="宋体" w:cs="宋体"/>
                <w:color w:val="000000"/>
                <w:kern w:val="0"/>
                <w:sz w:val="24"/>
                <w:szCs w:val="24"/>
                <w:lang w:val="en-US" w:eastAsia="zh-CN" w:bidi="ar"/>
              </w:rPr>
              <w:t>居民</w:t>
            </w:r>
            <w:r>
              <w:rPr>
                <w:rFonts w:hint="eastAsia" w:ascii="宋体" w:hAnsi="宋体" w:cs="宋体"/>
                <w:color w:val="000000"/>
                <w:kern w:val="0"/>
                <w:sz w:val="24"/>
                <w:szCs w:val="24"/>
                <w:lang w:val="en-US" w:eastAsia="zh-CN" w:bidi="ar"/>
              </w:rPr>
              <w:t>房处</w:t>
            </w:r>
            <w:r>
              <w:rPr>
                <w:rFonts w:hint="eastAsia" w:ascii="宋体" w:hAnsi="宋体" w:eastAsia="宋体" w:cs="宋体"/>
                <w:color w:val="000000"/>
                <w:kern w:val="0"/>
                <w:sz w:val="24"/>
                <w:szCs w:val="24"/>
                <w:lang w:val="en-US" w:eastAsia="zh-CN" w:bidi="ar"/>
              </w:rPr>
              <w:t>噪声满足《声环境质量标准》（</w:t>
            </w:r>
            <w:r>
              <w:rPr>
                <w:rFonts w:hint="default" w:ascii="Times New Roman" w:hAnsi="Times New Roman" w:eastAsia="宋体" w:cs="Times New Roman"/>
                <w:color w:val="000000"/>
                <w:kern w:val="0"/>
                <w:sz w:val="24"/>
                <w:szCs w:val="24"/>
                <w:lang w:val="en-US" w:eastAsia="zh-CN" w:bidi="ar"/>
              </w:rPr>
              <w:t>GB3096-2008</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类标准要求。</w:t>
            </w:r>
          </w:p>
          <w:p>
            <w:pPr>
              <w:spacing w:line="360" w:lineRule="auto"/>
              <w:ind w:firstLine="480" w:firstLineChars="200"/>
              <w:rPr>
                <w:rFonts w:hint="eastAsia"/>
                <w:b w:val="0"/>
                <w:bCs w:val="0"/>
                <w:color w:val="auto"/>
                <w:sz w:val="24"/>
                <w:szCs w:val="22"/>
                <w:u w:val="none"/>
              </w:rPr>
            </w:pPr>
            <w:r>
              <w:rPr>
                <w:rFonts w:hint="eastAsia"/>
                <w:b w:val="0"/>
                <w:bCs w:val="0"/>
                <w:lang w:val="en-US" w:eastAsia="zh-CN"/>
              </w:rPr>
              <w:t>4、</w:t>
            </w:r>
            <w:r>
              <w:rPr>
                <w:rFonts w:hint="eastAsia"/>
                <w:b w:val="0"/>
                <w:bCs w:val="0"/>
                <w:color w:val="auto"/>
                <w:sz w:val="24"/>
                <w:szCs w:val="22"/>
                <w:u w:val="none"/>
              </w:rPr>
              <w:t>地下水、土壤环境</w:t>
            </w:r>
          </w:p>
          <w:p>
            <w:pPr>
              <w:ind w:firstLine="480"/>
              <w:rPr>
                <w:rFonts w:hint="eastAsia" w:eastAsia="宋体"/>
                <w:lang w:val="en-US" w:eastAsia="zh-CN"/>
              </w:rPr>
            </w:pPr>
            <w:r>
              <w:rPr>
                <w:rFonts w:hint="eastAsia"/>
                <w:bCs/>
                <w:color w:val="auto"/>
                <w:sz w:val="24"/>
                <w:u w:val="none"/>
              </w:rPr>
              <w:t>根据《建设项目环境影响报告表编制技术指南（污染影响类）（试行）》中具体编制要求“原则上不开展环境质量现状调查。建设项目存在地下水、土壤环境污染途径的，应结合污染源、保护目标分布情况开展现状调查以留作背景值。”结合现场调查及工艺分析，</w:t>
            </w:r>
            <w:r>
              <w:rPr>
                <w:rFonts w:hint="eastAsia"/>
                <w:bCs/>
                <w:color w:val="auto"/>
                <w:sz w:val="24"/>
                <w:u w:val="none"/>
                <w:lang w:val="en-US" w:eastAsia="zh-CN"/>
              </w:rPr>
              <w:t>本项目建设完成后</w:t>
            </w:r>
            <w:r>
              <w:rPr>
                <w:rFonts w:hint="eastAsia"/>
                <w:bCs/>
                <w:color w:val="auto"/>
                <w:sz w:val="24"/>
                <w:u w:val="none"/>
              </w:rPr>
              <w:t>，</w:t>
            </w:r>
            <w:r>
              <w:rPr>
                <w:rFonts w:hint="eastAsia"/>
                <w:bCs/>
                <w:color w:val="auto"/>
                <w:sz w:val="24"/>
                <w:u w:val="none"/>
                <w:lang w:val="en-US" w:eastAsia="zh-CN"/>
              </w:rPr>
              <w:t>会</w:t>
            </w:r>
            <w:r>
              <w:rPr>
                <w:rFonts w:hint="eastAsia"/>
                <w:bCs/>
                <w:color w:val="auto"/>
                <w:sz w:val="24"/>
                <w:u w:val="none"/>
              </w:rPr>
              <w:t>对生产车间地面做好硬化及“三防”措施（防扬散、防流失、防渗漏）。可不开展地下水、土壤环境质量现状调查。</w:t>
            </w:r>
          </w:p>
          <w:p>
            <w:pPr>
              <w:ind w:firstLine="480"/>
            </w:pPr>
            <w:r>
              <w:rPr>
                <w:rFonts w:hint="eastAsia"/>
                <w:lang w:val="en-US" w:eastAsia="zh-CN"/>
              </w:rPr>
              <w:t>5</w:t>
            </w:r>
            <w:r>
              <w:rPr>
                <w:rFonts w:hint="eastAsia"/>
              </w:rPr>
              <w:t>、生态环境质量现状调查与评价</w:t>
            </w:r>
          </w:p>
          <w:p>
            <w:pPr>
              <w:ind w:firstLine="480"/>
              <w:rPr>
                <w:rFonts w:hint="eastAsia" w:eastAsia="宋体"/>
                <w:lang w:val="en-US" w:eastAsia="zh-CN"/>
              </w:rPr>
            </w:pPr>
            <w:r>
              <w:rPr>
                <w:rFonts w:hint="eastAsia"/>
              </w:rPr>
              <w:t>本项目位于</w:t>
            </w:r>
            <w:r>
              <w:rPr>
                <w:rFonts w:hint="eastAsia"/>
                <w:lang w:eastAsia="zh-CN"/>
              </w:rPr>
              <w:t>湘阴县杨林寨乡太和围村</w:t>
            </w:r>
            <w:r>
              <w:rPr>
                <w:rFonts w:hint="eastAsia"/>
              </w:rPr>
              <w:t>，属于</w:t>
            </w:r>
            <w:r>
              <w:rPr>
                <w:rFonts w:hint="eastAsia"/>
                <w:lang w:val="en-US" w:eastAsia="zh-CN"/>
              </w:rPr>
              <w:t>二类工业用地</w:t>
            </w:r>
            <w:r>
              <w:rPr>
                <w:rFonts w:hint="eastAsia"/>
              </w:rPr>
              <w:t>。项目区域内不含野生</w:t>
            </w:r>
            <w:r>
              <w:rPr>
                <w:rFonts w:hint="eastAsia"/>
                <w:lang w:eastAsia="zh-CN"/>
              </w:rPr>
              <w:t>珍稀</w:t>
            </w:r>
            <w:r>
              <w:rPr>
                <w:rFonts w:hint="eastAsia"/>
              </w:rPr>
              <w:t>濒危动植物和文化古迹保护单位等生态环境保护目标，可不进行生态环境现状调查。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4" w:hRule="atLeast"/>
          <w:jc w:val="center"/>
        </w:trPr>
        <w:tc>
          <w:tcPr>
            <w:tcW w:w="534" w:type="dxa"/>
            <w:vAlign w:val="center"/>
          </w:tcPr>
          <w:p>
            <w:pPr>
              <w:adjustRightInd w:val="0"/>
              <w:snapToGrid w:val="0"/>
              <w:ind w:firstLine="0" w:firstLineChars="0"/>
              <w:jc w:val="center"/>
              <w:rPr>
                <w:rFonts w:ascii="宋体" w:hAnsi="宋体" w:cs="宋体"/>
                <w:kern w:val="0"/>
                <w:szCs w:val="21"/>
              </w:rPr>
            </w:pPr>
            <w:r>
              <w:rPr>
                <w:rFonts w:hint="eastAsia" w:ascii="宋体" w:hAnsi="宋体" w:cs="宋体"/>
                <w:kern w:val="0"/>
                <w:szCs w:val="21"/>
              </w:rPr>
              <w:t>环境</w:t>
            </w:r>
          </w:p>
          <w:p>
            <w:pPr>
              <w:adjustRightInd w:val="0"/>
              <w:snapToGrid w:val="0"/>
              <w:ind w:firstLine="0" w:firstLineChars="0"/>
              <w:jc w:val="center"/>
              <w:rPr>
                <w:rFonts w:ascii="宋体" w:hAnsi="宋体" w:cs="宋体"/>
                <w:kern w:val="0"/>
                <w:szCs w:val="21"/>
              </w:rPr>
            </w:pPr>
            <w:r>
              <w:rPr>
                <w:rFonts w:hint="eastAsia" w:ascii="宋体" w:hAnsi="宋体" w:cs="宋体"/>
                <w:kern w:val="0"/>
                <w:szCs w:val="21"/>
              </w:rPr>
              <w:t>保护</w:t>
            </w:r>
          </w:p>
          <w:p>
            <w:pPr>
              <w:adjustRightInd w:val="0"/>
              <w:snapToGrid w:val="0"/>
              <w:ind w:firstLine="0" w:firstLineChars="0"/>
              <w:jc w:val="center"/>
              <w:rPr>
                <w:rFonts w:ascii="宋体" w:hAnsi="宋体" w:cs="宋体"/>
                <w:kern w:val="0"/>
                <w:szCs w:val="21"/>
              </w:rPr>
            </w:pPr>
            <w:r>
              <w:rPr>
                <w:rFonts w:hint="eastAsia" w:ascii="宋体" w:hAnsi="宋体" w:cs="宋体"/>
                <w:kern w:val="0"/>
                <w:szCs w:val="21"/>
              </w:rPr>
              <w:t>目标</w:t>
            </w:r>
          </w:p>
        </w:tc>
        <w:tc>
          <w:tcPr>
            <w:tcW w:w="8527" w:type="dxa"/>
            <w:vAlign w:val="center"/>
          </w:tcPr>
          <w:p>
            <w:pPr>
              <w:adjustRightInd w:val="0"/>
              <w:snapToGrid w:val="0"/>
              <w:ind w:firstLine="480"/>
              <w:jc w:val="left"/>
              <w:rPr>
                <w:rFonts w:ascii="宋体" w:hAnsi="宋体" w:cs="宋体"/>
                <w:kern w:val="0"/>
                <w:szCs w:val="21"/>
              </w:rPr>
            </w:pPr>
            <w:r>
              <w:rPr>
                <w:rFonts w:hint="eastAsia" w:ascii="宋体" w:hAnsi="宋体" w:cs="宋体"/>
                <w:kern w:val="0"/>
                <w:szCs w:val="21"/>
              </w:rPr>
              <w:t>根据《建设项目环境影响报告表编制技术指南（污染影响类）（试行）》环境保护目标调查范围如下：</w:t>
            </w:r>
          </w:p>
          <w:p>
            <w:pPr>
              <w:pStyle w:val="7"/>
            </w:pPr>
            <w:r>
              <w:t>表3-</w:t>
            </w:r>
            <w:r>
              <w:rPr>
                <w:rFonts w:hint="eastAsia"/>
                <w:lang w:val="en-US" w:eastAsia="zh-CN"/>
              </w:rPr>
              <w:t>7</w:t>
            </w:r>
            <w:r>
              <w:t xml:space="preserve"> </w:t>
            </w:r>
            <w:r>
              <w:rPr>
                <w:rFonts w:hint="eastAsia"/>
              </w:rPr>
              <w:t>环境保护目标调查范围表</w:t>
            </w:r>
          </w:p>
          <w:tbl>
            <w:tblPr>
              <w:tblStyle w:val="24"/>
              <w:tblW w:w="8122" w:type="dxa"/>
              <w:jc w:val="center"/>
              <w:tblLayout w:type="autofit"/>
              <w:tblCellMar>
                <w:top w:w="0" w:type="dxa"/>
                <w:left w:w="108" w:type="dxa"/>
                <w:bottom w:w="0" w:type="dxa"/>
                <w:right w:w="108" w:type="dxa"/>
              </w:tblCellMar>
            </w:tblPr>
            <w:tblGrid>
              <w:gridCol w:w="658"/>
              <w:gridCol w:w="1056"/>
              <w:gridCol w:w="1538"/>
              <w:gridCol w:w="2433"/>
              <w:gridCol w:w="2437"/>
            </w:tblGrid>
            <w:tr>
              <w:tblPrEx>
                <w:tblCellMar>
                  <w:top w:w="0" w:type="dxa"/>
                  <w:left w:w="108" w:type="dxa"/>
                  <w:bottom w:w="0" w:type="dxa"/>
                  <w:right w:w="108" w:type="dxa"/>
                </w:tblCellMar>
              </w:tblPrEx>
              <w:trPr>
                <w:trHeight w:val="0" w:hRule="atLeast"/>
                <w:jc w:val="center"/>
              </w:trPr>
              <w:tc>
                <w:tcPr>
                  <w:tcW w:w="658" w:type="dxa"/>
                  <w:tcBorders>
                    <w:top w:val="single" w:color="000000" w:sz="4" w:space="0"/>
                    <w:left w:val="single" w:color="000000" w:sz="4" w:space="0"/>
                    <w:bottom w:val="single" w:color="000000" w:sz="4" w:space="0"/>
                    <w:right w:val="single" w:color="000000" w:sz="4" w:space="0"/>
                  </w:tcBorders>
                  <w:vAlign w:val="center"/>
                </w:tcPr>
                <w:p>
                  <w:pPr>
                    <w:pStyle w:val="47"/>
                    <w:rPr>
                      <w:b/>
                      <w:bCs/>
                    </w:rPr>
                  </w:pPr>
                  <w:r>
                    <w:rPr>
                      <w:rFonts w:hint="eastAsia"/>
                      <w:b/>
                      <w:bCs/>
                    </w:rPr>
                    <w:t>序号</w:t>
                  </w:r>
                </w:p>
              </w:tc>
              <w:tc>
                <w:tcPr>
                  <w:tcW w:w="1056" w:type="dxa"/>
                  <w:tcBorders>
                    <w:top w:val="single" w:color="000000" w:sz="4" w:space="0"/>
                    <w:left w:val="single" w:color="000000" w:sz="4" w:space="0"/>
                    <w:bottom w:val="single" w:color="000000" w:sz="4" w:space="0"/>
                    <w:right w:val="single" w:color="000000" w:sz="4" w:space="0"/>
                  </w:tcBorders>
                  <w:vAlign w:val="center"/>
                </w:tcPr>
                <w:p>
                  <w:pPr>
                    <w:pStyle w:val="47"/>
                    <w:rPr>
                      <w:b/>
                      <w:bCs/>
                    </w:rPr>
                  </w:pPr>
                  <w:r>
                    <w:rPr>
                      <w:rFonts w:hint="eastAsia"/>
                      <w:b/>
                      <w:bCs/>
                    </w:rPr>
                    <w:t>类别</w:t>
                  </w:r>
                </w:p>
              </w:tc>
              <w:tc>
                <w:tcPr>
                  <w:tcW w:w="1538" w:type="dxa"/>
                  <w:tcBorders>
                    <w:top w:val="single" w:color="000000" w:sz="4" w:space="0"/>
                    <w:left w:val="single" w:color="000000" w:sz="4" w:space="0"/>
                    <w:bottom w:val="single" w:color="000000" w:sz="4" w:space="0"/>
                    <w:right w:val="single" w:color="000000" w:sz="4" w:space="0"/>
                  </w:tcBorders>
                  <w:vAlign w:val="center"/>
                </w:tcPr>
                <w:p>
                  <w:pPr>
                    <w:pStyle w:val="47"/>
                    <w:rPr>
                      <w:b/>
                      <w:bCs/>
                    </w:rPr>
                  </w:pPr>
                  <w:r>
                    <w:rPr>
                      <w:rFonts w:hint="eastAsia"/>
                      <w:b/>
                      <w:bCs/>
                    </w:rPr>
                    <w:t>调查范围</w:t>
                  </w:r>
                </w:p>
              </w:tc>
              <w:tc>
                <w:tcPr>
                  <w:tcW w:w="2433" w:type="dxa"/>
                  <w:tcBorders>
                    <w:top w:val="single" w:color="000000" w:sz="4" w:space="0"/>
                    <w:left w:val="single" w:color="000000" w:sz="4" w:space="0"/>
                    <w:bottom w:val="single" w:color="000000" w:sz="4" w:space="0"/>
                    <w:right w:val="single" w:color="000000" w:sz="4" w:space="0"/>
                  </w:tcBorders>
                  <w:vAlign w:val="center"/>
                </w:tcPr>
                <w:p>
                  <w:pPr>
                    <w:pStyle w:val="47"/>
                    <w:rPr>
                      <w:b/>
                      <w:bCs/>
                    </w:rPr>
                  </w:pPr>
                  <w:r>
                    <w:rPr>
                      <w:rFonts w:hint="eastAsia"/>
                      <w:b/>
                      <w:bCs/>
                    </w:rPr>
                    <w:t>调查目标</w:t>
                  </w:r>
                </w:p>
              </w:tc>
              <w:tc>
                <w:tcPr>
                  <w:tcW w:w="2437" w:type="dxa"/>
                  <w:tcBorders>
                    <w:top w:val="single" w:color="000000" w:sz="4" w:space="0"/>
                    <w:left w:val="single" w:color="000000" w:sz="4" w:space="0"/>
                    <w:bottom w:val="single" w:color="000000" w:sz="4" w:space="0"/>
                    <w:right w:val="single" w:color="000000" w:sz="4" w:space="0"/>
                  </w:tcBorders>
                  <w:vAlign w:val="center"/>
                </w:tcPr>
                <w:p>
                  <w:pPr>
                    <w:pStyle w:val="47"/>
                    <w:rPr>
                      <w:b/>
                      <w:bCs/>
                    </w:rPr>
                  </w:pPr>
                  <w:r>
                    <w:rPr>
                      <w:rFonts w:hint="eastAsia"/>
                      <w:b/>
                      <w:bCs/>
                    </w:rPr>
                    <w:t>本项目情况</w:t>
                  </w:r>
                </w:p>
              </w:tc>
            </w:tr>
            <w:tr>
              <w:tblPrEx>
                <w:tblCellMar>
                  <w:top w:w="0" w:type="dxa"/>
                  <w:left w:w="108" w:type="dxa"/>
                  <w:bottom w:w="0" w:type="dxa"/>
                  <w:right w:w="108" w:type="dxa"/>
                </w:tblCellMar>
              </w:tblPrEx>
              <w:trPr>
                <w:trHeight w:val="90" w:hRule="atLeast"/>
                <w:jc w:val="center"/>
              </w:trPr>
              <w:tc>
                <w:tcPr>
                  <w:tcW w:w="658" w:type="dxa"/>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1</w:t>
                  </w:r>
                </w:p>
              </w:tc>
              <w:tc>
                <w:tcPr>
                  <w:tcW w:w="1056" w:type="dxa"/>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大气环境</w:t>
                  </w:r>
                </w:p>
              </w:tc>
              <w:tc>
                <w:tcPr>
                  <w:tcW w:w="1538" w:type="dxa"/>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场界外500m范围内</w:t>
                  </w:r>
                </w:p>
              </w:tc>
              <w:tc>
                <w:tcPr>
                  <w:tcW w:w="2433" w:type="dxa"/>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自然保护区、风景名胜区、居住区、文化区和农村地区中</w:t>
                  </w:r>
                  <w:r>
                    <w:rPr>
                      <w:rFonts w:hint="eastAsia"/>
                      <w:lang w:eastAsia="zh-CN"/>
                    </w:rPr>
                    <w:t>人群</w:t>
                  </w:r>
                  <w:r>
                    <w:rPr>
                      <w:rFonts w:hint="eastAsia"/>
                    </w:rPr>
                    <w:t>较集中的区域等保护目标</w:t>
                  </w:r>
                </w:p>
              </w:tc>
              <w:tc>
                <w:tcPr>
                  <w:tcW w:w="2437" w:type="dxa"/>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500m范围内存在少量居民</w:t>
                  </w:r>
                  <w:r>
                    <w:rPr>
                      <w:rFonts w:hint="eastAsia"/>
                      <w:lang w:val="en-US" w:eastAsia="zh-CN"/>
                    </w:rPr>
                    <w:t>住宅</w:t>
                  </w:r>
                  <w:r>
                    <w:rPr>
                      <w:rFonts w:hint="eastAsia"/>
                    </w:rPr>
                    <w:t>，无自然保护区、风景名胜区、文化区</w:t>
                  </w:r>
                </w:p>
              </w:tc>
            </w:tr>
            <w:tr>
              <w:tblPrEx>
                <w:tblCellMar>
                  <w:top w:w="0" w:type="dxa"/>
                  <w:left w:w="108" w:type="dxa"/>
                  <w:bottom w:w="0" w:type="dxa"/>
                  <w:right w:w="108" w:type="dxa"/>
                </w:tblCellMar>
              </w:tblPrEx>
              <w:trPr>
                <w:trHeight w:val="0" w:hRule="atLeast"/>
                <w:jc w:val="center"/>
              </w:trPr>
              <w:tc>
                <w:tcPr>
                  <w:tcW w:w="658" w:type="dxa"/>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2</w:t>
                  </w:r>
                </w:p>
              </w:tc>
              <w:tc>
                <w:tcPr>
                  <w:tcW w:w="1056" w:type="dxa"/>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声环境</w:t>
                  </w:r>
                </w:p>
              </w:tc>
              <w:tc>
                <w:tcPr>
                  <w:tcW w:w="1538" w:type="dxa"/>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场界外50m范围内</w:t>
                  </w:r>
                </w:p>
              </w:tc>
              <w:tc>
                <w:tcPr>
                  <w:tcW w:w="2433" w:type="dxa"/>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声环境保护目标</w:t>
                  </w:r>
                </w:p>
              </w:tc>
              <w:tc>
                <w:tcPr>
                  <w:tcW w:w="2437" w:type="dxa"/>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50m范围内存在少量居民</w:t>
                  </w:r>
                  <w:r>
                    <w:rPr>
                      <w:rFonts w:hint="eastAsia"/>
                      <w:lang w:val="en-US" w:eastAsia="zh-CN"/>
                    </w:rPr>
                    <w:t>住宅</w:t>
                  </w:r>
                  <w:r>
                    <w:rPr>
                      <w:rFonts w:hint="eastAsia"/>
                    </w:rPr>
                    <w:t>，无学校、医院、行政办公区等环境保护目标</w:t>
                  </w:r>
                </w:p>
              </w:tc>
            </w:tr>
            <w:tr>
              <w:tblPrEx>
                <w:tblCellMar>
                  <w:top w:w="0" w:type="dxa"/>
                  <w:left w:w="108" w:type="dxa"/>
                  <w:bottom w:w="0" w:type="dxa"/>
                  <w:right w:w="108" w:type="dxa"/>
                </w:tblCellMar>
              </w:tblPrEx>
              <w:trPr>
                <w:trHeight w:val="0" w:hRule="atLeast"/>
                <w:jc w:val="center"/>
              </w:trPr>
              <w:tc>
                <w:tcPr>
                  <w:tcW w:w="658" w:type="dxa"/>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3</w:t>
                  </w:r>
                </w:p>
              </w:tc>
              <w:tc>
                <w:tcPr>
                  <w:tcW w:w="1056" w:type="dxa"/>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地下水环境</w:t>
                  </w:r>
                </w:p>
              </w:tc>
              <w:tc>
                <w:tcPr>
                  <w:tcW w:w="1538" w:type="dxa"/>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场界外500m范围内</w:t>
                  </w:r>
                </w:p>
              </w:tc>
              <w:tc>
                <w:tcPr>
                  <w:tcW w:w="2433" w:type="dxa"/>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地下水集中式饮用水水源和热水、矿泉水、温泉水等特殊地下水资源</w:t>
                  </w:r>
                </w:p>
              </w:tc>
              <w:tc>
                <w:tcPr>
                  <w:tcW w:w="2437" w:type="dxa"/>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项目内无地下水集中式饮用水水源和热水、矿泉水、温泉水等特殊地下水资源</w:t>
                  </w:r>
                </w:p>
              </w:tc>
            </w:tr>
            <w:tr>
              <w:tblPrEx>
                <w:tblCellMar>
                  <w:top w:w="0" w:type="dxa"/>
                  <w:left w:w="108" w:type="dxa"/>
                  <w:bottom w:w="0" w:type="dxa"/>
                  <w:right w:w="108" w:type="dxa"/>
                </w:tblCellMar>
              </w:tblPrEx>
              <w:trPr>
                <w:trHeight w:val="0" w:hRule="atLeast"/>
                <w:jc w:val="center"/>
              </w:trPr>
              <w:tc>
                <w:tcPr>
                  <w:tcW w:w="658" w:type="dxa"/>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4</w:t>
                  </w:r>
                </w:p>
              </w:tc>
              <w:tc>
                <w:tcPr>
                  <w:tcW w:w="1056" w:type="dxa"/>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生态环境</w:t>
                  </w:r>
                </w:p>
              </w:tc>
              <w:tc>
                <w:tcPr>
                  <w:tcW w:w="1538" w:type="dxa"/>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产业园区外建设项目新增用地范围内</w:t>
                  </w:r>
                </w:p>
              </w:tc>
              <w:tc>
                <w:tcPr>
                  <w:tcW w:w="2433" w:type="dxa"/>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生态环境保护目标</w:t>
                  </w:r>
                </w:p>
              </w:tc>
              <w:tc>
                <w:tcPr>
                  <w:tcW w:w="2437" w:type="dxa"/>
                  <w:tcBorders>
                    <w:top w:val="single" w:color="000000" w:sz="4" w:space="0"/>
                    <w:left w:val="single" w:color="000000" w:sz="4" w:space="0"/>
                    <w:bottom w:val="single" w:color="000000" w:sz="4" w:space="0"/>
                    <w:right w:val="single" w:color="000000" w:sz="4" w:space="0"/>
                  </w:tcBorders>
                  <w:vAlign w:val="center"/>
                </w:tcPr>
                <w:p>
                  <w:pPr>
                    <w:pStyle w:val="47"/>
                  </w:pPr>
                  <w:r>
                    <w:rPr>
                      <w:rFonts w:hint="eastAsia"/>
                    </w:rPr>
                    <w:t>本项目</w:t>
                  </w:r>
                  <w:r>
                    <w:rPr>
                      <w:rFonts w:hint="eastAsia"/>
                      <w:lang w:val="en-US" w:eastAsia="zh-CN"/>
                    </w:rPr>
                    <w:t>新增用地范围内</w:t>
                  </w:r>
                  <w:r>
                    <w:rPr>
                      <w:rFonts w:hint="eastAsia"/>
                    </w:rPr>
                    <w:t>无生态环境保护目标</w:t>
                  </w:r>
                </w:p>
              </w:tc>
            </w:tr>
          </w:tbl>
          <w:p>
            <w:pPr>
              <w:adjustRightInd w:val="0"/>
              <w:snapToGrid w:val="0"/>
              <w:ind w:firstLine="480"/>
              <w:jc w:val="left"/>
              <w:rPr>
                <w:rFonts w:ascii="宋体" w:hAnsi="宋体" w:cs="宋体"/>
                <w:kern w:val="0"/>
                <w:szCs w:val="21"/>
              </w:rPr>
            </w:pPr>
            <w:r>
              <w:rPr>
                <w:rFonts w:hint="eastAsia" w:ascii="宋体" w:hAnsi="宋体" w:cs="宋体"/>
                <w:kern w:val="0"/>
                <w:szCs w:val="21"/>
              </w:rPr>
              <w:t>根据</w:t>
            </w:r>
            <w:r>
              <w:rPr>
                <w:rFonts w:hint="eastAsia" w:ascii="宋体" w:hAnsi="宋体" w:cs="宋体"/>
                <w:kern w:val="0"/>
                <w:szCs w:val="21"/>
                <w:lang w:eastAsia="zh-CN"/>
              </w:rPr>
              <w:t>现场勘查</w:t>
            </w:r>
            <w:r>
              <w:rPr>
                <w:rFonts w:hint="eastAsia" w:ascii="宋体" w:hAnsi="宋体" w:cs="宋体"/>
                <w:kern w:val="0"/>
                <w:szCs w:val="21"/>
              </w:rPr>
              <w:t>，结合项目排污特点、区域环境情况以及</w:t>
            </w:r>
            <w:r>
              <w:rPr>
                <w:rFonts w:hint="eastAsia" w:ascii="宋体" w:hAnsi="宋体" w:cs="宋体"/>
                <w:kern w:val="0"/>
                <w:szCs w:val="21"/>
                <w:lang w:eastAsia="zh-CN"/>
              </w:rPr>
              <w:t>岳阳市</w:t>
            </w:r>
            <w:r>
              <w:rPr>
                <w:rFonts w:hint="eastAsia" w:ascii="宋体" w:hAnsi="宋体" w:cs="宋体"/>
                <w:kern w:val="0"/>
                <w:szCs w:val="21"/>
              </w:rPr>
              <w:t>环境保护规划和功能区划分要求，确定项目的主要环境保护目标如下表所示。</w:t>
            </w:r>
          </w:p>
          <w:p>
            <w:pPr>
              <w:pStyle w:val="7"/>
              <w:rPr>
                <w:u w:val="none"/>
              </w:rPr>
            </w:pPr>
            <w:r>
              <w:rPr>
                <w:u w:val="none"/>
              </w:rPr>
              <w:t>表3-</w:t>
            </w:r>
            <w:r>
              <w:rPr>
                <w:rFonts w:hint="eastAsia"/>
                <w:u w:val="none"/>
                <w:lang w:val="en-US" w:eastAsia="zh-CN"/>
              </w:rPr>
              <w:t xml:space="preserve">8 </w:t>
            </w:r>
            <w:r>
              <w:rPr>
                <w:rFonts w:hint="eastAsia"/>
                <w:u w:val="none"/>
              </w:rPr>
              <w:t>环境保护目标一览表</w:t>
            </w:r>
          </w:p>
          <w:tbl>
            <w:tblPr>
              <w:tblStyle w:val="24"/>
              <w:tblW w:w="8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780"/>
              <w:gridCol w:w="1544"/>
              <w:gridCol w:w="770"/>
              <w:gridCol w:w="1022"/>
              <w:gridCol w:w="928"/>
              <w:gridCol w:w="745"/>
              <w:gridCol w:w="1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vAlign w:val="center"/>
                </w:tcPr>
                <w:p>
                  <w:pPr>
                    <w:pStyle w:val="47"/>
                    <w:rPr>
                      <w:b/>
                      <w:bCs/>
                      <w:u w:val="single"/>
                    </w:rPr>
                  </w:pPr>
                  <w:r>
                    <w:rPr>
                      <w:rFonts w:hint="eastAsia"/>
                      <w:b/>
                      <w:bCs/>
                      <w:u w:val="single"/>
                    </w:rPr>
                    <w:t>环境要素</w:t>
                  </w:r>
                </w:p>
              </w:tc>
              <w:tc>
                <w:tcPr>
                  <w:tcW w:w="464" w:type="pct"/>
                  <w:vAlign w:val="center"/>
                </w:tcPr>
                <w:p>
                  <w:pPr>
                    <w:pStyle w:val="47"/>
                    <w:rPr>
                      <w:b/>
                      <w:bCs/>
                      <w:u w:val="single"/>
                    </w:rPr>
                  </w:pPr>
                  <w:r>
                    <w:rPr>
                      <w:rFonts w:hint="eastAsia"/>
                      <w:b/>
                      <w:bCs/>
                      <w:u w:val="single"/>
                    </w:rPr>
                    <w:t>名称</w:t>
                  </w:r>
                </w:p>
              </w:tc>
              <w:tc>
                <w:tcPr>
                  <w:tcW w:w="918" w:type="pct"/>
                  <w:vAlign w:val="center"/>
                </w:tcPr>
                <w:p>
                  <w:pPr>
                    <w:pStyle w:val="47"/>
                    <w:rPr>
                      <w:b/>
                      <w:bCs/>
                      <w:u w:val="single"/>
                    </w:rPr>
                  </w:pPr>
                  <w:r>
                    <w:rPr>
                      <w:rFonts w:hint="eastAsia"/>
                      <w:b/>
                      <w:bCs/>
                      <w:u w:val="single"/>
                    </w:rPr>
                    <w:t>坐标</w:t>
                  </w:r>
                </w:p>
              </w:tc>
              <w:tc>
                <w:tcPr>
                  <w:tcW w:w="458" w:type="pct"/>
                  <w:vAlign w:val="center"/>
                </w:tcPr>
                <w:p>
                  <w:pPr>
                    <w:pStyle w:val="47"/>
                    <w:rPr>
                      <w:b/>
                      <w:bCs/>
                      <w:u w:val="single"/>
                    </w:rPr>
                  </w:pPr>
                  <w:r>
                    <w:rPr>
                      <w:rFonts w:hint="eastAsia"/>
                      <w:b/>
                      <w:bCs/>
                      <w:u w:val="single"/>
                    </w:rPr>
                    <w:t>方向</w:t>
                  </w:r>
                </w:p>
              </w:tc>
              <w:tc>
                <w:tcPr>
                  <w:tcW w:w="608" w:type="pct"/>
                  <w:vAlign w:val="center"/>
                </w:tcPr>
                <w:p>
                  <w:pPr>
                    <w:pStyle w:val="47"/>
                    <w:rPr>
                      <w:b/>
                      <w:bCs/>
                      <w:u w:val="single"/>
                    </w:rPr>
                  </w:pPr>
                  <w:r>
                    <w:rPr>
                      <w:rFonts w:hint="eastAsia"/>
                      <w:b/>
                      <w:bCs/>
                      <w:u w:val="single"/>
                    </w:rPr>
                    <w:t>距离</w:t>
                  </w:r>
                </w:p>
              </w:tc>
              <w:tc>
                <w:tcPr>
                  <w:tcW w:w="552" w:type="pct"/>
                  <w:vAlign w:val="center"/>
                </w:tcPr>
                <w:p>
                  <w:pPr>
                    <w:pStyle w:val="47"/>
                    <w:rPr>
                      <w:b/>
                      <w:bCs/>
                      <w:u w:val="single"/>
                    </w:rPr>
                  </w:pPr>
                  <w:r>
                    <w:rPr>
                      <w:rFonts w:hint="eastAsia"/>
                      <w:b/>
                      <w:bCs/>
                      <w:u w:val="single"/>
                    </w:rPr>
                    <w:t>规模</w:t>
                  </w:r>
                </w:p>
              </w:tc>
              <w:tc>
                <w:tcPr>
                  <w:tcW w:w="443" w:type="pct"/>
                  <w:vAlign w:val="center"/>
                </w:tcPr>
                <w:p>
                  <w:pPr>
                    <w:pStyle w:val="47"/>
                    <w:rPr>
                      <w:b/>
                      <w:bCs/>
                      <w:u w:val="single"/>
                    </w:rPr>
                  </w:pPr>
                  <w:r>
                    <w:rPr>
                      <w:rFonts w:hint="eastAsia"/>
                      <w:b/>
                      <w:bCs/>
                      <w:u w:val="single"/>
                    </w:rPr>
                    <w:t>性质</w:t>
                  </w:r>
                </w:p>
              </w:tc>
              <w:tc>
                <w:tcPr>
                  <w:tcW w:w="1106" w:type="pct"/>
                  <w:vAlign w:val="center"/>
                </w:tcPr>
                <w:p>
                  <w:pPr>
                    <w:pStyle w:val="47"/>
                    <w:rPr>
                      <w:b/>
                      <w:bCs/>
                      <w:u w:val="single"/>
                    </w:rPr>
                  </w:pPr>
                  <w:r>
                    <w:rPr>
                      <w:rFonts w:hint="eastAsia"/>
                      <w:b/>
                      <w:bCs/>
                      <w:u w:val="single"/>
                    </w:rPr>
                    <w:t>环境功能区等级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vAlign w:val="center"/>
                </w:tcPr>
                <w:p>
                  <w:pPr>
                    <w:pStyle w:val="47"/>
                    <w:rPr>
                      <w:u w:val="single"/>
                    </w:rPr>
                  </w:pPr>
                  <w:r>
                    <w:rPr>
                      <w:rFonts w:hint="eastAsia"/>
                      <w:u w:val="single"/>
                    </w:rPr>
                    <w:t>大气环境</w:t>
                  </w:r>
                </w:p>
              </w:tc>
              <w:tc>
                <w:tcPr>
                  <w:tcW w:w="464" w:type="pct"/>
                  <w:vAlign w:val="center"/>
                </w:tcPr>
                <w:p>
                  <w:pPr>
                    <w:pStyle w:val="47"/>
                    <w:rPr>
                      <w:u w:val="single"/>
                    </w:rPr>
                  </w:pPr>
                  <w:r>
                    <w:rPr>
                      <w:rFonts w:hint="eastAsia"/>
                      <w:u w:val="single"/>
                      <w:lang w:eastAsia="zh-CN"/>
                    </w:rPr>
                    <w:t>太和围村</w:t>
                  </w:r>
                </w:p>
              </w:tc>
              <w:tc>
                <w:tcPr>
                  <w:tcW w:w="918" w:type="pct"/>
                  <w:vAlign w:val="center"/>
                </w:tcPr>
                <w:p>
                  <w:pPr>
                    <w:pStyle w:val="47"/>
                    <w:rPr>
                      <w:u w:val="single"/>
                    </w:rPr>
                  </w:pPr>
                  <w:r>
                    <w:rPr>
                      <w:u w:val="single"/>
                    </w:rPr>
                    <w:t>E</w:t>
                  </w:r>
                  <w:r>
                    <w:rPr>
                      <w:rFonts w:hint="eastAsia"/>
                      <w:u w:val="single"/>
                    </w:rPr>
                    <w:t>112.761069、</w:t>
                  </w:r>
                  <w:r>
                    <w:rPr>
                      <w:u w:val="single"/>
                    </w:rPr>
                    <w:t>N</w:t>
                  </w:r>
                  <w:r>
                    <w:rPr>
                      <w:rFonts w:hint="eastAsia"/>
                      <w:u w:val="single"/>
                    </w:rPr>
                    <w:t>28.725810</w:t>
                  </w:r>
                </w:p>
              </w:tc>
              <w:tc>
                <w:tcPr>
                  <w:tcW w:w="458" w:type="pct"/>
                  <w:vAlign w:val="center"/>
                </w:tcPr>
                <w:p>
                  <w:pPr>
                    <w:pStyle w:val="47"/>
                    <w:rPr>
                      <w:rFonts w:hint="default" w:eastAsia="宋体"/>
                      <w:u w:val="single"/>
                      <w:lang w:val="en-US" w:eastAsia="zh-CN"/>
                    </w:rPr>
                  </w:pPr>
                  <w:r>
                    <w:rPr>
                      <w:rFonts w:hint="eastAsia"/>
                      <w:u w:val="single"/>
                    </w:rPr>
                    <w:t>W</w:t>
                  </w:r>
                  <w:r>
                    <w:rPr>
                      <w:rFonts w:hint="eastAsia"/>
                      <w:u w:val="single"/>
                      <w:lang w:eastAsia="zh-CN"/>
                    </w:rPr>
                    <w:t>、</w:t>
                  </w:r>
                  <w:r>
                    <w:rPr>
                      <w:rFonts w:hint="eastAsia"/>
                      <w:u w:val="single"/>
                      <w:lang w:val="en-US" w:eastAsia="zh-CN"/>
                    </w:rPr>
                    <w:t>N、E</w:t>
                  </w:r>
                </w:p>
              </w:tc>
              <w:tc>
                <w:tcPr>
                  <w:tcW w:w="608" w:type="pct"/>
                  <w:vAlign w:val="center"/>
                </w:tcPr>
                <w:p>
                  <w:pPr>
                    <w:pStyle w:val="47"/>
                    <w:rPr>
                      <w:u w:val="single"/>
                    </w:rPr>
                  </w:pPr>
                  <w:r>
                    <w:rPr>
                      <w:rFonts w:hint="eastAsia"/>
                      <w:u w:val="single"/>
                      <w:lang w:val="en-US" w:eastAsia="zh-CN"/>
                    </w:rPr>
                    <w:t>0~500</w:t>
                  </w:r>
                  <w:r>
                    <w:rPr>
                      <w:u w:val="single"/>
                    </w:rPr>
                    <w:t>m</w:t>
                  </w:r>
                </w:p>
              </w:tc>
              <w:tc>
                <w:tcPr>
                  <w:tcW w:w="552" w:type="pct"/>
                  <w:vAlign w:val="center"/>
                </w:tcPr>
                <w:p>
                  <w:pPr>
                    <w:pStyle w:val="47"/>
                    <w:rPr>
                      <w:u w:val="single"/>
                    </w:rPr>
                  </w:pPr>
                  <w:r>
                    <w:rPr>
                      <w:rFonts w:hint="eastAsia"/>
                      <w:u w:val="single"/>
                      <w:lang w:val="en-US" w:eastAsia="zh-CN"/>
                    </w:rPr>
                    <w:t>300</w:t>
                  </w:r>
                  <w:r>
                    <w:rPr>
                      <w:rFonts w:hint="eastAsia"/>
                      <w:u w:val="single"/>
                    </w:rPr>
                    <w:t>户，约</w:t>
                  </w:r>
                  <w:r>
                    <w:rPr>
                      <w:rFonts w:hint="eastAsia"/>
                      <w:u w:val="single"/>
                      <w:lang w:val="en-US" w:eastAsia="zh-CN"/>
                    </w:rPr>
                    <w:t>900</w:t>
                  </w:r>
                  <w:r>
                    <w:rPr>
                      <w:rFonts w:hint="eastAsia"/>
                      <w:u w:val="single"/>
                    </w:rPr>
                    <w:t>人</w:t>
                  </w:r>
                </w:p>
              </w:tc>
              <w:tc>
                <w:tcPr>
                  <w:tcW w:w="443" w:type="pct"/>
                  <w:vAlign w:val="center"/>
                </w:tcPr>
                <w:p>
                  <w:pPr>
                    <w:pStyle w:val="47"/>
                    <w:rPr>
                      <w:u w:val="single"/>
                    </w:rPr>
                  </w:pPr>
                  <w:r>
                    <w:rPr>
                      <w:rFonts w:hint="eastAsia"/>
                      <w:u w:val="single"/>
                    </w:rPr>
                    <w:t>居住</w:t>
                  </w:r>
                </w:p>
              </w:tc>
              <w:tc>
                <w:tcPr>
                  <w:tcW w:w="1106" w:type="pct"/>
                  <w:vAlign w:val="center"/>
                </w:tcPr>
                <w:p>
                  <w:pPr>
                    <w:pStyle w:val="47"/>
                    <w:rPr>
                      <w:u w:val="single"/>
                    </w:rPr>
                  </w:pPr>
                  <w:r>
                    <w:rPr>
                      <w:rFonts w:hint="eastAsia"/>
                      <w:u w:val="single"/>
                    </w:rPr>
                    <w:t>《环境空气质量标准》（</w:t>
                  </w:r>
                  <w:r>
                    <w:rPr>
                      <w:u w:val="single"/>
                    </w:rPr>
                    <w:t>GB3095-2012</w:t>
                  </w:r>
                  <w:r>
                    <w:rPr>
                      <w:rFonts w:hint="eastAsia"/>
                      <w:u w:val="single"/>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vAlign w:val="center"/>
                </w:tcPr>
                <w:p>
                  <w:pPr>
                    <w:pStyle w:val="47"/>
                    <w:rPr>
                      <w:rFonts w:hint="eastAsia" w:eastAsia="宋体"/>
                      <w:u w:val="single"/>
                      <w:lang w:val="en-US" w:eastAsia="zh-CN"/>
                    </w:rPr>
                  </w:pPr>
                  <w:r>
                    <w:rPr>
                      <w:rFonts w:hint="eastAsia"/>
                      <w:u w:val="single"/>
                      <w:lang w:val="en-US" w:eastAsia="zh-CN"/>
                    </w:rPr>
                    <w:t>声环境</w:t>
                  </w:r>
                </w:p>
              </w:tc>
              <w:tc>
                <w:tcPr>
                  <w:tcW w:w="464" w:type="pct"/>
                  <w:vAlign w:val="center"/>
                </w:tcPr>
                <w:p>
                  <w:pPr>
                    <w:pStyle w:val="47"/>
                    <w:rPr>
                      <w:rFonts w:hint="default"/>
                      <w:u w:val="single"/>
                      <w:lang w:val="en-US" w:eastAsia="zh-CN"/>
                    </w:rPr>
                  </w:pPr>
                  <w:r>
                    <w:rPr>
                      <w:rFonts w:hint="eastAsia"/>
                      <w:u w:val="single"/>
                      <w:lang w:eastAsia="zh-CN"/>
                    </w:rPr>
                    <w:t>太和围村</w:t>
                  </w:r>
                </w:p>
              </w:tc>
              <w:tc>
                <w:tcPr>
                  <w:tcW w:w="918" w:type="pct"/>
                  <w:shd w:val="clear" w:color="auto" w:fill="auto"/>
                  <w:vAlign w:val="center"/>
                </w:tcPr>
                <w:p>
                  <w:pPr>
                    <w:pStyle w:val="47"/>
                    <w:ind w:firstLine="0" w:firstLineChars="0"/>
                    <w:rPr>
                      <w:rFonts w:ascii="Times New Roman" w:hAnsi="Times New Roman" w:eastAsia="宋体" w:cs="Times New Roman"/>
                      <w:kern w:val="2"/>
                      <w:sz w:val="21"/>
                      <w:szCs w:val="28"/>
                      <w:u w:val="single"/>
                      <w:lang w:val="en-US" w:eastAsia="zh-CN" w:bidi="ar-SA"/>
                    </w:rPr>
                  </w:pPr>
                  <w:r>
                    <w:rPr>
                      <w:u w:val="single"/>
                    </w:rPr>
                    <w:t>E</w:t>
                  </w:r>
                  <w:r>
                    <w:rPr>
                      <w:rFonts w:hint="eastAsia"/>
                      <w:u w:val="single"/>
                    </w:rPr>
                    <w:t>112.761069、</w:t>
                  </w:r>
                  <w:r>
                    <w:rPr>
                      <w:u w:val="single"/>
                    </w:rPr>
                    <w:t>N</w:t>
                  </w:r>
                  <w:r>
                    <w:rPr>
                      <w:rFonts w:hint="eastAsia"/>
                      <w:u w:val="single"/>
                    </w:rPr>
                    <w:t>28.725810</w:t>
                  </w:r>
                </w:p>
              </w:tc>
              <w:tc>
                <w:tcPr>
                  <w:tcW w:w="458" w:type="pct"/>
                  <w:vAlign w:val="center"/>
                </w:tcPr>
                <w:p>
                  <w:pPr>
                    <w:pStyle w:val="47"/>
                    <w:rPr>
                      <w:rFonts w:hint="default" w:eastAsia="宋体"/>
                      <w:u w:val="single"/>
                      <w:lang w:val="en-US" w:eastAsia="zh-CN"/>
                    </w:rPr>
                  </w:pPr>
                  <w:r>
                    <w:rPr>
                      <w:rFonts w:hint="eastAsia"/>
                      <w:u w:val="single"/>
                      <w:lang w:val="en-US" w:eastAsia="zh-CN"/>
                    </w:rPr>
                    <w:t>W、N、E</w:t>
                  </w:r>
                </w:p>
              </w:tc>
              <w:tc>
                <w:tcPr>
                  <w:tcW w:w="608" w:type="pct"/>
                  <w:vAlign w:val="center"/>
                </w:tcPr>
                <w:p>
                  <w:pPr>
                    <w:pStyle w:val="47"/>
                    <w:rPr>
                      <w:rFonts w:hint="default"/>
                      <w:u w:val="single"/>
                      <w:lang w:val="en-US" w:eastAsia="zh-CN"/>
                    </w:rPr>
                  </w:pPr>
                  <w:r>
                    <w:rPr>
                      <w:rFonts w:hint="eastAsia"/>
                      <w:u w:val="single"/>
                      <w:lang w:val="en-US" w:eastAsia="zh-CN"/>
                    </w:rPr>
                    <w:t>1~50m</w:t>
                  </w:r>
                </w:p>
              </w:tc>
              <w:tc>
                <w:tcPr>
                  <w:tcW w:w="552" w:type="pct"/>
                  <w:vAlign w:val="center"/>
                </w:tcPr>
                <w:p>
                  <w:pPr>
                    <w:pStyle w:val="47"/>
                    <w:rPr>
                      <w:rFonts w:hint="default"/>
                      <w:u w:val="single"/>
                      <w:lang w:val="en-US" w:eastAsia="zh-CN"/>
                    </w:rPr>
                  </w:pPr>
                  <w:r>
                    <w:rPr>
                      <w:rFonts w:hint="eastAsia"/>
                      <w:u w:val="single"/>
                      <w:lang w:val="en-US" w:eastAsia="zh-CN"/>
                    </w:rPr>
                    <w:t>35户，约60人</w:t>
                  </w:r>
                </w:p>
              </w:tc>
              <w:tc>
                <w:tcPr>
                  <w:tcW w:w="443" w:type="pct"/>
                  <w:vAlign w:val="center"/>
                </w:tcPr>
                <w:p>
                  <w:pPr>
                    <w:pStyle w:val="47"/>
                    <w:rPr>
                      <w:rFonts w:hint="eastAsia"/>
                      <w:u w:val="single"/>
                    </w:rPr>
                  </w:pPr>
                  <w:r>
                    <w:rPr>
                      <w:rFonts w:hint="eastAsia"/>
                      <w:u w:val="single"/>
                    </w:rPr>
                    <w:t>居住</w:t>
                  </w:r>
                </w:p>
              </w:tc>
              <w:tc>
                <w:tcPr>
                  <w:tcW w:w="1106" w:type="pct"/>
                  <w:vAlign w:val="center"/>
                </w:tcPr>
                <w:p>
                  <w:pPr>
                    <w:pStyle w:val="47"/>
                    <w:rPr>
                      <w:rFonts w:hint="eastAsia"/>
                      <w:u w:val="single"/>
                    </w:rPr>
                  </w:pPr>
                  <w:r>
                    <w:rPr>
                      <w:rFonts w:hint="eastAsia"/>
                      <w:u w:val="single"/>
                    </w:rPr>
                    <w:t>《</w:t>
                  </w:r>
                  <w:r>
                    <w:rPr>
                      <w:rFonts w:hint="eastAsia"/>
                      <w:u w:val="single"/>
                      <w:lang w:val="en-US" w:eastAsia="zh-CN"/>
                    </w:rPr>
                    <w:t>声环境</w:t>
                  </w:r>
                  <w:r>
                    <w:rPr>
                      <w:rFonts w:hint="eastAsia"/>
                      <w:u w:val="single"/>
                    </w:rPr>
                    <w:t>质量标准》（</w:t>
                  </w:r>
                  <w:r>
                    <w:rPr>
                      <w:u w:val="single"/>
                    </w:rPr>
                    <w:t>GB309</w:t>
                  </w:r>
                  <w:r>
                    <w:rPr>
                      <w:rFonts w:hint="eastAsia"/>
                      <w:u w:val="single"/>
                      <w:lang w:val="en-US" w:eastAsia="zh-CN"/>
                    </w:rPr>
                    <w:t>6-2008</w:t>
                  </w:r>
                  <w:r>
                    <w:rPr>
                      <w:rFonts w:hint="eastAsia"/>
                      <w:u w:val="single"/>
                    </w:rPr>
                    <w:t>）</w:t>
                  </w:r>
                  <w:r>
                    <w:rPr>
                      <w:rFonts w:hint="eastAsia"/>
                      <w:u w:val="single"/>
                      <w:lang w:val="en-US" w:eastAsia="zh-CN"/>
                    </w:rPr>
                    <w:t>2类</w:t>
                  </w:r>
                  <w:r>
                    <w:rPr>
                      <w:rFonts w:hint="eastAsia"/>
                      <w:u w:val="singl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vMerge w:val="restart"/>
                  <w:vAlign w:val="center"/>
                </w:tcPr>
                <w:p>
                  <w:pPr>
                    <w:pStyle w:val="47"/>
                    <w:rPr>
                      <w:rFonts w:hint="default"/>
                      <w:u w:val="single"/>
                      <w:lang w:val="en-US" w:eastAsia="zh-CN"/>
                    </w:rPr>
                  </w:pPr>
                  <w:r>
                    <w:rPr>
                      <w:rFonts w:hint="eastAsia"/>
                      <w:u w:val="single"/>
                      <w:lang w:val="en-US" w:eastAsia="zh-CN"/>
                    </w:rPr>
                    <w:t>地表水</w:t>
                  </w:r>
                </w:p>
              </w:tc>
              <w:tc>
                <w:tcPr>
                  <w:tcW w:w="464" w:type="pct"/>
                  <w:vAlign w:val="center"/>
                </w:tcPr>
                <w:p>
                  <w:pPr>
                    <w:pStyle w:val="47"/>
                    <w:rPr>
                      <w:rFonts w:hint="eastAsia" w:ascii="Times New Roman" w:hAnsi="Times New Roman" w:eastAsia="宋体" w:cs="Times New Roman"/>
                      <w:u w:val="single"/>
                      <w:lang w:eastAsia="zh-CN"/>
                    </w:rPr>
                  </w:pPr>
                  <w:r>
                    <w:rPr>
                      <w:rFonts w:hint="eastAsia" w:ascii="Times New Roman" w:hAnsi="Times New Roman" w:eastAsia="宋体" w:cs="Times New Roman"/>
                      <w:u w:val="single"/>
                      <w:lang w:val="en-US" w:eastAsia="zh-CN"/>
                    </w:rPr>
                    <w:t>农灌渠</w:t>
                  </w:r>
                </w:p>
              </w:tc>
              <w:tc>
                <w:tcPr>
                  <w:tcW w:w="918" w:type="pct"/>
                  <w:shd w:val="clear" w:color="auto" w:fill="auto"/>
                  <w:vAlign w:val="center"/>
                </w:tcPr>
                <w:p>
                  <w:pPr>
                    <w:pStyle w:val="47"/>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w:t>
                  </w:r>
                </w:p>
              </w:tc>
              <w:tc>
                <w:tcPr>
                  <w:tcW w:w="458" w:type="pct"/>
                  <w:vAlign w:val="center"/>
                </w:tcPr>
                <w:p>
                  <w:pPr>
                    <w:pStyle w:val="47"/>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S</w:t>
                  </w:r>
                </w:p>
              </w:tc>
              <w:tc>
                <w:tcPr>
                  <w:tcW w:w="608" w:type="pct"/>
                  <w:vAlign w:val="center"/>
                </w:tcPr>
                <w:p>
                  <w:pPr>
                    <w:pStyle w:val="85"/>
                    <w:ind w:right="113" w:rightChars="0" w:firstLine="0" w:firstLineChars="0"/>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5m</w:t>
                  </w:r>
                </w:p>
              </w:tc>
              <w:tc>
                <w:tcPr>
                  <w:tcW w:w="995" w:type="pct"/>
                  <w:gridSpan w:val="2"/>
                  <w:vAlign w:val="center"/>
                </w:tcPr>
                <w:p>
                  <w:pPr>
                    <w:pStyle w:val="85"/>
                    <w:ind w:right="113" w:rightChars="0" w:firstLine="0" w:firstLineChars="0"/>
                    <w:rPr>
                      <w:rFonts w:eastAsiaTheme="minorEastAsia"/>
                      <w:color w:val="000000"/>
                      <w:szCs w:val="21"/>
                      <w:u w:val="single"/>
                    </w:rPr>
                  </w:pPr>
                  <w:r>
                    <w:rPr>
                      <w:rFonts w:eastAsiaTheme="minorEastAsia"/>
                      <w:color w:val="000000"/>
                      <w:szCs w:val="21"/>
                      <w:u w:val="single"/>
                    </w:rPr>
                    <w:t>农灌</w:t>
                  </w:r>
                </w:p>
              </w:tc>
              <w:tc>
                <w:tcPr>
                  <w:tcW w:w="1106" w:type="pct"/>
                  <w:vAlign w:val="center"/>
                </w:tcPr>
                <w:p>
                  <w:pPr>
                    <w:pStyle w:val="47"/>
                    <w:rPr>
                      <w:rFonts w:hint="eastAsia" w:ascii="Times New Roman" w:hAnsi="Times New Roman" w:eastAsia="宋体" w:cs="Times New Roman"/>
                      <w:u w:val="single"/>
                      <w:lang w:eastAsia="zh-CN"/>
                    </w:rPr>
                  </w:pPr>
                  <w:r>
                    <w:rPr>
                      <w:rFonts w:hint="eastAsia" w:ascii="Times New Roman" w:hAnsi="Times New Roman" w:eastAsia="宋体" w:cs="Times New Roman"/>
                      <w:u w:val="single"/>
                    </w:rPr>
                    <w:t>《农田灌溉水质标准》（GB 5084-</w:t>
                  </w:r>
                  <w:r>
                    <w:rPr>
                      <w:rFonts w:hint="eastAsia" w:ascii="Times New Roman" w:hAnsi="Times New Roman" w:eastAsia="宋体" w:cs="Times New Roman"/>
                      <w:u w:val="single"/>
                      <w:lang w:val="en-US" w:eastAsia="zh-CN"/>
                    </w:rPr>
                    <w:t>2021</w:t>
                  </w:r>
                  <w:r>
                    <w:rPr>
                      <w:rFonts w:hint="eastAsia" w:ascii="Times New Roman" w:hAnsi="Times New Roman" w:eastAsia="宋体" w:cs="Times New Roman"/>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vMerge w:val="continue"/>
                  <w:vAlign w:val="center"/>
                </w:tcPr>
                <w:p>
                  <w:pPr>
                    <w:pStyle w:val="47"/>
                    <w:rPr>
                      <w:rFonts w:hint="eastAsia"/>
                      <w:u w:val="single"/>
                      <w:lang w:val="en-US" w:eastAsia="zh-CN"/>
                    </w:rPr>
                  </w:pPr>
                </w:p>
              </w:tc>
              <w:tc>
                <w:tcPr>
                  <w:tcW w:w="464" w:type="pct"/>
                  <w:vAlign w:val="center"/>
                </w:tcPr>
                <w:p>
                  <w:pPr>
                    <w:pStyle w:val="47"/>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坑塘</w:t>
                  </w:r>
                </w:p>
              </w:tc>
              <w:tc>
                <w:tcPr>
                  <w:tcW w:w="918" w:type="pct"/>
                  <w:shd w:val="clear" w:color="auto" w:fill="auto"/>
                  <w:vAlign w:val="center"/>
                </w:tcPr>
                <w:p>
                  <w:pPr>
                    <w:pStyle w:val="47"/>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w:t>
                  </w:r>
                </w:p>
              </w:tc>
              <w:tc>
                <w:tcPr>
                  <w:tcW w:w="458" w:type="pct"/>
                  <w:vAlign w:val="center"/>
                </w:tcPr>
                <w:p>
                  <w:pPr>
                    <w:pStyle w:val="47"/>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N、E</w:t>
                  </w:r>
                </w:p>
              </w:tc>
              <w:tc>
                <w:tcPr>
                  <w:tcW w:w="608" w:type="pct"/>
                  <w:vAlign w:val="center"/>
                </w:tcPr>
                <w:p>
                  <w:pPr>
                    <w:pStyle w:val="85"/>
                    <w:ind w:right="113" w:rightChars="0" w:firstLine="0" w:firstLineChars="0"/>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61m</w:t>
                  </w:r>
                </w:p>
              </w:tc>
              <w:tc>
                <w:tcPr>
                  <w:tcW w:w="995" w:type="pct"/>
                  <w:gridSpan w:val="2"/>
                  <w:vAlign w:val="center"/>
                </w:tcPr>
                <w:p>
                  <w:pPr>
                    <w:pStyle w:val="85"/>
                    <w:ind w:right="113" w:rightChars="0" w:firstLine="0" w:firstLineChars="0"/>
                    <w:rPr>
                      <w:rFonts w:hint="default" w:eastAsiaTheme="minorEastAsia"/>
                      <w:color w:val="000000"/>
                      <w:szCs w:val="21"/>
                      <w:u w:val="single"/>
                      <w:lang w:val="en-US" w:eastAsia="zh-CN"/>
                    </w:rPr>
                  </w:pPr>
                  <w:r>
                    <w:rPr>
                      <w:rFonts w:hint="eastAsia" w:eastAsiaTheme="minorEastAsia"/>
                      <w:color w:val="000000"/>
                      <w:szCs w:val="21"/>
                      <w:u w:val="single"/>
                      <w:lang w:val="en-US" w:eastAsia="zh-CN"/>
                    </w:rPr>
                    <w:t>渔业用水</w:t>
                  </w:r>
                </w:p>
              </w:tc>
              <w:tc>
                <w:tcPr>
                  <w:tcW w:w="1106" w:type="pct"/>
                  <w:vMerge w:val="restart"/>
                  <w:vAlign w:val="center"/>
                </w:tcPr>
                <w:p>
                  <w:pPr>
                    <w:pStyle w:val="47"/>
                    <w:rPr>
                      <w:rFonts w:hint="eastAsia" w:ascii="Times New Roman" w:hAnsi="Times New Roman" w:eastAsia="宋体" w:cs="Times New Roman"/>
                      <w:u w:val="single"/>
                      <w:lang w:eastAsia="zh-CN"/>
                    </w:rPr>
                  </w:pPr>
                  <w:r>
                    <w:rPr>
                      <w:rFonts w:hint="eastAsia" w:ascii="Times New Roman" w:hAnsi="Times New Roman" w:eastAsia="宋体" w:cs="Times New Roman"/>
                      <w:u w:val="single"/>
                    </w:rPr>
                    <w:t>GB3838-2002中Ⅲ类标准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vMerge w:val="continue"/>
                  <w:vAlign w:val="center"/>
                </w:tcPr>
                <w:p>
                  <w:pPr>
                    <w:pStyle w:val="47"/>
                    <w:rPr>
                      <w:rFonts w:hint="eastAsia"/>
                      <w:u w:val="single"/>
                      <w:lang w:val="en-US" w:eastAsia="zh-CN"/>
                    </w:rPr>
                  </w:pPr>
                </w:p>
              </w:tc>
              <w:tc>
                <w:tcPr>
                  <w:tcW w:w="464" w:type="pct"/>
                  <w:vAlign w:val="center"/>
                </w:tcPr>
                <w:p>
                  <w:pPr>
                    <w:pStyle w:val="47"/>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横岭湖</w:t>
                  </w:r>
                </w:p>
              </w:tc>
              <w:tc>
                <w:tcPr>
                  <w:tcW w:w="918" w:type="pct"/>
                  <w:shd w:val="clear" w:color="auto" w:fill="auto"/>
                  <w:vAlign w:val="center"/>
                </w:tcPr>
                <w:p>
                  <w:pPr>
                    <w:pStyle w:val="47"/>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w:t>
                  </w:r>
                </w:p>
              </w:tc>
              <w:tc>
                <w:tcPr>
                  <w:tcW w:w="458" w:type="pct"/>
                  <w:vAlign w:val="center"/>
                </w:tcPr>
                <w:p>
                  <w:pPr>
                    <w:pStyle w:val="47"/>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EN</w:t>
                  </w:r>
                </w:p>
              </w:tc>
              <w:tc>
                <w:tcPr>
                  <w:tcW w:w="608" w:type="pct"/>
                  <w:vAlign w:val="center"/>
                </w:tcPr>
                <w:p>
                  <w:pPr>
                    <w:pStyle w:val="85"/>
                    <w:ind w:right="113" w:rightChars="0" w:firstLine="0" w:firstLineChars="0"/>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1703m</w:t>
                  </w:r>
                </w:p>
              </w:tc>
              <w:tc>
                <w:tcPr>
                  <w:tcW w:w="995" w:type="pct"/>
                  <w:gridSpan w:val="2"/>
                  <w:vAlign w:val="center"/>
                </w:tcPr>
                <w:p>
                  <w:pPr>
                    <w:pStyle w:val="85"/>
                    <w:ind w:right="113" w:rightChars="0" w:firstLine="0" w:firstLineChars="0"/>
                    <w:rPr>
                      <w:rFonts w:hint="default" w:eastAsiaTheme="minorEastAsia"/>
                      <w:color w:val="000000"/>
                      <w:szCs w:val="21"/>
                      <w:u w:val="single"/>
                      <w:lang w:val="en-US" w:eastAsia="zh-CN"/>
                    </w:rPr>
                  </w:pPr>
                  <w:r>
                    <w:rPr>
                      <w:rFonts w:hint="eastAsia" w:eastAsiaTheme="minorEastAsia"/>
                      <w:color w:val="000000"/>
                      <w:szCs w:val="21"/>
                      <w:u w:val="single"/>
                      <w:lang w:val="en-US" w:eastAsia="zh-CN"/>
                    </w:rPr>
                    <w:t>省级自然保护区</w:t>
                  </w:r>
                </w:p>
              </w:tc>
              <w:tc>
                <w:tcPr>
                  <w:tcW w:w="1106" w:type="pct"/>
                  <w:vMerge w:val="continue"/>
                  <w:vAlign w:val="center"/>
                </w:tcPr>
                <w:p>
                  <w:pPr>
                    <w:pStyle w:val="47"/>
                    <w:rPr>
                      <w:rFonts w:hint="eastAsia" w:ascii="Times New Roman" w:hAnsi="Times New Roman" w:eastAsia="宋体" w:cs="Times New Roman"/>
                      <w:u w:val="singl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vMerge w:val="continue"/>
                  <w:vAlign w:val="center"/>
                </w:tcPr>
                <w:p>
                  <w:pPr>
                    <w:pStyle w:val="47"/>
                    <w:rPr>
                      <w:rFonts w:hint="eastAsia"/>
                      <w:u w:val="single"/>
                      <w:lang w:val="en-US" w:eastAsia="zh-CN"/>
                    </w:rPr>
                  </w:pPr>
                </w:p>
              </w:tc>
              <w:tc>
                <w:tcPr>
                  <w:tcW w:w="464" w:type="pct"/>
                  <w:vAlign w:val="center"/>
                </w:tcPr>
                <w:p>
                  <w:pPr>
                    <w:pStyle w:val="47"/>
                    <w:rPr>
                      <w:rFonts w:hint="eastAsia" w:ascii="Times New Roman" w:hAnsi="Times New Roman" w:eastAsia="宋体" w:cs="Times New Roman"/>
                      <w:u w:val="single"/>
                      <w:lang w:eastAsia="zh-CN"/>
                    </w:rPr>
                  </w:pPr>
                  <w:r>
                    <w:rPr>
                      <w:rFonts w:hint="eastAsia" w:ascii="Times New Roman" w:hAnsi="Times New Roman" w:eastAsia="宋体" w:cs="Times New Roman"/>
                      <w:u w:val="single"/>
                      <w:lang w:eastAsia="zh-CN"/>
                    </w:rPr>
                    <w:t>湘江</w:t>
                  </w:r>
                </w:p>
              </w:tc>
              <w:tc>
                <w:tcPr>
                  <w:tcW w:w="918" w:type="pct"/>
                  <w:shd w:val="clear" w:color="auto" w:fill="auto"/>
                  <w:vAlign w:val="center"/>
                </w:tcPr>
                <w:p>
                  <w:pPr>
                    <w:pStyle w:val="47"/>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w:t>
                  </w:r>
                </w:p>
              </w:tc>
              <w:tc>
                <w:tcPr>
                  <w:tcW w:w="458" w:type="pct"/>
                  <w:vAlign w:val="center"/>
                </w:tcPr>
                <w:p>
                  <w:pPr>
                    <w:pStyle w:val="47"/>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E</w:t>
                  </w:r>
                </w:p>
              </w:tc>
              <w:tc>
                <w:tcPr>
                  <w:tcW w:w="608" w:type="pct"/>
                  <w:vAlign w:val="center"/>
                </w:tcPr>
                <w:p>
                  <w:pPr>
                    <w:pStyle w:val="85"/>
                    <w:ind w:right="113" w:rightChars="0" w:firstLine="0" w:firstLineChars="0"/>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1500m</w:t>
                  </w:r>
                </w:p>
              </w:tc>
              <w:tc>
                <w:tcPr>
                  <w:tcW w:w="995" w:type="pct"/>
                  <w:gridSpan w:val="2"/>
                  <w:vAlign w:val="center"/>
                </w:tcPr>
                <w:p>
                  <w:pPr>
                    <w:pStyle w:val="85"/>
                    <w:ind w:right="113" w:rightChars="0" w:firstLine="0" w:firstLineChars="0"/>
                    <w:rPr>
                      <w:rFonts w:hint="eastAsia" w:eastAsiaTheme="minorEastAsia"/>
                      <w:color w:val="000000"/>
                      <w:szCs w:val="21"/>
                      <w:u w:val="single"/>
                    </w:rPr>
                  </w:pPr>
                  <w:r>
                    <w:rPr>
                      <w:rFonts w:hint="eastAsia" w:eastAsiaTheme="minorEastAsia"/>
                      <w:color w:val="000000"/>
                      <w:szCs w:val="21"/>
                      <w:u w:val="single"/>
                    </w:rPr>
                    <w:t>大河（</w:t>
                  </w:r>
                  <w:r>
                    <w:rPr>
                      <w:rFonts w:hint="eastAsia"/>
                      <w:u w:val="single"/>
                    </w:rPr>
                    <w:t>洋沙湖下游</w:t>
                  </w:r>
                  <w:r>
                    <w:rPr>
                      <w:u w:val="single"/>
                    </w:rPr>
                    <w:t>200米至磊石（东支)</w:t>
                  </w:r>
                  <w:r>
                    <w:rPr>
                      <w:rFonts w:hint="eastAsia"/>
                      <w:u w:val="single"/>
                    </w:rPr>
                    <w:t>段</w:t>
                  </w:r>
                  <w:r>
                    <w:rPr>
                      <w:rFonts w:hint="eastAsia" w:eastAsiaTheme="minorEastAsia"/>
                      <w:color w:val="000000"/>
                      <w:szCs w:val="21"/>
                      <w:u w:val="single"/>
                    </w:rPr>
                    <w:t>）/</w:t>
                  </w:r>
                  <w:r>
                    <w:rPr>
                      <w:rFonts w:hint="eastAsia" w:eastAsiaTheme="minorEastAsia"/>
                      <w:u w:val="single"/>
                    </w:rPr>
                    <w:t>渔业用水区</w:t>
                  </w:r>
                </w:p>
              </w:tc>
              <w:tc>
                <w:tcPr>
                  <w:tcW w:w="1106" w:type="pct"/>
                  <w:vMerge w:val="continue"/>
                  <w:vAlign w:val="center"/>
                </w:tcPr>
                <w:p>
                  <w:pPr>
                    <w:pStyle w:val="47"/>
                    <w:rPr>
                      <w:rFonts w:hint="eastAsia" w:ascii="Times New Roman" w:hAnsi="Times New Roman" w:eastAsia="宋体" w:cs="Times New Roman"/>
                      <w:u w:val="singl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vAlign w:val="center"/>
                </w:tcPr>
                <w:p>
                  <w:pPr>
                    <w:pStyle w:val="47"/>
                    <w:rPr>
                      <w:u w:val="single"/>
                    </w:rPr>
                  </w:pPr>
                  <w:r>
                    <w:rPr>
                      <w:rFonts w:hint="eastAsia"/>
                      <w:u w:val="single"/>
                      <w:lang w:val="en-US" w:eastAsia="zh-CN"/>
                    </w:rPr>
                    <w:t>生态</w:t>
                  </w:r>
                  <w:r>
                    <w:rPr>
                      <w:rFonts w:hint="eastAsia"/>
                      <w:u w:val="single"/>
                    </w:rPr>
                    <w:t>环境</w:t>
                  </w:r>
                </w:p>
              </w:tc>
              <w:tc>
                <w:tcPr>
                  <w:tcW w:w="4550" w:type="pct"/>
                  <w:gridSpan w:val="7"/>
                  <w:vAlign w:val="center"/>
                </w:tcPr>
                <w:p>
                  <w:pPr>
                    <w:keepNext w:val="0"/>
                    <w:keepLines w:val="0"/>
                    <w:widowControl/>
                    <w:suppressLineNumbers w:val="0"/>
                    <w:jc w:val="center"/>
                    <w:rPr>
                      <w:rFonts w:hint="default"/>
                      <w:u w:val="single"/>
                      <w:lang w:val="en-US"/>
                    </w:rPr>
                  </w:pPr>
                  <w:r>
                    <w:rPr>
                      <w:rFonts w:hint="eastAsia" w:ascii="Times New Roman" w:hAnsi="Times New Roman" w:eastAsia="宋体" w:cs="Times New Roman"/>
                      <w:kern w:val="2"/>
                      <w:sz w:val="21"/>
                      <w:szCs w:val="28"/>
                      <w:u w:val="single"/>
                      <w:lang w:val="en-US" w:eastAsia="zh-CN" w:bidi="ar-SA"/>
                    </w:rPr>
                    <w:t>项目新增用地范围内不涉及受影响的重要物种、生态敏感区以及其他需要保护的物种、种群、生物群落及生态空间</w:t>
                  </w:r>
                  <w:r>
                    <w:rPr>
                      <w:rFonts w:hint="eastAsia" w:cs="Times New Roman"/>
                      <w:kern w:val="2"/>
                      <w:sz w:val="21"/>
                      <w:szCs w:val="28"/>
                      <w:u w:val="single"/>
                      <w:lang w:val="en-US" w:eastAsia="zh-CN" w:bidi="ar-SA"/>
                    </w:rPr>
                    <w:t>等生态环境保护目标。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vAlign w:val="center"/>
                </w:tcPr>
                <w:p>
                  <w:pPr>
                    <w:pStyle w:val="47"/>
                    <w:rPr>
                      <w:u w:val="single"/>
                    </w:rPr>
                  </w:pPr>
                  <w:r>
                    <w:rPr>
                      <w:rFonts w:hint="eastAsia"/>
                      <w:u w:val="single"/>
                    </w:rPr>
                    <w:t>地下水环境</w:t>
                  </w:r>
                </w:p>
              </w:tc>
              <w:tc>
                <w:tcPr>
                  <w:tcW w:w="4550" w:type="pct"/>
                  <w:gridSpan w:val="7"/>
                  <w:vAlign w:val="center"/>
                </w:tcPr>
                <w:p>
                  <w:pPr>
                    <w:pStyle w:val="47"/>
                    <w:rPr>
                      <w:u w:val="single"/>
                    </w:rPr>
                  </w:pPr>
                  <w:r>
                    <w:rPr>
                      <w:rFonts w:hint="eastAsia"/>
                      <w:u w:val="single"/>
                    </w:rPr>
                    <w:t>本项目厂界</w:t>
                  </w:r>
                  <w:r>
                    <w:rPr>
                      <w:u w:val="single"/>
                    </w:rPr>
                    <w:t>50</w:t>
                  </w:r>
                  <w:r>
                    <w:rPr>
                      <w:rFonts w:hint="eastAsia"/>
                      <w:u w:val="single"/>
                    </w:rPr>
                    <w:t>0</w:t>
                  </w:r>
                  <w:r>
                    <w:rPr>
                      <w:u w:val="single"/>
                    </w:rPr>
                    <w:t>m</w:t>
                  </w:r>
                  <w:r>
                    <w:rPr>
                      <w:rFonts w:hint="eastAsia"/>
                      <w:u w:val="single"/>
                    </w:rPr>
                    <w:t>范围内无地下水集中式饮用水源和热水、矿泉水、温泉等特殊地下水资源。</w:t>
                  </w:r>
                </w:p>
              </w:tc>
            </w:tr>
          </w:tbl>
          <w:p>
            <w:pPr>
              <w:adjustRightInd w:val="0"/>
              <w:snapToGrid w:val="0"/>
              <w:ind w:firstLine="0" w:firstLineChars="0"/>
              <w:jc w:val="left"/>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1" w:hRule="atLeast"/>
          <w:jc w:val="center"/>
        </w:trPr>
        <w:tc>
          <w:tcPr>
            <w:tcW w:w="534" w:type="dxa"/>
            <w:tcMar>
              <w:left w:w="28" w:type="dxa"/>
              <w:right w:w="28" w:type="dxa"/>
            </w:tcMar>
            <w:vAlign w:val="center"/>
          </w:tcPr>
          <w:p>
            <w:pPr>
              <w:adjustRightInd w:val="0"/>
              <w:snapToGrid w:val="0"/>
              <w:ind w:firstLine="0" w:firstLineChars="0"/>
              <w:jc w:val="center"/>
              <w:rPr>
                <w:rFonts w:ascii="宋体" w:hAnsi="宋体" w:cs="宋体"/>
                <w:kern w:val="0"/>
                <w:szCs w:val="21"/>
              </w:rPr>
            </w:pPr>
            <w:r>
              <w:rPr>
                <w:rFonts w:hint="eastAsia" w:ascii="宋体" w:hAnsi="宋体" w:cs="宋体"/>
                <w:kern w:val="0"/>
                <w:szCs w:val="21"/>
              </w:rPr>
              <w:t>污染物排放控制标准</w:t>
            </w:r>
          </w:p>
        </w:tc>
        <w:tc>
          <w:tcPr>
            <w:tcW w:w="8527" w:type="dxa"/>
            <w:vAlign w:val="center"/>
          </w:tcPr>
          <w:p>
            <w:pPr>
              <w:ind w:firstLine="480"/>
            </w:pPr>
            <w:r>
              <w:rPr>
                <w:rFonts w:hint="eastAsia"/>
              </w:rPr>
              <w:t>1、废水排放标准</w:t>
            </w:r>
          </w:p>
          <w:p>
            <w:pPr>
              <w:keepNext w:val="0"/>
              <w:keepLines w:val="0"/>
              <w:widowControl/>
              <w:suppressLineNumbers w:val="0"/>
              <w:jc w:val="left"/>
              <w:rPr>
                <w:rFonts w:hint="eastAsia" w:ascii="Times New Roman" w:hAnsi="Times New Roman" w:eastAsia="宋体" w:cs="Times New Roman"/>
                <w:color w:val="auto"/>
                <w:sz w:val="24"/>
                <w:szCs w:val="24"/>
                <w:highlight w:val="none"/>
                <w:lang w:val="en-US" w:eastAsia="zh-CN"/>
              </w:rPr>
            </w:pPr>
            <w:r>
              <w:rPr>
                <w:rFonts w:hint="eastAsia" w:ascii="宋体" w:hAnsi="宋体" w:eastAsia="宋体" w:cs="宋体"/>
                <w:color w:val="000000"/>
                <w:kern w:val="0"/>
                <w:sz w:val="24"/>
                <w:szCs w:val="24"/>
                <w:lang w:val="en-US" w:eastAsia="zh-CN" w:bidi="ar"/>
              </w:rPr>
              <w:t>雨污分流，雨水收集后排入周边沟渠；</w:t>
            </w:r>
            <w:r>
              <w:rPr>
                <w:rFonts w:hint="eastAsia" w:ascii="宋体" w:hAnsi="宋体" w:eastAsia="宋体" w:cs="宋体"/>
                <w:color w:val="000000"/>
                <w:kern w:val="0"/>
                <w:sz w:val="24"/>
                <w:szCs w:val="24"/>
                <w:u w:val="single"/>
                <w:lang w:val="en-US" w:eastAsia="zh-CN" w:bidi="ar"/>
              </w:rPr>
              <w:t>生活污水经化粪池预处理，</w:t>
            </w:r>
            <w:r>
              <w:rPr>
                <w:rFonts w:hint="eastAsia" w:ascii="宋体" w:hAnsi="宋体" w:cs="宋体"/>
                <w:color w:val="000000"/>
                <w:kern w:val="0"/>
                <w:sz w:val="24"/>
                <w:szCs w:val="24"/>
                <w:u w:val="single"/>
                <w:lang w:val="en-US" w:eastAsia="zh-CN" w:bidi="ar"/>
              </w:rPr>
              <w:t>食堂废水经隔油池预处理后合并经自建一体化污水处理设施处理达到</w:t>
            </w:r>
            <w:r>
              <w:rPr>
                <w:rFonts w:hint="eastAsia" w:ascii="Times New Roman" w:hAnsi="Times New Roman" w:eastAsia="宋体" w:cs="Times New Roman"/>
                <w:color w:val="auto"/>
                <w:sz w:val="24"/>
                <w:szCs w:val="24"/>
                <w:highlight w:val="none"/>
                <w:u w:val="single"/>
                <w:lang w:val="en-US" w:eastAsia="zh-CN"/>
              </w:rPr>
              <w:t>《</w:t>
            </w:r>
            <w:r>
              <w:rPr>
                <w:rFonts w:hint="eastAsia" w:cs="Times New Roman"/>
                <w:color w:val="auto"/>
                <w:sz w:val="24"/>
                <w:szCs w:val="24"/>
                <w:highlight w:val="none"/>
                <w:u w:val="single"/>
                <w:lang w:val="en-US" w:eastAsia="zh-CN"/>
              </w:rPr>
              <w:t>农田灌溉水质标</w:t>
            </w:r>
            <w:r>
              <w:rPr>
                <w:rFonts w:hint="eastAsia" w:ascii="Times New Roman" w:hAnsi="Times New Roman" w:eastAsia="宋体" w:cs="Times New Roman"/>
                <w:color w:val="auto"/>
                <w:sz w:val="24"/>
                <w:szCs w:val="24"/>
                <w:highlight w:val="none"/>
                <w:u w:val="single"/>
                <w:lang w:val="en-US" w:eastAsia="zh-CN"/>
              </w:rPr>
              <w:t>准》（</w:t>
            </w:r>
            <w:r>
              <w:rPr>
                <w:rFonts w:hint="default" w:ascii="Times New Roman" w:hAnsi="Times New Roman" w:eastAsia="宋体" w:cs="Times New Roman"/>
                <w:color w:val="auto"/>
                <w:sz w:val="24"/>
                <w:szCs w:val="24"/>
                <w:highlight w:val="none"/>
                <w:u w:val="single"/>
                <w:lang w:val="en-US" w:eastAsia="zh-CN"/>
              </w:rPr>
              <w:t xml:space="preserve">GB </w:t>
            </w:r>
            <w:r>
              <w:rPr>
                <w:rFonts w:hint="eastAsia" w:ascii="Times New Roman" w:hAnsi="Times New Roman" w:eastAsia="宋体" w:cs="Times New Roman"/>
                <w:color w:val="auto"/>
                <w:sz w:val="24"/>
                <w:szCs w:val="24"/>
                <w:highlight w:val="none"/>
                <w:u w:val="single"/>
                <w:lang w:val="en-US" w:eastAsia="zh-CN"/>
              </w:rPr>
              <w:t>5084—2021）</w:t>
            </w:r>
            <w:r>
              <w:rPr>
                <w:rFonts w:hint="eastAsia" w:cs="Times New Roman"/>
                <w:color w:val="auto"/>
                <w:sz w:val="24"/>
                <w:szCs w:val="24"/>
                <w:highlight w:val="none"/>
                <w:u w:val="single"/>
                <w:lang w:val="en-US" w:eastAsia="zh-CN"/>
              </w:rPr>
              <w:t>蔬菜作物</w:t>
            </w:r>
            <w:r>
              <w:rPr>
                <w:rFonts w:hint="eastAsia" w:ascii="Times New Roman" w:hAnsi="Times New Roman" w:eastAsia="宋体" w:cs="Times New Roman"/>
                <w:color w:val="auto"/>
                <w:sz w:val="24"/>
                <w:szCs w:val="24"/>
                <w:highlight w:val="none"/>
                <w:u w:val="single"/>
                <w:lang w:val="en-US" w:eastAsia="zh-CN"/>
              </w:rPr>
              <w:t>标准</w:t>
            </w:r>
            <w:r>
              <w:rPr>
                <w:rFonts w:hint="eastAsia" w:cs="Times New Roman"/>
                <w:color w:val="auto"/>
                <w:sz w:val="24"/>
                <w:szCs w:val="24"/>
                <w:highlight w:val="none"/>
                <w:u w:val="single"/>
                <w:lang w:val="en-US" w:eastAsia="zh-CN"/>
              </w:rPr>
              <w:t>后给周边菜地做农肥使用</w:t>
            </w:r>
            <w:r>
              <w:rPr>
                <w:rFonts w:hint="eastAsia" w:ascii="Times New Roman" w:hAnsi="Times New Roman" w:eastAsia="宋体" w:cs="Times New Roman"/>
                <w:color w:val="auto"/>
                <w:sz w:val="24"/>
                <w:szCs w:val="24"/>
                <w:highlight w:val="none"/>
                <w:u w:val="single"/>
                <w:lang w:val="en-US" w:eastAsia="zh-CN"/>
              </w:rPr>
              <w:t>。</w:t>
            </w:r>
            <w:r>
              <w:rPr>
                <w:rFonts w:hint="eastAsia" w:ascii="宋体" w:hAnsi="宋体" w:cs="宋体"/>
                <w:color w:val="000000"/>
                <w:kern w:val="0"/>
                <w:sz w:val="24"/>
                <w:szCs w:val="24"/>
                <w:lang w:val="en-US" w:eastAsia="zh-CN" w:bidi="ar"/>
              </w:rPr>
              <w:t>锅炉排污水</w:t>
            </w:r>
            <w:r>
              <w:rPr>
                <w:rFonts w:hint="eastAsia" w:ascii="宋体" w:hAnsi="宋体" w:eastAsia="宋体" w:cs="宋体"/>
                <w:color w:val="000000"/>
                <w:kern w:val="0"/>
                <w:sz w:val="24"/>
                <w:szCs w:val="24"/>
                <w:lang w:val="en-US" w:eastAsia="zh-CN" w:bidi="ar"/>
              </w:rPr>
              <w:t>、软水制备废水、地面清洗废水收集进入厂区沉淀池处理后直接用于</w:t>
            </w:r>
            <w:r>
              <w:rPr>
                <w:rFonts w:hint="eastAsia" w:ascii="宋体" w:hAnsi="宋体" w:cs="宋体"/>
                <w:color w:val="000000"/>
                <w:kern w:val="0"/>
                <w:sz w:val="24"/>
                <w:szCs w:val="24"/>
                <w:lang w:val="en-US" w:eastAsia="zh-CN" w:bidi="ar"/>
              </w:rPr>
              <w:t>生产</w:t>
            </w:r>
            <w:r>
              <w:rPr>
                <w:rFonts w:hint="eastAsia" w:ascii="宋体" w:hAnsi="宋体" w:eastAsia="宋体" w:cs="宋体"/>
                <w:color w:val="000000"/>
                <w:kern w:val="0"/>
                <w:sz w:val="24"/>
                <w:szCs w:val="24"/>
                <w:lang w:val="en-US" w:eastAsia="zh-CN" w:bidi="ar"/>
              </w:rPr>
              <w:t>工序，不外排。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b/>
                <w:bCs/>
                <w:snapToGrid w:val="0"/>
                <w:color w:val="auto"/>
                <w:kern w:val="0"/>
                <w:sz w:val="24"/>
              </w:rPr>
            </w:pPr>
            <w:r>
              <w:rPr>
                <w:rFonts w:hint="eastAsia"/>
                <w:b/>
                <w:bCs/>
                <w:snapToGrid w:val="0"/>
                <w:color w:val="auto"/>
                <w:kern w:val="0"/>
                <w:sz w:val="24"/>
              </w:rPr>
              <w:t>表</w:t>
            </w:r>
            <w:r>
              <w:rPr>
                <w:b/>
                <w:bCs/>
                <w:snapToGrid w:val="0"/>
                <w:color w:val="auto"/>
                <w:kern w:val="0"/>
                <w:sz w:val="24"/>
              </w:rPr>
              <w:t>3-</w:t>
            </w:r>
            <w:r>
              <w:rPr>
                <w:rFonts w:hint="eastAsia"/>
                <w:b/>
                <w:bCs/>
                <w:snapToGrid w:val="0"/>
                <w:color w:val="auto"/>
                <w:kern w:val="0"/>
                <w:sz w:val="24"/>
                <w:lang w:val="en-US" w:eastAsia="zh-CN"/>
              </w:rPr>
              <w:t>9</w:t>
            </w:r>
            <w:r>
              <w:rPr>
                <w:b/>
                <w:bCs/>
                <w:snapToGrid w:val="0"/>
                <w:color w:val="auto"/>
                <w:kern w:val="0"/>
                <w:sz w:val="24"/>
              </w:rPr>
              <w:t xml:space="preserve"> </w:t>
            </w:r>
            <w:r>
              <w:rPr>
                <w:rFonts w:hint="eastAsia" w:ascii="Times New Roman" w:hAnsi="Times New Roman" w:eastAsia="宋体" w:cs="Times New Roman"/>
                <w:b/>
                <w:bCs/>
                <w:snapToGrid w:val="0"/>
                <w:color w:val="auto"/>
                <w:kern w:val="0"/>
                <w:sz w:val="24"/>
              </w:rPr>
              <w:t>废水</w:t>
            </w:r>
            <w:r>
              <w:rPr>
                <w:rFonts w:hint="eastAsia" w:ascii="Times New Roman" w:hAnsi="Times New Roman" w:eastAsia="宋体" w:cs="Times New Roman"/>
                <w:b/>
                <w:bCs/>
                <w:snapToGrid w:val="0"/>
                <w:color w:val="auto"/>
                <w:kern w:val="0"/>
                <w:sz w:val="24"/>
                <w:lang w:val="en-US" w:eastAsia="zh-CN"/>
              </w:rPr>
              <w:t>排放</w:t>
            </w:r>
            <w:r>
              <w:rPr>
                <w:rFonts w:hint="eastAsia" w:ascii="Times New Roman" w:hAnsi="Times New Roman" w:eastAsia="宋体" w:cs="Times New Roman"/>
                <w:b/>
                <w:bCs/>
                <w:snapToGrid w:val="0"/>
                <w:color w:val="auto"/>
                <w:kern w:val="0"/>
                <w:sz w:val="24"/>
              </w:rPr>
              <w:t>标准</w:t>
            </w:r>
            <w:r>
              <w:rPr>
                <w:rFonts w:hint="eastAsia"/>
                <w:b/>
                <w:bCs/>
                <w:snapToGrid w:val="0"/>
                <w:color w:val="auto"/>
                <w:kern w:val="0"/>
                <w:sz w:val="24"/>
                <w:lang w:val="en-US" w:eastAsia="zh-CN"/>
              </w:rPr>
              <w:t xml:space="preserve">   </w:t>
            </w:r>
            <w:r>
              <w:rPr>
                <w:bCs/>
                <w:color w:val="auto"/>
                <w:sz w:val="24"/>
              </w:rPr>
              <w:t>mg/L</w:t>
            </w:r>
            <w:r>
              <w:rPr>
                <w:rFonts w:hint="eastAsia"/>
                <w:bCs/>
                <w:color w:val="auto"/>
                <w:sz w:val="24"/>
              </w:rPr>
              <w:t>（</w:t>
            </w:r>
            <w:r>
              <w:rPr>
                <w:bCs/>
                <w:color w:val="auto"/>
                <w:sz w:val="22"/>
                <w:szCs w:val="22"/>
              </w:rPr>
              <w:t>pH</w:t>
            </w:r>
            <w:r>
              <w:rPr>
                <w:rFonts w:hint="eastAsia"/>
                <w:bCs/>
                <w:color w:val="auto"/>
                <w:sz w:val="22"/>
                <w:szCs w:val="22"/>
              </w:rPr>
              <w:t>无量纲</w:t>
            </w:r>
            <w:r>
              <w:rPr>
                <w:rFonts w:hint="eastAsia"/>
                <w:bCs/>
                <w:color w:val="auto"/>
                <w:sz w:val="24"/>
              </w:rPr>
              <w:t>）</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8"/>
              <w:gridCol w:w="1240"/>
              <w:gridCol w:w="913"/>
              <w:gridCol w:w="1091"/>
              <w:gridCol w:w="900"/>
              <w:gridCol w:w="1049"/>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9" w:type="pct"/>
                  <w:tcBorders>
                    <w:tl2br w:val="nil"/>
                    <w:tr2bl w:val="nil"/>
                  </w:tcBorders>
                  <w:noWrap w:val="0"/>
                  <w:vAlign w:val="center"/>
                </w:tcPr>
                <w:p>
                  <w:pPr>
                    <w:pStyle w:val="48"/>
                    <w:rPr>
                      <w:rFonts w:hint="eastAsia" w:ascii="Times New Roman" w:hAnsi="Times New Roman" w:eastAsia="宋体" w:cs="Times New Roman"/>
                    </w:rPr>
                  </w:pPr>
                  <w:r>
                    <w:rPr>
                      <w:rFonts w:hint="eastAsia" w:ascii="Times New Roman" w:hAnsi="Times New Roman" w:eastAsia="宋体" w:cs="Times New Roman"/>
                    </w:rPr>
                    <w:t>控制项目</w:t>
                  </w:r>
                </w:p>
              </w:tc>
              <w:tc>
                <w:tcPr>
                  <w:tcW w:w="740" w:type="pct"/>
                  <w:tcBorders>
                    <w:tl2br w:val="nil"/>
                    <w:tr2bl w:val="nil"/>
                  </w:tcBorders>
                  <w:noWrap w:val="0"/>
                  <w:vAlign w:val="center"/>
                </w:tcPr>
                <w:p>
                  <w:pPr>
                    <w:pStyle w:val="48"/>
                    <w:rPr>
                      <w:rFonts w:hint="eastAsia" w:ascii="Times New Roman" w:hAnsi="Times New Roman" w:eastAsia="宋体" w:cs="Times New Roman"/>
                    </w:rPr>
                  </w:pPr>
                  <w:r>
                    <w:rPr>
                      <w:rFonts w:hint="eastAsia" w:ascii="Times New Roman" w:hAnsi="Times New Roman" w:eastAsia="宋体" w:cs="Times New Roman"/>
                    </w:rPr>
                    <w:t>pH</w:t>
                  </w:r>
                </w:p>
              </w:tc>
              <w:tc>
                <w:tcPr>
                  <w:tcW w:w="545" w:type="pct"/>
                  <w:tcBorders>
                    <w:tl2br w:val="nil"/>
                    <w:tr2bl w:val="nil"/>
                  </w:tcBorders>
                  <w:noWrap w:val="0"/>
                  <w:vAlign w:val="center"/>
                </w:tcPr>
                <w:p>
                  <w:pPr>
                    <w:pStyle w:val="48"/>
                    <w:rPr>
                      <w:rFonts w:hint="eastAsia" w:ascii="Times New Roman" w:hAnsi="Times New Roman" w:eastAsia="宋体" w:cs="Times New Roman"/>
                    </w:rPr>
                  </w:pPr>
                  <w:r>
                    <w:rPr>
                      <w:rFonts w:hint="eastAsia" w:ascii="Times New Roman" w:hAnsi="Times New Roman" w:eastAsia="宋体" w:cs="Times New Roman"/>
                    </w:rPr>
                    <w:t>CODCr</w:t>
                  </w:r>
                </w:p>
              </w:tc>
              <w:tc>
                <w:tcPr>
                  <w:tcW w:w="651" w:type="pct"/>
                  <w:tcBorders>
                    <w:tl2br w:val="nil"/>
                    <w:tr2bl w:val="nil"/>
                  </w:tcBorders>
                  <w:noWrap w:val="0"/>
                  <w:vAlign w:val="center"/>
                </w:tcPr>
                <w:p>
                  <w:pPr>
                    <w:pStyle w:val="48"/>
                    <w:rPr>
                      <w:rFonts w:hint="eastAsia" w:ascii="Times New Roman" w:hAnsi="Times New Roman" w:eastAsia="宋体" w:cs="Times New Roman"/>
                    </w:rPr>
                  </w:pPr>
                  <w:r>
                    <w:rPr>
                      <w:rFonts w:hint="eastAsia" w:ascii="Times New Roman" w:hAnsi="Times New Roman" w:eastAsia="宋体" w:cs="Times New Roman"/>
                    </w:rPr>
                    <w:t>BOD</w:t>
                  </w:r>
                  <w:r>
                    <w:rPr>
                      <w:rFonts w:hint="eastAsia" w:ascii="Times New Roman" w:hAnsi="Times New Roman" w:eastAsia="宋体" w:cs="Times New Roman"/>
                      <w:vertAlign w:val="subscript"/>
                    </w:rPr>
                    <w:t>5</w:t>
                  </w:r>
                </w:p>
              </w:tc>
              <w:tc>
                <w:tcPr>
                  <w:tcW w:w="537" w:type="pct"/>
                  <w:tcBorders>
                    <w:tl2br w:val="nil"/>
                    <w:tr2bl w:val="nil"/>
                  </w:tcBorders>
                  <w:noWrap w:val="0"/>
                  <w:vAlign w:val="center"/>
                </w:tcPr>
                <w:p>
                  <w:pPr>
                    <w:pStyle w:val="48"/>
                    <w:rPr>
                      <w:rFonts w:hint="eastAsia" w:ascii="Times New Roman" w:hAnsi="Times New Roman" w:eastAsia="宋体" w:cs="Times New Roman"/>
                    </w:rPr>
                  </w:pPr>
                  <w:r>
                    <w:rPr>
                      <w:rFonts w:hint="eastAsia" w:ascii="Times New Roman" w:hAnsi="Times New Roman" w:eastAsia="宋体" w:cs="Times New Roman"/>
                    </w:rPr>
                    <w:t>氨氮</w:t>
                  </w:r>
                </w:p>
              </w:tc>
              <w:tc>
                <w:tcPr>
                  <w:tcW w:w="626" w:type="pct"/>
                  <w:tcBorders>
                    <w:tl2br w:val="nil"/>
                    <w:tr2bl w:val="nil"/>
                  </w:tcBorders>
                  <w:noWrap w:val="0"/>
                  <w:vAlign w:val="center"/>
                </w:tcPr>
                <w:p>
                  <w:pPr>
                    <w:pStyle w:val="48"/>
                    <w:rPr>
                      <w:rFonts w:hint="eastAsia" w:ascii="Times New Roman" w:hAnsi="Times New Roman" w:eastAsia="宋体" w:cs="Times New Roman"/>
                    </w:rPr>
                  </w:pPr>
                  <w:r>
                    <w:rPr>
                      <w:rFonts w:hint="eastAsia" w:ascii="Times New Roman" w:hAnsi="Times New Roman" w:eastAsia="宋体" w:cs="Times New Roman"/>
                    </w:rPr>
                    <w:t>悬浮物</w:t>
                  </w:r>
                </w:p>
              </w:tc>
              <w:tc>
                <w:tcPr>
                  <w:tcW w:w="539" w:type="pct"/>
                  <w:tcBorders>
                    <w:tl2br w:val="nil"/>
                    <w:tr2bl w:val="nil"/>
                  </w:tcBorders>
                  <w:noWrap w:val="0"/>
                  <w:vAlign w:val="center"/>
                </w:tcPr>
                <w:p>
                  <w:pPr>
                    <w:pStyle w:val="48"/>
                    <w:rPr>
                      <w:rFonts w:hint="eastAsia" w:ascii="Times New Roman" w:hAnsi="Times New Roman" w:eastAsia="宋体" w:cs="Times New Roman"/>
                      <w:lang w:val="en-US" w:eastAsia="zh-CN"/>
                    </w:rPr>
                  </w:pPr>
                  <w:r>
                    <w:rPr>
                      <w:rFonts w:hint="eastAsia" w:cs="Times New Roman"/>
                      <w:lang w:val="en-US" w:eastAsia="zh-CN"/>
                    </w:rPr>
                    <w:t>总氮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9" w:type="pct"/>
                  <w:tcBorders>
                    <w:tl2br w:val="nil"/>
                    <w:tr2bl w:val="nil"/>
                  </w:tcBorders>
                  <w:noWrap w:val="0"/>
                  <w:vAlign w:val="center"/>
                </w:tcPr>
                <w:p>
                  <w:pPr>
                    <w:pStyle w:val="48"/>
                    <w:rPr>
                      <w:rFonts w:hint="eastAsia" w:ascii="Times New Roman" w:hAnsi="Times New Roman" w:eastAsia="宋体" w:cs="Times New Roman"/>
                    </w:rPr>
                  </w:pPr>
                  <w:r>
                    <w:rPr>
                      <w:rFonts w:hint="eastAsia" w:ascii="Times New Roman" w:hAnsi="Times New Roman" w:eastAsia="宋体" w:cs="Times New Roman"/>
                      <w:lang w:val="en-US" w:eastAsia="zh-CN"/>
                    </w:rPr>
                    <w:t>《</w:t>
                  </w:r>
                  <w:r>
                    <w:rPr>
                      <w:rFonts w:hint="eastAsia" w:cs="Times New Roman"/>
                      <w:lang w:val="en-US" w:eastAsia="zh-CN"/>
                    </w:rPr>
                    <w:t>农田灌溉水质标准</w:t>
                  </w:r>
                  <w:r>
                    <w:rPr>
                      <w:rFonts w:hint="eastAsia" w:ascii="Times New Roman" w:hAnsi="Times New Roman" w:eastAsia="宋体" w:cs="Times New Roman"/>
                      <w:lang w:val="en-US" w:eastAsia="zh-CN"/>
                    </w:rPr>
                    <w:t>》（</w:t>
                  </w:r>
                  <w:r>
                    <w:rPr>
                      <w:rFonts w:hint="eastAsia" w:cs="Times New Roman"/>
                      <w:lang w:val="en-US" w:eastAsia="zh-CN"/>
                    </w:rPr>
                    <w:t>GB5084-2021</w:t>
                  </w:r>
                  <w:r>
                    <w:rPr>
                      <w:rFonts w:hint="eastAsia" w:ascii="Times New Roman" w:hAnsi="Times New Roman" w:eastAsia="宋体" w:cs="Times New Roman"/>
                      <w:lang w:val="en-US" w:eastAsia="zh-CN"/>
                    </w:rPr>
                    <w:t>）</w:t>
                  </w:r>
                </w:p>
              </w:tc>
              <w:tc>
                <w:tcPr>
                  <w:tcW w:w="740" w:type="pct"/>
                  <w:tcBorders>
                    <w:tl2br w:val="nil"/>
                    <w:tr2bl w:val="nil"/>
                  </w:tcBorders>
                  <w:noWrap w:val="0"/>
                  <w:vAlign w:val="center"/>
                </w:tcPr>
                <w:p>
                  <w:pPr>
                    <w:pStyle w:val="48"/>
                    <w:rPr>
                      <w:rFonts w:hint="default" w:ascii="Times New Roman" w:hAnsi="Times New Roman" w:eastAsia="宋体" w:cs="Times New Roman"/>
                      <w:lang w:val="en-US" w:eastAsia="zh-CN"/>
                    </w:rPr>
                  </w:pPr>
                  <w:r>
                    <w:rPr>
                      <w:rFonts w:hint="eastAsia" w:cs="Times New Roman"/>
                      <w:lang w:val="en-US" w:eastAsia="zh-CN"/>
                    </w:rPr>
                    <w:t>5.5-8.5</w:t>
                  </w:r>
                </w:p>
              </w:tc>
              <w:tc>
                <w:tcPr>
                  <w:tcW w:w="545" w:type="pct"/>
                  <w:tcBorders>
                    <w:tl2br w:val="nil"/>
                    <w:tr2bl w:val="nil"/>
                  </w:tcBorders>
                  <w:noWrap w:val="0"/>
                  <w:vAlign w:val="center"/>
                </w:tcPr>
                <w:p>
                  <w:pPr>
                    <w:pStyle w:val="48"/>
                    <w:rPr>
                      <w:rFonts w:hint="default" w:ascii="Times New Roman" w:hAnsi="Times New Roman" w:eastAsia="宋体" w:cs="Times New Roman"/>
                      <w:lang w:val="en-US" w:eastAsia="zh-CN"/>
                    </w:rPr>
                  </w:pPr>
                  <w:r>
                    <w:rPr>
                      <w:rFonts w:hint="eastAsia" w:cs="Times New Roman"/>
                      <w:lang w:val="en-US" w:eastAsia="zh-CN"/>
                    </w:rPr>
                    <w:t>100</w:t>
                  </w:r>
                </w:p>
              </w:tc>
              <w:tc>
                <w:tcPr>
                  <w:tcW w:w="651" w:type="pct"/>
                  <w:tcBorders>
                    <w:tl2br w:val="nil"/>
                    <w:tr2bl w:val="nil"/>
                  </w:tcBorders>
                  <w:noWrap w:val="0"/>
                  <w:vAlign w:val="center"/>
                </w:tcPr>
                <w:p>
                  <w:pPr>
                    <w:pStyle w:val="48"/>
                    <w:rPr>
                      <w:rFonts w:hint="default" w:ascii="Times New Roman" w:hAnsi="Times New Roman" w:eastAsia="宋体" w:cs="Times New Roman"/>
                      <w:lang w:val="en-US" w:eastAsia="zh-CN"/>
                    </w:rPr>
                  </w:pPr>
                  <w:r>
                    <w:rPr>
                      <w:rFonts w:hint="eastAsia" w:cs="Times New Roman"/>
                      <w:lang w:val="en-US" w:eastAsia="zh-CN"/>
                    </w:rPr>
                    <w:t>40</w:t>
                  </w:r>
                </w:p>
              </w:tc>
              <w:tc>
                <w:tcPr>
                  <w:tcW w:w="537" w:type="pct"/>
                  <w:tcBorders>
                    <w:tl2br w:val="nil"/>
                    <w:tr2bl w:val="nil"/>
                  </w:tcBorders>
                  <w:noWrap w:val="0"/>
                  <w:vAlign w:val="center"/>
                </w:tcPr>
                <w:p>
                  <w:pPr>
                    <w:pStyle w:val="48"/>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626" w:type="pct"/>
                  <w:tcBorders>
                    <w:tl2br w:val="nil"/>
                    <w:tr2bl w:val="nil"/>
                  </w:tcBorders>
                  <w:noWrap w:val="0"/>
                  <w:vAlign w:val="center"/>
                </w:tcPr>
                <w:p>
                  <w:pPr>
                    <w:pStyle w:val="48"/>
                    <w:rPr>
                      <w:rFonts w:hint="default" w:ascii="Times New Roman" w:hAnsi="Times New Roman" w:eastAsia="宋体" w:cs="Times New Roman"/>
                      <w:lang w:val="en-US" w:eastAsia="zh-CN"/>
                    </w:rPr>
                  </w:pPr>
                  <w:r>
                    <w:rPr>
                      <w:rFonts w:hint="eastAsia" w:cs="Times New Roman"/>
                      <w:lang w:val="en-US" w:eastAsia="zh-CN"/>
                    </w:rPr>
                    <w:t>60</w:t>
                  </w:r>
                </w:p>
              </w:tc>
              <w:tc>
                <w:tcPr>
                  <w:tcW w:w="539" w:type="pct"/>
                  <w:tcBorders>
                    <w:tl2br w:val="nil"/>
                    <w:tr2bl w:val="nil"/>
                  </w:tcBorders>
                  <w:noWrap w:val="0"/>
                  <w:vAlign w:val="center"/>
                </w:tcPr>
                <w:p>
                  <w:pPr>
                    <w:pStyle w:val="48"/>
                    <w:rPr>
                      <w:rFonts w:hint="default" w:cs="Times New Roman"/>
                      <w:lang w:val="en-US" w:eastAsia="zh-CN"/>
                    </w:rPr>
                  </w:pPr>
                  <w:r>
                    <w:rPr>
                      <w:rFonts w:hint="eastAsia" w:cs="Times New Roman"/>
                      <w:lang w:val="en-US" w:eastAsia="zh-CN"/>
                    </w:rPr>
                    <w:t>--</w:t>
                  </w:r>
                </w:p>
              </w:tc>
            </w:tr>
          </w:tbl>
          <w:p>
            <w:pPr>
              <w:spacing w:before="120"/>
              <w:ind w:firstLine="480"/>
              <w:jc w:val="left"/>
            </w:pPr>
            <w:r>
              <w:t>2、噪声排放标准</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施工期场界噪声执行《建筑施工场界环境噪声排放标准》（</w:t>
            </w:r>
            <w:r>
              <w:rPr>
                <w:rFonts w:hint="default" w:ascii="Times New Roman" w:hAnsi="Times New Roman" w:eastAsia="宋体" w:cs="Times New Roman"/>
                <w:color w:val="000000"/>
                <w:kern w:val="0"/>
                <w:sz w:val="24"/>
                <w:szCs w:val="24"/>
                <w:lang w:val="en-US" w:eastAsia="zh-CN" w:bidi="ar"/>
              </w:rPr>
              <w:t>GB12523-2011</w:t>
            </w:r>
            <w:r>
              <w:rPr>
                <w:rFonts w:hint="eastAsia" w:ascii="宋体" w:hAnsi="宋体" w:eastAsia="宋体" w:cs="宋体"/>
                <w:color w:val="000000"/>
                <w:kern w:val="0"/>
                <w:sz w:val="24"/>
                <w:szCs w:val="24"/>
                <w:lang w:val="en-US" w:eastAsia="zh-CN" w:bidi="ar"/>
              </w:rPr>
              <w:t>）；</w:t>
            </w:r>
          </w:p>
          <w:p>
            <w:pPr>
              <w:ind w:firstLine="480"/>
            </w:pPr>
            <w:r>
              <w:rPr>
                <w:rFonts w:hint="eastAsia"/>
              </w:rPr>
              <w:t>营运期东、西、南、北侧执行《工业企业厂界环境噪声排放标准》（GB12348-2008）表一中2类标准</w:t>
            </w:r>
            <w:r>
              <w:t>。</w:t>
            </w:r>
          </w:p>
          <w:p>
            <w:pPr>
              <w:pStyle w:val="7"/>
              <w:rPr>
                <w:kern w:val="0"/>
                <w:sz w:val="21"/>
              </w:rPr>
            </w:pPr>
            <w:r>
              <w:rPr>
                <w:kern w:val="0"/>
                <w:sz w:val="21"/>
              </w:rPr>
              <w:t>表3-</w:t>
            </w:r>
            <w:r>
              <w:rPr>
                <w:rFonts w:hint="eastAsia"/>
                <w:kern w:val="0"/>
                <w:sz w:val="21"/>
                <w:lang w:val="en-US" w:eastAsia="zh-CN"/>
              </w:rPr>
              <w:t xml:space="preserve">10 </w:t>
            </w:r>
            <w:r>
              <w:rPr>
                <w:kern w:val="0"/>
                <w:sz w:val="21"/>
              </w:rPr>
              <w:t>噪声排放标准dB（A）</w:t>
            </w:r>
          </w:p>
          <w:tbl>
            <w:tblPr>
              <w:tblStyle w:val="24"/>
              <w:tblW w:w="4974"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1516"/>
              <w:gridCol w:w="1040"/>
              <w:gridCol w:w="1055"/>
              <w:gridCol w:w="906"/>
              <w:gridCol w:w="38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0" w:hRule="atLeast"/>
                <w:jc w:val="center"/>
              </w:trPr>
              <w:tc>
                <w:tcPr>
                  <w:tcW w:w="910" w:type="pct"/>
                  <w:tcBorders>
                    <w:top w:val="single" w:color="auto" w:sz="4" w:space="0"/>
                    <w:left w:val="single" w:color="000000" w:sz="4" w:space="0"/>
                    <w:bottom w:val="single" w:color="auto" w:sz="4" w:space="0"/>
                    <w:right w:val="single" w:color="auto" w:sz="4" w:space="0"/>
                  </w:tcBorders>
                  <w:vAlign w:val="center"/>
                </w:tcPr>
                <w:p>
                  <w:pPr>
                    <w:pStyle w:val="48"/>
                    <w:rPr>
                      <w:b/>
                      <w:bCs/>
                    </w:rPr>
                  </w:pPr>
                  <w:r>
                    <w:rPr>
                      <w:b/>
                      <w:bCs/>
                    </w:rPr>
                    <w:t>厂界方位</w:t>
                  </w:r>
                </w:p>
              </w:tc>
              <w:tc>
                <w:tcPr>
                  <w:tcW w:w="624" w:type="pct"/>
                  <w:tcBorders>
                    <w:top w:val="single" w:color="auto" w:sz="4" w:space="0"/>
                    <w:left w:val="single" w:color="auto" w:sz="4" w:space="0"/>
                    <w:bottom w:val="single" w:color="auto" w:sz="4" w:space="0"/>
                    <w:right w:val="single" w:color="auto" w:sz="4" w:space="0"/>
                  </w:tcBorders>
                  <w:vAlign w:val="center"/>
                </w:tcPr>
                <w:p>
                  <w:pPr>
                    <w:pStyle w:val="48"/>
                    <w:rPr>
                      <w:b/>
                      <w:bCs/>
                    </w:rPr>
                  </w:pPr>
                  <w:r>
                    <w:rPr>
                      <w:b/>
                      <w:bCs/>
                    </w:rPr>
                    <w:t>类别</w:t>
                  </w:r>
                </w:p>
              </w:tc>
              <w:tc>
                <w:tcPr>
                  <w:tcW w:w="633" w:type="pct"/>
                  <w:tcBorders>
                    <w:top w:val="single" w:color="auto" w:sz="4" w:space="0"/>
                    <w:left w:val="single" w:color="auto" w:sz="4" w:space="0"/>
                    <w:bottom w:val="single" w:color="auto" w:sz="4" w:space="0"/>
                    <w:right w:val="single" w:color="auto" w:sz="4" w:space="0"/>
                  </w:tcBorders>
                  <w:vAlign w:val="center"/>
                </w:tcPr>
                <w:p>
                  <w:pPr>
                    <w:pStyle w:val="48"/>
                    <w:rPr>
                      <w:b/>
                      <w:bCs/>
                    </w:rPr>
                  </w:pPr>
                  <w:r>
                    <w:rPr>
                      <w:b/>
                      <w:bCs/>
                    </w:rPr>
                    <w:t>昼间</w:t>
                  </w:r>
                </w:p>
              </w:tc>
              <w:tc>
                <w:tcPr>
                  <w:tcW w:w="544" w:type="pct"/>
                  <w:tcBorders>
                    <w:top w:val="single" w:color="auto" w:sz="4" w:space="0"/>
                    <w:left w:val="single" w:color="auto" w:sz="4" w:space="0"/>
                    <w:bottom w:val="single" w:color="auto" w:sz="4" w:space="0"/>
                    <w:right w:val="single" w:color="auto" w:sz="4" w:space="0"/>
                  </w:tcBorders>
                  <w:vAlign w:val="center"/>
                </w:tcPr>
                <w:p>
                  <w:pPr>
                    <w:pStyle w:val="48"/>
                    <w:rPr>
                      <w:b/>
                      <w:bCs/>
                    </w:rPr>
                  </w:pPr>
                  <w:r>
                    <w:rPr>
                      <w:b/>
                      <w:bCs/>
                    </w:rPr>
                    <w:t>夜间</w:t>
                  </w:r>
                </w:p>
              </w:tc>
              <w:tc>
                <w:tcPr>
                  <w:tcW w:w="2286" w:type="pct"/>
                  <w:tcBorders>
                    <w:top w:val="single" w:color="auto" w:sz="4" w:space="0"/>
                    <w:left w:val="single" w:color="auto" w:sz="4" w:space="0"/>
                    <w:bottom w:val="single" w:color="auto" w:sz="4" w:space="0"/>
                    <w:right w:val="single" w:color="auto" w:sz="4" w:space="0"/>
                  </w:tcBorders>
                  <w:vAlign w:val="center"/>
                </w:tcPr>
                <w:p>
                  <w:pPr>
                    <w:pStyle w:val="48"/>
                    <w:rPr>
                      <w:b/>
                      <w:bCs/>
                    </w:rPr>
                  </w:pPr>
                  <w:r>
                    <w:rPr>
                      <w:rFonts w:hint="eastAsia"/>
                      <w:b/>
                      <w:bCs/>
                    </w:rPr>
                    <w:t>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0" w:hRule="atLeast"/>
                <w:jc w:val="center"/>
              </w:trPr>
              <w:tc>
                <w:tcPr>
                  <w:tcW w:w="910" w:type="pct"/>
                  <w:tcBorders>
                    <w:top w:val="single" w:color="auto" w:sz="4" w:space="0"/>
                    <w:left w:val="single" w:color="auto" w:sz="4" w:space="0"/>
                    <w:bottom w:val="single" w:color="auto" w:sz="4" w:space="0"/>
                    <w:right w:val="single" w:color="auto" w:sz="4" w:space="0"/>
                  </w:tcBorders>
                  <w:vAlign w:val="center"/>
                </w:tcPr>
                <w:p>
                  <w:pPr>
                    <w:pStyle w:val="48"/>
                  </w:pPr>
                  <w:r>
                    <w:t>东、西</w:t>
                  </w:r>
                  <w:r>
                    <w:rPr>
                      <w:rFonts w:hint="eastAsia"/>
                    </w:rPr>
                    <w:t>、南、</w:t>
                  </w:r>
                  <w:r>
                    <w:t>北厂界</w:t>
                  </w:r>
                </w:p>
              </w:tc>
              <w:tc>
                <w:tcPr>
                  <w:tcW w:w="624" w:type="pct"/>
                  <w:tcBorders>
                    <w:top w:val="single" w:color="auto" w:sz="4" w:space="0"/>
                    <w:left w:val="single" w:color="auto" w:sz="4" w:space="0"/>
                    <w:bottom w:val="single" w:color="auto" w:sz="4" w:space="0"/>
                    <w:right w:val="single" w:color="auto" w:sz="4" w:space="0"/>
                  </w:tcBorders>
                  <w:vAlign w:val="center"/>
                </w:tcPr>
                <w:p>
                  <w:pPr>
                    <w:pStyle w:val="48"/>
                  </w:pPr>
                  <w:r>
                    <w:rPr>
                      <w:rFonts w:hint="eastAsia"/>
                    </w:rPr>
                    <w:t>2</w:t>
                  </w:r>
                  <w:r>
                    <w:t>类</w:t>
                  </w:r>
                </w:p>
              </w:tc>
              <w:tc>
                <w:tcPr>
                  <w:tcW w:w="633" w:type="pct"/>
                  <w:tcBorders>
                    <w:top w:val="single" w:color="auto" w:sz="4" w:space="0"/>
                    <w:left w:val="single" w:color="auto" w:sz="4" w:space="0"/>
                    <w:bottom w:val="single" w:color="auto" w:sz="4" w:space="0"/>
                    <w:right w:val="single" w:color="auto" w:sz="4" w:space="0"/>
                  </w:tcBorders>
                  <w:vAlign w:val="center"/>
                </w:tcPr>
                <w:p>
                  <w:pPr>
                    <w:pStyle w:val="48"/>
                  </w:pPr>
                  <w:r>
                    <w:t>60</w:t>
                  </w:r>
                </w:p>
              </w:tc>
              <w:tc>
                <w:tcPr>
                  <w:tcW w:w="544" w:type="pct"/>
                  <w:tcBorders>
                    <w:top w:val="single" w:color="auto" w:sz="4" w:space="0"/>
                    <w:left w:val="single" w:color="auto" w:sz="4" w:space="0"/>
                    <w:bottom w:val="single" w:color="auto" w:sz="4" w:space="0"/>
                    <w:right w:val="single" w:color="auto" w:sz="4" w:space="0"/>
                  </w:tcBorders>
                  <w:vAlign w:val="center"/>
                </w:tcPr>
                <w:p>
                  <w:pPr>
                    <w:pStyle w:val="48"/>
                  </w:pPr>
                  <w:r>
                    <w:t>50</w:t>
                  </w:r>
                </w:p>
              </w:tc>
              <w:tc>
                <w:tcPr>
                  <w:tcW w:w="2286" w:type="pct"/>
                  <w:tcBorders>
                    <w:top w:val="single" w:color="auto" w:sz="4" w:space="0"/>
                    <w:left w:val="single" w:color="auto" w:sz="4" w:space="0"/>
                    <w:bottom w:val="single" w:color="auto" w:sz="4" w:space="0"/>
                    <w:right w:val="single" w:color="auto" w:sz="4" w:space="0"/>
                  </w:tcBorders>
                  <w:vAlign w:val="center"/>
                </w:tcPr>
                <w:p>
                  <w:pPr>
                    <w:pStyle w:val="48"/>
                  </w:pPr>
                  <w:r>
                    <w:rPr>
                      <w:rFonts w:hint="eastAsia"/>
                    </w:rPr>
                    <w:t>《</w:t>
                  </w:r>
                  <w:r>
                    <w:t>工业企业厂界环境噪声排放标准</w:t>
                  </w:r>
                  <w:r>
                    <w:rPr>
                      <w:rFonts w:hint="eastAsia"/>
                    </w:rPr>
                    <w:t>》</w:t>
                  </w:r>
                  <w:r>
                    <w:t>（GB12348-2008）</w:t>
                  </w:r>
                  <w:r>
                    <w:rPr>
                      <w:rFonts w:hint="eastAsia"/>
                    </w:rPr>
                    <w:t>表一中2类标准</w:t>
                  </w:r>
                </w:p>
              </w:tc>
            </w:tr>
          </w:tbl>
          <w:p>
            <w:pPr>
              <w:spacing w:before="120"/>
              <w:ind w:firstLine="480"/>
            </w:pPr>
            <w:r>
              <w:rPr>
                <w:rFonts w:hint="eastAsia"/>
              </w:rPr>
              <w:t>3、废</w:t>
            </w:r>
            <w:r>
              <w:t>气污染物排放标准</w:t>
            </w:r>
          </w:p>
          <w:p>
            <w:pPr>
              <w:adjustRightInd w:val="0"/>
              <w:snapToGrid w:val="0"/>
              <w:spacing w:before="120"/>
              <w:ind w:firstLine="480"/>
              <w:rPr>
                <w:u w:val="single"/>
              </w:rPr>
            </w:pPr>
            <w:r>
              <w:rPr>
                <w:rFonts w:hint="default" w:ascii="Times New Roman" w:hAnsi="Times New Roman" w:cs="Times New Roman"/>
                <w:color w:val="auto"/>
                <w:sz w:val="24"/>
                <w:u w:val="none"/>
                <w:lang w:val="zh-CN"/>
              </w:rPr>
              <w:t>施工期扬尘（颗粒物）执行《大气污染物综合排放标准》（GB16297-1996）表2中无组织排放浓度标准。</w:t>
            </w:r>
            <w:r>
              <w:rPr>
                <w:rFonts w:hint="eastAsia"/>
                <w:color w:val="auto"/>
              </w:rPr>
              <w:t>项</w:t>
            </w:r>
            <w:r>
              <w:rPr>
                <w:rFonts w:hint="eastAsia"/>
                <w:color w:val="auto"/>
                <w:lang w:val="en-US" w:eastAsia="zh-CN"/>
              </w:rPr>
              <w:t>目</w:t>
            </w:r>
            <w:r>
              <w:rPr>
                <w:rFonts w:hint="eastAsia"/>
                <w:color w:val="auto"/>
              </w:rPr>
              <w:t>营运期产生的粉尘执行《大气污染物综合排放标准》 (GB16297-1996)表2中无组织排放标准限值要求；养菌产生的臭气浓度执行</w:t>
            </w:r>
            <w:r>
              <w:rPr>
                <w:color w:val="auto"/>
              </w:rPr>
              <w:t xml:space="preserve"> </w:t>
            </w:r>
            <w:r>
              <w:rPr>
                <w:rFonts w:hint="eastAsia"/>
                <w:kern w:val="18"/>
                <w:szCs w:val="21"/>
              </w:rPr>
              <w:t>《恶臭污染物排放标准》（GB14554-1993）表1中二级新、扩、改无组织排放限值要求</w:t>
            </w:r>
            <w:r>
              <w:rPr>
                <w:rFonts w:hint="eastAsia"/>
                <w:kern w:val="18"/>
                <w:szCs w:val="21"/>
                <w:lang w:eastAsia="zh-CN"/>
              </w:rPr>
              <w:t>；</w:t>
            </w:r>
            <w:r>
              <w:rPr>
                <w:rFonts w:hint="eastAsia"/>
                <w:u w:val="single"/>
              </w:rPr>
              <w:t>项目锅炉使用的燃料为</w:t>
            </w:r>
            <w:r>
              <w:rPr>
                <w:rFonts w:hint="eastAsia"/>
                <w:u w:val="single"/>
                <w:lang w:val="en-US" w:eastAsia="zh-CN"/>
              </w:rPr>
              <w:t>生物质</w:t>
            </w:r>
            <w:r>
              <w:rPr>
                <w:rFonts w:hint="eastAsia"/>
                <w:u w:val="single"/>
              </w:rPr>
              <w:t>燃料，污染物排放</w:t>
            </w:r>
            <w:r>
              <w:rPr>
                <w:rFonts w:hint="eastAsia"/>
                <w:u w:val="single"/>
                <w:lang w:eastAsia="zh-CN"/>
              </w:rPr>
              <w:t>执行</w:t>
            </w:r>
            <w:r>
              <w:rPr>
                <w:rFonts w:hint="eastAsia"/>
                <w:u w:val="single"/>
              </w:rPr>
              <w:t>《锅炉大气污染物排放标准》（GB13271-2014）表3中</w:t>
            </w:r>
            <w:r>
              <w:rPr>
                <w:rFonts w:hint="eastAsia"/>
                <w:u w:val="single"/>
                <w:lang w:val="en-US" w:eastAsia="zh-CN"/>
              </w:rPr>
              <w:t>燃煤</w:t>
            </w:r>
            <w:r>
              <w:rPr>
                <w:rFonts w:hint="eastAsia"/>
                <w:u w:val="single"/>
              </w:rPr>
              <w:t>锅炉特别排放限值控制要求。锅炉燃烧过程中产生二氧化硫、氮氧化物、颗粒物等污染因子。</w:t>
            </w:r>
          </w:p>
          <w:p>
            <w:pPr>
              <w:pStyle w:val="98"/>
              <w:spacing w:line="240" w:lineRule="auto"/>
              <w:rPr>
                <w:rFonts w:eastAsiaTheme="minorEastAsia"/>
                <w:u w:val="single"/>
                <w:vertAlign w:val="superscript"/>
              </w:rPr>
            </w:pPr>
            <w:r>
              <w:rPr>
                <w:rFonts w:hint="eastAsia" w:eastAsiaTheme="minorEastAsia"/>
                <w:u w:val="single"/>
              </w:rPr>
              <w:t>表3-</w:t>
            </w:r>
            <w:r>
              <w:rPr>
                <w:rFonts w:hint="eastAsia" w:eastAsiaTheme="minorEastAsia"/>
                <w:u w:val="single"/>
                <w:lang w:val="en-US" w:eastAsia="zh-CN"/>
              </w:rPr>
              <w:t>11</w:t>
            </w:r>
            <w:r>
              <w:rPr>
                <w:rFonts w:hint="eastAsia" w:eastAsiaTheme="minorEastAsia"/>
                <w:u w:val="single"/>
              </w:rPr>
              <w:t xml:space="preserve">  本项目大气污染物排放执行标准  单位：mg/m</w:t>
            </w:r>
            <w:r>
              <w:rPr>
                <w:rFonts w:hint="eastAsia" w:eastAsiaTheme="minorEastAsia"/>
                <w:u w:val="single"/>
                <w:vertAlign w:val="superscript"/>
              </w:rPr>
              <w:t>3</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6"/>
              <w:gridCol w:w="1202"/>
              <w:gridCol w:w="1205"/>
              <w:gridCol w:w="3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561"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
                      <w:kern w:val="0"/>
                      <w:sz w:val="21"/>
                      <w:szCs w:val="21"/>
                      <w:u w:val="single"/>
                    </w:rPr>
                  </w:pPr>
                  <w:r>
                    <w:rPr>
                      <w:b/>
                      <w:kern w:val="0"/>
                      <w:sz w:val="21"/>
                      <w:szCs w:val="21"/>
                      <w:u w:val="single"/>
                    </w:rPr>
                    <w:t>标准名称</w:t>
                  </w:r>
                </w:p>
              </w:tc>
              <w:tc>
                <w:tcPr>
                  <w:tcW w:w="717"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
                      <w:kern w:val="0"/>
                      <w:sz w:val="21"/>
                      <w:szCs w:val="21"/>
                      <w:u w:val="single"/>
                    </w:rPr>
                  </w:pPr>
                  <w:r>
                    <w:rPr>
                      <w:b/>
                      <w:kern w:val="0"/>
                      <w:sz w:val="21"/>
                      <w:szCs w:val="21"/>
                      <w:u w:val="single"/>
                    </w:rPr>
                    <w:t>适用类别</w:t>
                  </w:r>
                </w:p>
              </w:tc>
              <w:tc>
                <w:tcPr>
                  <w:tcW w:w="719"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
                      <w:kern w:val="0"/>
                      <w:sz w:val="21"/>
                      <w:szCs w:val="21"/>
                      <w:u w:val="single"/>
                    </w:rPr>
                  </w:pPr>
                  <w:r>
                    <w:rPr>
                      <w:b/>
                      <w:kern w:val="0"/>
                      <w:sz w:val="21"/>
                      <w:szCs w:val="21"/>
                      <w:u w:val="single"/>
                    </w:rPr>
                    <w:t>污染因子</w:t>
                  </w:r>
                </w:p>
              </w:tc>
              <w:tc>
                <w:tcPr>
                  <w:tcW w:w="2001"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
                      <w:kern w:val="0"/>
                      <w:sz w:val="21"/>
                      <w:szCs w:val="21"/>
                      <w:u w:val="single"/>
                    </w:rPr>
                  </w:pPr>
                  <w:r>
                    <w:rPr>
                      <w:b/>
                      <w:kern w:val="0"/>
                      <w:sz w:val="21"/>
                      <w:szCs w:val="21"/>
                      <w:u w:val="single"/>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561"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sz w:val="21"/>
                      <w:szCs w:val="21"/>
                      <w:u w:val="single"/>
                    </w:rPr>
                  </w:pPr>
                  <w:r>
                    <w:rPr>
                      <w:sz w:val="21"/>
                      <w:szCs w:val="21"/>
                      <w:u w:val="single"/>
                    </w:rPr>
                    <w:t>《大气污染物综合排放标准》 (GB16297-1996)</w:t>
                  </w:r>
                </w:p>
              </w:tc>
              <w:tc>
                <w:tcPr>
                  <w:tcW w:w="717"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kern w:val="0"/>
                      <w:sz w:val="21"/>
                      <w:szCs w:val="21"/>
                      <w:u w:val="single"/>
                    </w:rPr>
                  </w:pPr>
                  <w:r>
                    <w:rPr>
                      <w:rFonts w:hint="eastAsia"/>
                      <w:kern w:val="0"/>
                      <w:sz w:val="21"/>
                      <w:szCs w:val="21"/>
                      <w:u w:val="single"/>
                    </w:rPr>
                    <w:t>表2</w:t>
                  </w:r>
                </w:p>
              </w:tc>
              <w:tc>
                <w:tcPr>
                  <w:tcW w:w="719"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kern w:val="0"/>
                      <w:sz w:val="21"/>
                      <w:szCs w:val="21"/>
                      <w:u w:val="single"/>
                    </w:rPr>
                  </w:pPr>
                  <w:r>
                    <w:rPr>
                      <w:rFonts w:hint="eastAsia"/>
                      <w:kern w:val="0"/>
                      <w:sz w:val="21"/>
                      <w:szCs w:val="21"/>
                      <w:u w:val="single"/>
                    </w:rPr>
                    <w:t>颗粒物</w:t>
                  </w:r>
                </w:p>
              </w:tc>
              <w:tc>
                <w:tcPr>
                  <w:tcW w:w="2001"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kern w:val="0"/>
                      <w:sz w:val="21"/>
                      <w:szCs w:val="21"/>
                      <w:u w:val="single"/>
                    </w:rPr>
                  </w:pPr>
                  <w:r>
                    <w:rPr>
                      <w:rFonts w:hint="eastAsia" w:eastAsiaTheme="minorEastAsia"/>
                      <w:sz w:val="21"/>
                      <w:szCs w:val="21"/>
                      <w:u w:val="single"/>
                    </w:rPr>
                    <w:t>1</w:t>
                  </w:r>
                  <w:r>
                    <w:rPr>
                      <w:rFonts w:eastAsiaTheme="minorEastAsia"/>
                      <w:sz w:val="21"/>
                      <w:szCs w:val="21"/>
                      <w:u w:val="single"/>
                    </w:rPr>
                    <w:t>mg/m</w:t>
                  </w:r>
                  <w:r>
                    <w:rPr>
                      <w:rFonts w:eastAsiaTheme="minorEastAsia"/>
                      <w:sz w:val="21"/>
                      <w:szCs w:val="21"/>
                      <w:u w:val="single"/>
                      <w:vertAlign w:val="superscript"/>
                    </w:rPr>
                    <w:t>3</w:t>
                  </w:r>
                  <w:r>
                    <w:rPr>
                      <w:rFonts w:eastAsiaTheme="minorEastAsia"/>
                      <w:sz w:val="21"/>
                      <w:szCs w:val="21"/>
                      <w:u w:val="single"/>
                    </w:rPr>
                    <w:t>(</w:t>
                  </w:r>
                  <w:r>
                    <w:rPr>
                      <w:rFonts w:hint="eastAsia" w:eastAsiaTheme="minorEastAsia"/>
                      <w:sz w:val="21"/>
                      <w:szCs w:val="21"/>
                      <w:u w:val="singl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1"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sz w:val="21"/>
                      <w:szCs w:val="21"/>
                      <w:u w:val="single"/>
                    </w:rPr>
                  </w:pPr>
                  <w:r>
                    <w:rPr>
                      <w:rFonts w:hint="eastAsia"/>
                      <w:sz w:val="21"/>
                      <w:szCs w:val="21"/>
                      <w:u w:val="single"/>
                    </w:rPr>
                    <w:t>《锅炉大气污染物排放标准》（GB13271-2014）</w:t>
                  </w:r>
                </w:p>
              </w:tc>
              <w:tc>
                <w:tcPr>
                  <w:tcW w:w="717"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eastAsia="宋体"/>
                      <w:kern w:val="0"/>
                      <w:sz w:val="21"/>
                      <w:szCs w:val="21"/>
                      <w:u w:val="single"/>
                      <w:lang w:eastAsia="zh-CN"/>
                    </w:rPr>
                  </w:pPr>
                  <w:r>
                    <w:rPr>
                      <w:rFonts w:hint="eastAsia"/>
                      <w:kern w:val="0"/>
                      <w:sz w:val="21"/>
                      <w:szCs w:val="21"/>
                      <w:u w:val="single"/>
                    </w:rPr>
                    <w:t>表</w:t>
                  </w:r>
                  <w:r>
                    <w:rPr>
                      <w:rFonts w:hint="eastAsia"/>
                      <w:kern w:val="0"/>
                      <w:sz w:val="21"/>
                      <w:szCs w:val="21"/>
                      <w:u w:val="single"/>
                      <w:lang w:val="en-US" w:eastAsia="zh-CN"/>
                    </w:rPr>
                    <w:t>3</w:t>
                  </w:r>
                </w:p>
              </w:tc>
              <w:tc>
                <w:tcPr>
                  <w:tcW w:w="719"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kern w:val="0"/>
                      <w:sz w:val="21"/>
                      <w:szCs w:val="21"/>
                      <w:u w:val="single"/>
                    </w:rPr>
                  </w:pPr>
                  <w:r>
                    <w:rPr>
                      <w:rFonts w:hint="eastAsia"/>
                      <w:kern w:val="18"/>
                      <w:sz w:val="21"/>
                      <w:szCs w:val="21"/>
                      <w:u w:val="single"/>
                    </w:rPr>
                    <w:t>颗粒物</w:t>
                  </w:r>
                </w:p>
              </w:tc>
              <w:tc>
                <w:tcPr>
                  <w:tcW w:w="2001"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eastAsiaTheme="minorEastAsia"/>
                      <w:sz w:val="21"/>
                      <w:szCs w:val="21"/>
                      <w:u w:val="single"/>
                    </w:rPr>
                  </w:pPr>
                  <w:r>
                    <w:rPr>
                      <w:rFonts w:hint="eastAsia" w:eastAsiaTheme="minorEastAsia"/>
                      <w:kern w:val="18"/>
                      <w:sz w:val="21"/>
                      <w:szCs w:val="21"/>
                      <w:u w:val="single"/>
                      <w:lang w:val="en-US" w:eastAsia="zh-CN"/>
                    </w:rPr>
                    <w:t>30</w:t>
                  </w:r>
                  <w:r>
                    <w:rPr>
                      <w:rFonts w:eastAsiaTheme="minorEastAsia"/>
                      <w:sz w:val="21"/>
                      <w:szCs w:val="21"/>
                      <w:u w:val="single"/>
                    </w:rPr>
                    <w:t xml:space="preserve"> mg/m</w:t>
                  </w:r>
                  <w:r>
                    <w:rPr>
                      <w:rFonts w:eastAsiaTheme="minorEastAsia"/>
                      <w:sz w:val="21"/>
                      <w:szCs w:val="21"/>
                      <w:u w:val="singl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1"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sz w:val="21"/>
                      <w:szCs w:val="21"/>
                      <w:u w:val="single"/>
                    </w:rPr>
                  </w:pPr>
                </w:p>
              </w:tc>
              <w:tc>
                <w:tcPr>
                  <w:tcW w:w="717"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kern w:val="0"/>
                      <w:sz w:val="21"/>
                      <w:szCs w:val="21"/>
                      <w:u w:val="single"/>
                    </w:rPr>
                  </w:pPr>
                </w:p>
              </w:tc>
              <w:tc>
                <w:tcPr>
                  <w:tcW w:w="719"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kern w:val="18"/>
                      <w:sz w:val="21"/>
                      <w:szCs w:val="21"/>
                      <w:u w:val="single"/>
                    </w:rPr>
                  </w:pPr>
                  <w:r>
                    <w:rPr>
                      <w:kern w:val="0"/>
                      <w:sz w:val="21"/>
                      <w:szCs w:val="21"/>
                      <w:u w:val="single"/>
                    </w:rPr>
                    <w:t>SO</w:t>
                  </w:r>
                  <w:r>
                    <w:rPr>
                      <w:kern w:val="0"/>
                      <w:sz w:val="21"/>
                      <w:szCs w:val="21"/>
                      <w:u w:val="single"/>
                      <w:vertAlign w:val="subscript"/>
                    </w:rPr>
                    <w:t>2</w:t>
                  </w:r>
                </w:p>
              </w:tc>
              <w:tc>
                <w:tcPr>
                  <w:tcW w:w="2001"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kern w:val="18"/>
                      <w:sz w:val="21"/>
                      <w:szCs w:val="21"/>
                      <w:u w:val="single"/>
                    </w:rPr>
                  </w:pPr>
                  <w:r>
                    <w:rPr>
                      <w:rFonts w:hint="eastAsia"/>
                      <w:kern w:val="18"/>
                      <w:sz w:val="21"/>
                      <w:szCs w:val="21"/>
                      <w:u w:val="single"/>
                      <w:lang w:val="en-US" w:eastAsia="zh-CN"/>
                    </w:rPr>
                    <w:t>2</w:t>
                  </w:r>
                  <w:r>
                    <w:rPr>
                      <w:rFonts w:hint="eastAsia"/>
                      <w:kern w:val="18"/>
                      <w:sz w:val="21"/>
                      <w:szCs w:val="21"/>
                      <w:u w:val="single"/>
                    </w:rPr>
                    <w:t>00</w:t>
                  </w:r>
                  <w:r>
                    <w:rPr>
                      <w:rFonts w:eastAsiaTheme="minorEastAsia"/>
                      <w:sz w:val="21"/>
                      <w:szCs w:val="21"/>
                      <w:u w:val="single"/>
                    </w:rPr>
                    <w:t>mg/m</w:t>
                  </w:r>
                  <w:r>
                    <w:rPr>
                      <w:rFonts w:eastAsiaTheme="minorEastAsia"/>
                      <w:sz w:val="21"/>
                      <w:szCs w:val="21"/>
                      <w:u w:val="singl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1"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sz w:val="21"/>
                      <w:szCs w:val="21"/>
                      <w:u w:val="single"/>
                    </w:rPr>
                  </w:pPr>
                </w:p>
              </w:tc>
              <w:tc>
                <w:tcPr>
                  <w:tcW w:w="717"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kern w:val="0"/>
                      <w:sz w:val="21"/>
                      <w:szCs w:val="21"/>
                      <w:u w:val="single"/>
                    </w:rPr>
                  </w:pPr>
                </w:p>
              </w:tc>
              <w:tc>
                <w:tcPr>
                  <w:tcW w:w="719"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kern w:val="18"/>
                      <w:sz w:val="21"/>
                      <w:szCs w:val="21"/>
                      <w:u w:val="single"/>
                    </w:rPr>
                  </w:pPr>
                  <w:r>
                    <w:rPr>
                      <w:rFonts w:hint="eastAsia"/>
                      <w:kern w:val="0"/>
                      <w:sz w:val="21"/>
                      <w:szCs w:val="21"/>
                      <w:u w:val="single"/>
                    </w:rPr>
                    <w:t>N</w:t>
                  </w:r>
                  <w:r>
                    <w:rPr>
                      <w:kern w:val="0"/>
                      <w:sz w:val="21"/>
                      <w:szCs w:val="21"/>
                      <w:u w:val="single"/>
                    </w:rPr>
                    <w:t>O</w:t>
                  </w:r>
                  <w:r>
                    <w:rPr>
                      <w:kern w:val="0"/>
                      <w:sz w:val="21"/>
                      <w:szCs w:val="21"/>
                      <w:u w:val="single"/>
                      <w:vertAlign w:val="subscript"/>
                    </w:rPr>
                    <w:t>X</w:t>
                  </w:r>
                </w:p>
              </w:tc>
              <w:tc>
                <w:tcPr>
                  <w:tcW w:w="2001"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kern w:val="18"/>
                      <w:sz w:val="21"/>
                      <w:szCs w:val="21"/>
                      <w:u w:val="single"/>
                    </w:rPr>
                  </w:pPr>
                  <w:r>
                    <w:rPr>
                      <w:rFonts w:hint="eastAsia"/>
                      <w:kern w:val="18"/>
                      <w:sz w:val="21"/>
                      <w:szCs w:val="21"/>
                      <w:u w:val="single"/>
                      <w:lang w:val="en-US" w:eastAsia="zh-CN"/>
                    </w:rPr>
                    <w:t>2</w:t>
                  </w:r>
                  <w:r>
                    <w:rPr>
                      <w:rFonts w:hint="eastAsia"/>
                      <w:kern w:val="18"/>
                      <w:sz w:val="21"/>
                      <w:szCs w:val="21"/>
                      <w:u w:val="single"/>
                    </w:rPr>
                    <w:t>00</w:t>
                  </w:r>
                  <w:r>
                    <w:rPr>
                      <w:rFonts w:eastAsiaTheme="minorEastAsia"/>
                      <w:sz w:val="21"/>
                      <w:szCs w:val="21"/>
                      <w:u w:val="single"/>
                    </w:rPr>
                    <w:t>mg/m</w:t>
                  </w:r>
                  <w:r>
                    <w:rPr>
                      <w:rFonts w:eastAsiaTheme="minorEastAsia"/>
                      <w:sz w:val="21"/>
                      <w:szCs w:val="21"/>
                      <w:u w:val="singl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1"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sz w:val="21"/>
                      <w:szCs w:val="21"/>
                      <w:u w:val="single"/>
                    </w:rPr>
                  </w:pPr>
                </w:p>
              </w:tc>
              <w:tc>
                <w:tcPr>
                  <w:tcW w:w="717"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kern w:val="0"/>
                      <w:sz w:val="21"/>
                      <w:szCs w:val="21"/>
                      <w:u w:val="single"/>
                    </w:rPr>
                  </w:pPr>
                </w:p>
              </w:tc>
              <w:tc>
                <w:tcPr>
                  <w:tcW w:w="719"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kern w:val="18"/>
                      <w:sz w:val="21"/>
                      <w:szCs w:val="21"/>
                      <w:u w:val="single"/>
                    </w:rPr>
                  </w:pPr>
                  <w:r>
                    <w:rPr>
                      <w:kern w:val="18"/>
                      <w:sz w:val="21"/>
                      <w:szCs w:val="21"/>
                      <w:u w:val="single"/>
                    </w:rPr>
                    <w:t>烟气黑度</w:t>
                  </w:r>
                </w:p>
              </w:tc>
              <w:tc>
                <w:tcPr>
                  <w:tcW w:w="2001"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kern w:val="18"/>
                      <w:sz w:val="21"/>
                      <w:szCs w:val="21"/>
                      <w:u w:val="single"/>
                    </w:rPr>
                  </w:pPr>
                  <w:r>
                    <w:rPr>
                      <w:rFonts w:hint="eastAsia"/>
                      <w:kern w:val="18"/>
                      <w:sz w:val="21"/>
                      <w:szCs w:val="21"/>
                      <w:u w:val="single"/>
                    </w:rPr>
                    <w:t>≤1级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1"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sz w:val="21"/>
                      <w:szCs w:val="21"/>
                      <w:u w:val="single"/>
                    </w:rPr>
                  </w:pPr>
                </w:p>
              </w:tc>
              <w:tc>
                <w:tcPr>
                  <w:tcW w:w="717"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kern w:val="0"/>
                      <w:sz w:val="21"/>
                      <w:szCs w:val="21"/>
                      <w:u w:val="single"/>
                    </w:rPr>
                  </w:pPr>
                  <w:r>
                    <w:rPr>
                      <w:kern w:val="0"/>
                      <w:sz w:val="21"/>
                      <w:szCs w:val="21"/>
                      <w:u w:val="single"/>
                    </w:rPr>
                    <w:t>表</w:t>
                  </w:r>
                  <w:r>
                    <w:rPr>
                      <w:rFonts w:hint="eastAsia"/>
                      <w:kern w:val="0"/>
                      <w:sz w:val="21"/>
                      <w:szCs w:val="21"/>
                      <w:u w:val="single"/>
                    </w:rPr>
                    <w:t>4</w:t>
                  </w:r>
                </w:p>
              </w:tc>
              <w:tc>
                <w:tcPr>
                  <w:tcW w:w="719"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kern w:val="18"/>
                      <w:sz w:val="21"/>
                      <w:szCs w:val="21"/>
                      <w:u w:val="single"/>
                    </w:rPr>
                  </w:pPr>
                  <w:r>
                    <w:rPr>
                      <w:kern w:val="18"/>
                      <w:sz w:val="21"/>
                      <w:szCs w:val="21"/>
                      <w:u w:val="single"/>
                    </w:rPr>
                    <w:t>排气筒高度</w:t>
                  </w:r>
                </w:p>
              </w:tc>
              <w:tc>
                <w:tcPr>
                  <w:tcW w:w="2001"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kern w:val="18"/>
                      <w:sz w:val="21"/>
                      <w:szCs w:val="21"/>
                      <w:u w:val="single"/>
                    </w:rPr>
                  </w:pPr>
                  <w:r>
                    <w:rPr>
                      <w:rFonts w:hint="eastAsia"/>
                      <w:kern w:val="18"/>
                      <w:sz w:val="21"/>
                      <w:szCs w:val="21"/>
                      <w:u w:val="single"/>
                    </w:rPr>
                    <w:t>≥35m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1"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kern w:val="18"/>
                      <w:sz w:val="21"/>
                      <w:szCs w:val="21"/>
                      <w:u w:val="single"/>
                    </w:rPr>
                  </w:pPr>
                  <w:r>
                    <w:rPr>
                      <w:rFonts w:hint="eastAsia"/>
                      <w:kern w:val="18"/>
                      <w:sz w:val="21"/>
                      <w:szCs w:val="21"/>
                      <w:u w:val="single"/>
                    </w:rPr>
                    <w:t>《恶臭污染物排放标准》（GB14554-1993）</w:t>
                  </w:r>
                </w:p>
              </w:tc>
              <w:tc>
                <w:tcPr>
                  <w:tcW w:w="717"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kern w:val="18"/>
                      <w:sz w:val="21"/>
                      <w:szCs w:val="21"/>
                      <w:u w:val="single"/>
                    </w:rPr>
                  </w:pPr>
                  <w:r>
                    <w:rPr>
                      <w:rFonts w:hint="eastAsia"/>
                      <w:kern w:val="18"/>
                      <w:sz w:val="21"/>
                      <w:szCs w:val="21"/>
                      <w:u w:val="single"/>
                    </w:rPr>
                    <w:t>表1中二级新、扩、改</w:t>
                  </w:r>
                </w:p>
              </w:tc>
              <w:tc>
                <w:tcPr>
                  <w:tcW w:w="719"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kern w:val="18"/>
                      <w:sz w:val="21"/>
                      <w:szCs w:val="21"/>
                      <w:u w:val="single"/>
                    </w:rPr>
                  </w:pPr>
                  <w:r>
                    <w:rPr>
                      <w:kern w:val="18"/>
                      <w:sz w:val="21"/>
                      <w:szCs w:val="21"/>
                      <w:u w:val="single"/>
                    </w:rPr>
                    <w:t>臭气浓度</w:t>
                  </w:r>
                </w:p>
              </w:tc>
              <w:tc>
                <w:tcPr>
                  <w:tcW w:w="2001"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kern w:val="18"/>
                      <w:sz w:val="21"/>
                      <w:szCs w:val="21"/>
                      <w:u w:val="single"/>
                    </w:rPr>
                  </w:pPr>
                  <w:r>
                    <w:rPr>
                      <w:rFonts w:hint="eastAsia"/>
                      <w:kern w:val="18"/>
                      <w:sz w:val="21"/>
                      <w:szCs w:val="21"/>
                      <w:u w:val="single"/>
                    </w:rPr>
                    <w:t>20（无量纲）</w:t>
                  </w:r>
                </w:p>
              </w:tc>
            </w:tr>
          </w:tbl>
          <w:p>
            <w:pPr>
              <w:widowControl/>
              <w:kinsoku w:val="0"/>
              <w:autoSpaceDE w:val="0"/>
              <w:autoSpaceDN w:val="0"/>
              <w:adjustRightInd w:val="0"/>
              <w:snapToGrid w:val="0"/>
              <w:spacing w:before="106"/>
              <w:ind w:firstLine="480"/>
              <w:jc w:val="left"/>
              <w:textAlignment w:val="baseline"/>
              <w:rPr>
                <w:u w:val="single"/>
              </w:rPr>
            </w:pPr>
            <w:r>
              <w:rPr>
                <w:u w:val="single"/>
              </w:rPr>
              <w:t>食堂（2个灶头）油烟废气执行《饮食业油烟排放标准（试行）》</w:t>
            </w:r>
            <w:r>
              <w:rPr>
                <w:rFonts w:hint="eastAsia"/>
                <w:u w:val="single"/>
              </w:rPr>
              <w:t>（</w:t>
            </w:r>
            <w:r>
              <w:rPr>
                <w:u w:val="single"/>
              </w:rPr>
              <w:t>GB18483-2001）中的“小型规模”限值要求，具体见下表。</w:t>
            </w:r>
          </w:p>
          <w:p>
            <w:pPr>
              <w:pStyle w:val="7"/>
              <w:rPr>
                <w:kern w:val="0"/>
                <w:sz w:val="21"/>
                <w:u w:val="single"/>
              </w:rPr>
            </w:pPr>
            <w:r>
              <w:rPr>
                <w:kern w:val="0"/>
                <w:sz w:val="21"/>
                <w:u w:val="single"/>
              </w:rPr>
              <w:t>表 3-</w:t>
            </w:r>
            <w:r>
              <w:rPr>
                <w:rFonts w:hint="eastAsia"/>
                <w:kern w:val="0"/>
                <w:sz w:val="21"/>
                <w:u w:val="single"/>
                <w:lang w:val="en-US" w:eastAsia="zh-CN"/>
              </w:rPr>
              <w:t>12</w:t>
            </w:r>
            <w:r>
              <w:rPr>
                <w:kern w:val="0"/>
                <w:sz w:val="21"/>
                <w:u w:val="single"/>
              </w:rPr>
              <w:t xml:space="preserve"> 饮食业油烟排放标准（试行）</w:t>
            </w:r>
          </w:p>
          <w:tbl>
            <w:tblPr>
              <w:tblStyle w:val="24"/>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3242"/>
              <w:gridCol w:w="1976"/>
              <w:gridCol w:w="1825"/>
              <w:gridCol w:w="13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92" w:hRule="atLeast"/>
              </w:trPr>
              <w:tc>
                <w:tcPr>
                  <w:tcW w:w="1934" w:type="pct"/>
                </w:tcPr>
                <w:p>
                  <w:pPr>
                    <w:pStyle w:val="62"/>
                    <w:autoSpaceDE/>
                    <w:autoSpaceDN/>
                    <w:rPr>
                      <w:rFonts w:ascii="Times New Roman" w:hAnsi="Times New Roman" w:eastAsia="宋体" w:cs="Times New Roman"/>
                      <w:b/>
                      <w:bCs/>
                      <w:kern w:val="2"/>
                      <w:sz w:val="21"/>
                      <w:u w:val="single"/>
                      <w:lang w:eastAsia="en-US"/>
                    </w:rPr>
                  </w:pPr>
                  <w:r>
                    <w:rPr>
                      <w:rFonts w:ascii="Times New Roman" w:hAnsi="Times New Roman" w:eastAsia="宋体" w:cs="Times New Roman"/>
                      <w:b/>
                      <w:bCs/>
                      <w:kern w:val="2"/>
                      <w:sz w:val="21"/>
                      <w:u w:val="single"/>
                      <w:lang w:eastAsia="en-US"/>
                    </w:rPr>
                    <w:t>规模</w:t>
                  </w:r>
                </w:p>
              </w:tc>
              <w:tc>
                <w:tcPr>
                  <w:tcW w:w="1178" w:type="pct"/>
                </w:tcPr>
                <w:p>
                  <w:pPr>
                    <w:pStyle w:val="62"/>
                    <w:autoSpaceDE/>
                    <w:autoSpaceDN/>
                    <w:rPr>
                      <w:rFonts w:ascii="Times New Roman" w:hAnsi="Times New Roman" w:eastAsia="宋体" w:cs="Times New Roman"/>
                      <w:b/>
                      <w:bCs/>
                      <w:kern w:val="2"/>
                      <w:sz w:val="21"/>
                      <w:u w:val="single"/>
                      <w:lang w:eastAsia="en-US"/>
                    </w:rPr>
                  </w:pPr>
                  <w:r>
                    <w:rPr>
                      <w:rFonts w:ascii="Times New Roman" w:hAnsi="Times New Roman" w:eastAsia="宋体" w:cs="Times New Roman"/>
                      <w:b/>
                      <w:bCs/>
                      <w:kern w:val="2"/>
                      <w:sz w:val="21"/>
                      <w:u w:val="single"/>
                      <w:lang w:eastAsia="en-US"/>
                    </w:rPr>
                    <w:t>小型</w:t>
                  </w:r>
                </w:p>
              </w:tc>
              <w:tc>
                <w:tcPr>
                  <w:tcW w:w="1088" w:type="pct"/>
                </w:tcPr>
                <w:p>
                  <w:pPr>
                    <w:pStyle w:val="62"/>
                    <w:autoSpaceDE/>
                    <w:autoSpaceDN/>
                    <w:rPr>
                      <w:rFonts w:ascii="Times New Roman" w:hAnsi="Times New Roman" w:eastAsia="宋体" w:cs="Times New Roman"/>
                      <w:b/>
                      <w:bCs/>
                      <w:kern w:val="2"/>
                      <w:sz w:val="21"/>
                      <w:u w:val="single"/>
                      <w:lang w:eastAsia="en-US"/>
                    </w:rPr>
                  </w:pPr>
                  <w:r>
                    <w:rPr>
                      <w:rFonts w:ascii="Times New Roman" w:hAnsi="Times New Roman" w:eastAsia="宋体" w:cs="Times New Roman"/>
                      <w:b/>
                      <w:bCs/>
                      <w:kern w:val="2"/>
                      <w:sz w:val="21"/>
                      <w:u w:val="single"/>
                      <w:lang w:eastAsia="en-US"/>
                    </w:rPr>
                    <w:t>中型</w:t>
                  </w:r>
                </w:p>
              </w:tc>
              <w:tc>
                <w:tcPr>
                  <w:tcW w:w="800" w:type="pct"/>
                </w:tcPr>
                <w:p>
                  <w:pPr>
                    <w:pStyle w:val="62"/>
                    <w:autoSpaceDE/>
                    <w:autoSpaceDN/>
                    <w:rPr>
                      <w:rFonts w:ascii="Times New Roman" w:hAnsi="Times New Roman" w:eastAsia="宋体" w:cs="Times New Roman"/>
                      <w:b/>
                      <w:bCs/>
                      <w:kern w:val="2"/>
                      <w:sz w:val="21"/>
                      <w:u w:val="single"/>
                      <w:lang w:eastAsia="en-US"/>
                    </w:rPr>
                  </w:pPr>
                  <w:r>
                    <w:rPr>
                      <w:rFonts w:ascii="Times New Roman" w:hAnsi="Times New Roman" w:eastAsia="宋体" w:cs="Times New Roman"/>
                      <w:b/>
                      <w:bCs/>
                      <w:kern w:val="2"/>
                      <w:sz w:val="21"/>
                      <w:u w:val="single"/>
                      <w:lang w:eastAsia="en-US"/>
                    </w:rPr>
                    <w:t>大型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7" w:hRule="atLeast"/>
              </w:trPr>
              <w:tc>
                <w:tcPr>
                  <w:tcW w:w="1934" w:type="pct"/>
                </w:tcPr>
                <w:p>
                  <w:pPr>
                    <w:spacing w:line="240" w:lineRule="auto"/>
                    <w:ind w:firstLine="0" w:firstLineChars="0"/>
                    <w:jc w:val="center"/>
                    <w:rPr>
                      <w:rFonts w:cs="宋体"/>
                      <w:color w:val="000000" w:themeColor="text1"/>
                      <w:sz w:val="21"/>
                      <w:szCs w:val="18"/>
                      <w:u w:val="single"/>
                      <w:lang w:eastAsia="en-US"/>
                      <w14:textFill>
                        <w14:solidFill>
                          <w14:schemeClr w14:val="tx1"/>
                        </w14:solidFill>
                      </w14:textFill>
                    </w:rPr>
                  </w:pPr>
                  <w:r>
                    <w:rPr>
                      <w:rFonts w:cs="宋体"/>
                      <w:color w:val="000000" w:themeColor="text1"/>
                      <w:sz w:val="21"/>
                      <w:szCs w:val="18"/>
                      <w:u w:val="single"/>
                      <w:lang w:eastAsia="en-US"/>
                      <w14:textFill>
                        <w14:solidFill>
                          <w14:schemeClr w14:val="tx1"/>
                        </w14:solidFill>
                      </w14:textFill>
                    </w:rPr>
                    <w:t>基准灶头数</w:t>
                  </w:r>
                </w:p>
              </w:tc>
              <w:tc>
                <w:tcPr>
                  <w:tcW w:w="1178" w:type="pct"/>
                </w:tcPr>
                <w:p>
                  <w:pPr>
                    <w:spacing w:line="240" w:lineRule="auto"/>
                    <w:ind w:firstLine="0" w:firstLineChars="0"/>
                    <w:jc w:val="center"/>
                    <w:rPr>
                      <w:color w:val="000000" w:themeColor="text1"/>
                      <w:sz w:val="21"/>
                      <w:szCs w:val="18"/>
                      <w:u w:val="single"/>
                      <w:lang w:eastAsia="en-US"/>
                      <w14:textFill>
                        <w14:solidFill>
                          <w14:schemeClr w14:val="tx1"/>
                        </w14:solidFill>
                      </w14:textFill>
                    </w:rPr>
                  </w:pPr>
                  <w:r>
                    <w:rPr>
                      <w:color w:val="000000" w:themeColor="text1"/>
                      <w:sz w:val="21"/>
                      <w:szCs w:val="18"/>
                      <w:u w:val="single"/>
                      <w:lang w:eastAsia="en-US"/>
                      <w14:textFill>
                        <w14:solidFill>
                          <w14:schemeClr w14:val="tx1"/>
                        </w14:solidFill>
                      </w14:textFill>
                    </w:rPr>
                    <w:t>≥1</w:t>
                  </w:r>
                  <w:r>
                    <w:rPr>
                      <w:rFonts w:cs="宋体"/>
                      <w:color w:val="000000" w:themeColor="text1"/>
                      <w:sz w:val="21"/>
                      <w:szCs w:val="18"/>
                      <w:u w:val="single"/>
                      <w:lang w:eastAsia="en-US"/>
                      <w14:textFill>
                        <w14:solidFill>
                          <w14:schemeClr w14:val="tx1"/>
                        </w14:solidFill>
                      </w14:textFill>
                    </w:rPr>
                    <w:t>，＜</w:t>
                  </w:r>
                  <w:r>
                    <w:rPr>
                      <w:color w:val="000000" w:themeColor="text1"/>
                      <w:sz w:val="21"/>
                      <w:szCs w:val="18"/>
                      <w:u w:val="single"/>
                      <w:lang w:eastAsia="en-US"/>
                      <w14:textFill>
                        <w14:solidFill>
                          <w14:schemeClr w14:val="tx1"/>
                        </w14:solidFill>
                      </w14:textFill>
                    </w:rPr>
                    <w:t>3</w:t>
                  </w:r>
                </w:p>
              </w:tc>
              <w:tc>
                <w:tcPr>
                  <w:tcW w:w="1088" w:type="pct"/>
                </w:tcPr>
                <w:p>
                  <w:pPr>
                    <w:spacing w:line="240" w:lineRule="auto"/>
                    <w:ind w:firstLine="0" w:firstLineChars="0"/>
                    <w:jc w:val="center"/>
                    <w:rPr>
                      <w:color w:val="000000" w:themeColor="text1"/>
                      <w:sz w:val="21"/>
                      <w:szCs w:val="18"/>
                      <w:u w:val="single"/>
                      <w:lang w:eastAsia="en-US"/>
                      <w14:textFill>
                        <w14:solidFill>
                          <w14:schemeClr w14:val="tx1"/>
                        </w14:solidFill>
                      </w14:textFill>
                    </w:rPr>
                  </w:pPr>
                  <w:r>
                    <w:rPr>
                      <w:color w:val="000000" w:themeColor="text1"/>
                      <w:sz w:val="21"/>
                      <w:szCs w:val="18"/>
                      <w:u w:val="single"/>
                      <w:lang w:eastAsia="en-US"/>
                      <w14:textFill>
                        <w14:solidFill>
                          <w14:schemeClr w14:val="tx1"/>
                        </w14:solidFill>
                      </w14:textFill>
                    </w:rPr>
                    <w:t>≥3</w:t>
                  </w:r>
                  <w:r>
                    <w:rPr>
                      <w:rFonts w:cs="宋体"/>
                      <w:color w:val="000000" w:themeColor="text1"/>
                      <w:sz w:val="21"/>
                      <w:szCs w:val="18"/>
                      <w:u w:val="single"/>
                      <w:lang w:eastAsia="en-US"/>
                      <w14:textFill>
                        <w14:solidFill>
                          <w14:schemeClr w14:val="tx1"/>
                        </w14:solidFill>
                      </w14:textFill>
                    </w:rPr>
                    <w:t>，＜</w:t>
                  </w:r>
                  <w:r>
                    <w:rPr>
                      <w:color w:val="000000" w:themeColor="text1"/>
                      <w:sz w:val="21"/>
                      <w:szCs w:val="18"/>
                      <w:u w:val="single"/>
                      <w:lang w:eastAsia="en-US"/>
                      <w14:textFill>
                        <w14:solidFill>
                          <w14:schemeClr w14:val="tx1"/>
                        </w14:solidFill>
                      </w14:textFill>
                    </w:rPr>
                    <w:t>6</w:t>
                  </w:r>
                </w:p>
              </w:tc>
              <w:tc>
                <w:tcPr>
                  <w:tcW w:w="800" w:type="pct"/>
                </w:tcPr>
                <w:p>
                  <w:pPr>
                    <w:spacing w:line="240" w:lineRule="auto"/>
                    <w:ind w:firstLine="0" w:firstLineChars="0"/>
                    <w:jc w:val="center"/>
                    <w:rPr>
                      <w:color w:val="000000" w:themeColor="text1"/>
                      <w:sz w:val="21"/>
                      <w:szCs w:val="18"/>
                      <w:u w:val="single"/>
                      <w:lang w:eastAsia="en-US"/>
                      <w14:textFill>
                        <w14:solidFill>
                          <w14:schemeClr w14:val="tx1"/>
                        </w14:solidFill>
                      </w14:textFill>
                    </w:rPr>
                  </w:pPr>
                  <w:r>
                    <w:rPr>
                      <w:color w:val="000000" w:themeColor="text1"/>
                      <w:sz w:val="21"/>
                      <w:szCs w:val="18"/>
                      <w:u w:val="single"/>
                      <w:lang w:eastAsia="en-US"/>
                      <w14:textFill>
                        <w14:solidFill>
                          <w14:schemeClr w14:val="tx1"/>
                        </w14:solidFill>
                      </w14:textFill>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7" w:hRule="atLeast"/>
              </w:trPr>
              <w:tc>
                <w:tcPr>
                  <w:tcW w:w="1934" w:type="pct"/>
                </w:tcPr>
                <w:p>
                  <w:pPr>
                    <w:spacing w:line="240" w:lineRule="auto"/>
                    <w:ind w:firstLine="0" w:firstLineChars="0"/>
                    <w:jc w:val="center"/>
                    <w:rPr>
                      <w:color w:val="000000" w:themeColor="text1"/>
                      <w:sz w:val="21"/>
                      <w:szCs w:val="18"/>
                      <w:u w:val="single"/>
                      <w:lang w:eastAsia="en-US"/>
                      <w14:textFill>
                        <w14:solidFill>
                          <w14:schemeClr w14:val="tx1"/>
                        </w14:solidFill>
                      </w14:textFill>
                    </w:rPr>
                  </w:pPr>
                  <w:r>
                    <w:rPr>
                      <w:rFonts w:cs="宋体"/>
                      <w:color w:val="000000" w:themeColor="text1"/>
                      <w:sz w:val="21"/>
                      <w:szCs w:val="18"/>
                      <w:u w:val="single"/>
                      <w:lang w:eastAsia="en-US"/>
                      <w14:textFill>
                        <w14:solidFill>
                          <w14:schemeClr w14:val="tx1"/>
                        </w14:solidFill>
                      </w14:textFill>
                    </w:rPr>
                    <w:t>对应灶头总功率</w:t>
                  </w:r>
                  <w:r>
                    <w:rPr>
                      <w:color w:val="000000" w:themeColor="text1"/>
                      <w:sz w:val="21"/>
                      <w:szCs w:val="18"/>
                      <w:u w:val="single"/>
                      <w:lang w:eastAsia="en-US"/>
                      <w14:textFill>
                        <w14:solidFill>
                          <w14:schemeClr w14:val="tx1"/>
                        </w14:solidFill>
                      </w14:textFill>
                    </w:rPr>
                    <w:t>108J/h</w:t>
                  </w:r>
                </w:p>
              </w:tc>
              <w:tc>
                <w:tcPr>
                  <w:tcW w:w="1178" w:type="pct"/>
                </w:tcPr>
                <w:p>
                  <w:pPr>
                    <w:spacing w:line="240" w:lineRule="auto"/>
                    <w:ind w:firstLine="0" w:firstLineChars="0"/>
                    <w:jc w:val="center"/>
                    <w:rPr>
                      <w:color w:val="000000" w:themeColor="text1"/>
                      <w:sz w:val="21"/>
                      <w:szCs w:val="18"/>
                      <w:u w:val="single"/>
                      <w:lang w:eastAsia="en-US"/>
                      <w14:textFill>
                        <w14:solidFill>
                          <w14:schemeClr w14:val="tx1"/>
                        </w14:solidFill>
                      </w14:textFill>
                    </w:rPr>
                  </w:pPr>
                  <w:r>
                    <w:rPr>
                      <w:color w:val="000000" w:themeColor="text1"/>
                      <w:sz w:val="21"/>
                      <w:szCs w:val="18"/>
                      <w:u w:val="single"/>
                      <w:lang w:eastAsia="en-US"/>
                      <w14:textFill>
                        <w14:solidFill>
                          <w14:schemeClr w14:val="tx1"/>
                        </w14:solidFill>
                      </w14:textFill>
                    </w:rPr>
                    <w:t>≥1.67</w:t>
                  </w:r>
                  <w:r>
                    <w:rPr>
                      <w:rFonts w:cs="宋体"/>
                      <w:color w:val="000000" w:themeColor="text1"/>
                      <w:sz w:val="21"/>
                      <w:szCs w:val="18"/>
                      <w:u w:val="single"/>
                      <w:lang w:eastAsia="en-US"/>
                      <w14:textFill>
                        <w14:solidFill>
                          <w14:schemeClr w14:val="tx1"/>
                        </w14:solidFill>
                      </w14:textFill>
                    </w:rPr>
                    <w:t>，＜</w:t>
                  </w:r>
                  <w:r>
                    <w:rPr>
                      <w:color w:val="000000" w:themeColor="text1"/>
                      <w:sz w:val="21"/>
                      <w:szCs w:val="18"/>
                      <w:u w:val="single"/>
                      <w:lang w:eastAsia="en-US"/>
                      <w14:textFill>
                        <w14:solidFill>
                          <w14:schemeClr w14:val="tx1"/>
                        </w14:solidFill>
                      </w14:textFill>
                    </w:rPr>
                    <w:t>5.00</w:t>
                  </w:r>
                </w:p>
              </w:tc>
              <w:tc>
                <w:tcPr>
                  <w:tcW w:w="1088" w:type="pct"/>
                </w:tcPr>
                <w:p>
                  <w:pPr>
                    <w:spacing w:line="240" w:lineRule="auto"/>
                    <w:ind w:firstLine="0" w:firstLineChars="0"/>
                    <w:jc w:val="center"/>
                    <w:rPr>
                      <w:color w:val="000000" w:themeColor="text1"/>
                      <w:sz w:val="21"/>
                      <w:szCs w:val="18"/>
                      <w:u w:val="single"/>
                      <w:lang w:eastAsia="en-US"/>
                      <w14:textFill>
                        <w14:solidFill>
                          <w14:schemeClr w14:val="tx1"/>
                        </w14:solidFill>
                      </w14:textFill>
                    </w:rPr>
                  </w:pPr>
                  <w:r>
                    <w:rPr>
                      <w:color w:val="000000" w:themeColor="text1"/>
                      <w:sz w:val="21"/>
                      <w:szCs w:val="18"/>
                      <w:u w:val="single"/>
                      <w:lang w:eastAsia="en-US"/>
                      <w14:textFill>
                        <w14:solidFill>
                          <w14:schemeClr w14:val="tx1"/>
                        </w14:solidFill>
                      </w14:textFill>
                    </w:rPr>
                    <w:t>≥5.00</w:t>
                  </w:r>
                  <w:r>
                    <w:rPr>
                      <w:rFonts w:cs="宋体"/>
                      <w:color w:val="000000" w:themeColor="text1"/>
                      <w:sz w:val="21"/>
                      <w:szCs w:val="18"/>
                      <w:u w:val="single"/>
                      <w:lang w:eastAsia="en-US"/>
                      <w14:textFill>
                        <w14:solidFill>
                          <w14:schemeClr w14:val="tx1"/>
                        </w14:solidFill>
                      </w14:textFill>
                    </w:rPr>
                    <w:t>，＜</w:t>
                  </w:r>
                  <w:r>
                    <w:rPr>
                      <w:color w:val="000000" w:themeColor="text1"/>
                      <w:sz w:val="21"/>
                      <w:szCs w:val="18"/>
                      <w:u w:val="single"/>
                      <w:lang w:eastAsia="en-US"/>
                      <w14:textFill>
                        <w14:solidFill>
                          <w14:schemeClr w14:val="tx1"/>
                        </w14:solidFill>
                      </w14:textFill>
                    </w:rPr>
                    <w:t>10</w:t>
                  </w:r>
                </w:p>
              </w:tc>
              <w:tc>
                <w:tcPr>
                  <w:tcW w:w="800" w:type="pct"/>
                </w:tcPr>
                <w:p>
                  <w:pPr>
                    <w:spacing w:line="240" w:lineRule="auto"/>
                    <w:ind w:firstLine="0" w:firstLineChars="0"/>
                    <w:jc w:val="center"/>
                    <w:rPr>
                      <w:color w:val="000000" w:themeColor="text1"/>
                      <w:sz w:val="21"/>
                      <w:szCs w:val="18"/>
                      <w:u w:val="single"/>
                      <w:lang w:eastAsia="en-US"/>
                      <w14:textFill>
                        <w14:solidFill>
                          <w14:schemeClr w14:val="tx1"/>
                        </w14:solidFill>
                      </w14:textFill>
                    </w:rPr>
                  </w:pPr>
                  <w:r>
                    <w:rPr>
                      <w:color w:val="000000" w:themeColor="text1"/>
                      <w:sz w:val="21"/>
                      <w:szCs w:val="18"/>
                      <w:u w:val="single"/>
                      <w:lang w:eastAsia="en-US"/>
                      <w14:textFill>
                        <w14:solidFill>
                          <w14:schemeClr w14:val="tx1"/>
                        </w14:solidFill>
                      </w14:textFill>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7" w:hRule="atLeast"/>
              </w:trPr>
              <w:tc>
                <w:tcPr>
                  <w:tcW w:w="1934" w:type="pct"/>
                </w:tcPr>
                <w:p>
                  <w:pPr>
                    <w:spacing w:line="240" w:lineRule="auto"/>
                    <w:ind w:firstLine="0" w:firstLineChars="0"/>
                    <w:jc w:val="center"/>
                    <w:rPr>
                      <w:rFonts w:cs="宋体"/>
                      <w:color w:val="000000" w:themeColor="text1"/>
                      <w:sz w:val="21"/>
                      <w:szCs w:val="18"/>
                      <w:u w:val="single"/>
                      <w14:textFill>
                        <w14:solidFill>
                          <w14:schemeClr w14:val="tx1"/>
                        </w14:solidFill>
                      </w14:textFill>
                    </w:rPr>
                  </w:pPr>
                  <w:r>
                    <w:rPr>
                      <w:rFonts w:cs="宋体"/>
                      <w:color w:val="000000" w:themeColor="text1"/>
                      <w:sz w:val="21"/>
                      <w:szCs w:val="18"/>
                      <w:u w:val="single"/>
                      <w14:textFill>
                        <w14:solidFill>
                          <w14:schemeClr w14:val="tx1"/>
                        </w14:solidFill>
                      </w14:textFill>
                    </w:rPr>
                    <w:t>对应排气罩面总投影面积（</w:t>
                  </w:r>
                  <w:r>
                    <w:rPr>
                      <w:color w:val="000000" w:themeColor="text1"/>
                      <w:sz w:val="21"/>
                      <w:szCs w:val="18"/>
                      <w:u w:val="single"/>
                      <w14:textFill>
                        <w14:solidFill>
                          <w14:schemeClr w14:val="tx1"/>
                        </w14:solidFill>
                      </w14:textFill>
                    </w:rPr>
                    <w:t>m</w:t>
                  </w:r>
                  <w:r>
                    <w:rPr>
                      <w:color w:val="000000" w:themeColor="text1"/>
                      <w:sz w:val="21"/>
                      <w:szCs w:val="11"/>
                      <w:u w:val="single"/>
                      <w:vertAlign w:val="superscript"/>
                      <w14:textFill>
                        <w14:solidFill>
                          <w14:schemeClr w14:val="tx1"/>
                        </w14:solidFill>
                      </w14:textFill>
                    </w:rPr>
                    <w:t>2</w:t>
                  </w:r>
                  <w:r>
                    <w:rPr>
                      <w:rFonts w:cs="宋体"/>
                      <w:color w:val="000000" w:themeColor="text1"/>
                      <w:sz w:val="21"/>
                      <w:szCs w:val="18"/>
                      <w:u w:val="single"/>
                      <w14:textFill>
                        <w14:solidFill>
                          <w14:schemeClr w14:val="tx1"/>
                        </w14:solidFill>
                      </w14:textFill>
                    </w:rPr>
                    <w:t>）</w:t>
                  </w:r>
                </w:p>
              </w:tc>
              <w:tc>
                <w:tcPr>
                  <w:tcW w:w="1178" w:type="pct"/>
                </w:tcPr>
                <w:p>
                  <w:pPr>
                    <w:spacing w:line="240" w:lineRule="auto"/>
                    <w:ind w:firstLine="0" w:firstLineChars="0"/>
                    <w:jc w:val="center"/>
                    <w:rPr>
                      <w:color w:val="000000" w:themeColor="text1"/>
                      <w:sz w:val="21"/>
                      <w:szCs w:val="18"/>
                      <w:u w:val="single"/>
                      <w:lang w:eastAsia="en-US"/>
                      <w14:textFill>
                        <w14:solidFill>
                          <w14:schemeClr w14:val="tx1"/>
                        </w14:solidFill>
                      </w14:textFill>
                    </w:rPr>
                  </w:pPr>
                  <w:r>
                    <w:rPr>
                      <w:color w:val="000000" w:themeColor="text1"/>
                      <w:sz w:val="21"/>
                      <w:szCs w:val="18"/>
                      <w:u w:val="single"/>
                      <w:lang w:eastAsia="en-US"/>
                      <w14:textFill>
                        <w14:solidFill>
                          <w14:schemeClr w14:val="tx1"/>
                        </w14:solidFill>
                      </w14:textFill>
                    </w:rPr>
                    <w:t>≥1.1</w:t>
                  </w:r>
                  <w:r>
                    <w:rPr>
                      <w:rFonts w:cs="宋体"/>
                      <w:color w:val="000000" w:themeColor="text1"/>
                      <w:sz w:val="21"/>
                      <w:szCs w:val="18"/>
                      <w:u w:val="single"/>
                      <w:lang w:eastAsia="en-US"/>
                      <w14:textFill>
                        <w14:solidFill>
                          <w14:schemeClr w14:val="tx1"/>
                        </w14:solidFill>
                      </w14:textFill>
                    </w:rPr>
                    <w:t>，＜</w:t>
                  </w:r>
                  <w:r>
                    <w:rPr>
                      <w:color w:val="000000" w:themeColor="text1"/>
                      <w:sz w:val="21"/>
                      <w:szCs w:val="18"/>
                      <w:u w:val="single"/>
                      <w:lang w:eastAsia="en-US"/>
                      <w14:textFill>
                        <w14:solidFill>
                          <w14:schemeClr w14:val="tx1"/>
                        </w14:solidFill>
                      </w14:textFill>
                    </w:rPr>
                    <w:t>3.3</w:t>
                  </w:r>
                </w:p>
              </w:tc>
              <w:tc>
                <w:tcPr>
                  <w:tcW w:w="1088" w:type="pct"/>
                </w:tcPr>
                <w:p>
                  <w:pPr>
                    <w:spacing w:line="240" w:lineRule="auto"/>
                    <w:ind w:firstLine="0" w:firstLineChars="0"/>
                    <w:jc w:val="center"/>
                    <w:rPr>
                      <w:color w:val="000000" w:themeColor="text1"/>
                      <w:sz w:val="21"/>
                      <w:szCs w:val="18"/>
                      <w:u w:val="single"/>
                      <w:lang w:eastAsia="en-US"/>
                      <w14:textFill>
                        <w14:solidFill>
                          <w14:schemeClr w14:val="tx1"/>
                        </w14:solidFill>
                      </w14:textFill>
                    </w:rPr>
                  </w:pPr>
                  <w:r>
                    <w:rPr>
                      <w:color w:val="000000" w:themeColor="text1"/>
                      <w:sz w:val="21"/>
                      <w:szCs w:val="18"/>
                      <w:u w:val="single"/>
                      <w:lang w:eastAsia="en-US"/>
                      <w14:textFill>
                        <w14:solidFill>
                          <w14:schemeClr w14:val="tx1"/>
                        </w14:solidFill>
                      </w14:textFill>
                    </w:rPr>
                    <w:t>≥3.3</w:t>
                  </w:r>
                  <w:r>
                    <w:rPr>
                      <w:rFonts w:cs="宋体"/>
                      <w:color w:val="000000" w:themeColor="text1"/>
                      <w:sz w:val="21"/>
                      <w:szCs w:val="18"/>
                      <w:u w:val="single"/>
                      <w:lang w:eastAsia="en-US"/>
                      <w14:textFill>
                        <w14:solidFill>
                          <w14:schemeClr w14:val="tx1"/>
                        </w14:solidFill>
                      </w14:textFill>
                    </w:rPr>
                    <w:t>，＜</w:t>
                  </w:r>
                  <w:r>
                    <w:rPr>
                      <w:color w:val="000000" w:themeColor="text1"/>
                      <w:sz w:val="21"/>
                      <w:szCs w:val="18"/>
                      <w:u w:val="single"/>
                      <w:lang w:eastAsia="en-US"/>
                      <w14:textFill>
                        <w14:solidFill>
                          <w14:schemeClr w14:val="tx1"/>
                        </w14:solidFill>
                      </w14:textFill>
                    </w:rPr>
                    <w:t>6.6</w:t>
                  </w:r>
                </w:p>
              </w:tc>
              <w:tc>
                <w:tcPr>
                  <w:tcW w:w="800" w:type="pct"/>
                </w:tcPr>
                <w:p>
                  <w:pPr>
                    <w:spacing w:line="240" w:lineRule="auto"/>
                    <w:ind w:firstLine="0" w:firstLineChars="0"/>
                    <w:jc w:val="center"/>
                    <w:rPr>
                      <w:color w:val="000000" w:themeColor="text1"/>
                      <w:sz w:val="21"/>
                      <w:szCs w:val="18"/>
                      <w:u w:val="single"/>
                      <w:lang w:eastAsia="en-US"/>
                      <w14:textFill>
                        <w14:solidFill>
                          <w14:schemeClr w14:val="tx1"/>
                        </w14:solidFill>
                      </w14:textFill>
                    </w:rPr>
                  </w:pPr>
                  <w:r>
                    <w:rPr>
                      <w:color w:val="000000" w:themeColor="text1"/>
                      <w:sz w:val="21"/>
                      <w:szCs w:val="18"/>
                      <w:u w:val="single"/>
                      <w:lang w:eastAsia="en-US"/>
                      <w14:textFill>
                        <w14:solidFill>
                          <w14:schemeClr w14:val="tx1"/>
                        </w14:solidFill>
                      </w14:textFill>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7" w:hRule="atLeast"/>
              </w:trPr>
              <w:tc>
                <w:tcPr>
                  <w:tcW w:w="1934" w:type="pct"/>
                </w:tcPr>
                <w:p>
                  <w:pPr>
                    <w:spacing w:line="240" w:lineRule="auto"/>
                    <w:ind w:firstLine="0" w:firstLineChars="0"/>
                    <w:jc w:val="center"/>
                    <w:rPr>
                      <w:rFonts w:cs="宋体"/>
                      <w:color w:val="000000" w:themeColor="text1"/>
                      <w:sz w:val="21"/>
                      <w:szCs w:val="18"/>
                      <w:u w:val="single"/>
                      <w14:textFill>
                        <w14:solidFill>
                          <w14:schemeClr w14:val="tx1"/>
                        </w14:solidFill>
                      </w14:textFill>
                    </w:rPr>
                  </w:pPr>
                  <w:r>
                    <w:rPr>
                      <w:rFonts w:cs="宋体"/>
                      <w:color w:val="000000" w:themeColor="text1"/>
                      <w:sz w:val="21"/>
                      <w:szCs w:val="18"/>
                      <w:u w:val="single"/>
                      <w14:textFill>
                        <w14:solidFill>
                          <w14:schemeClr w14:val="tx1"/>
                        </w14:solidFill>
                      </w14:textFill>
                    </w:rPr>
                    <w:t>最高允许排放浓度（</w:t>
                  </w:r>
                  <w:r>
                    <w:rPr>
                      <w:color w:val="000000" w:themeColor="text1"/>
                      <w:sz w:val="21"/>
                      <w:szCs w:val="18"/>
                      <w:u w:val="single"/>
                      <w14:textFill>
                        <w14:solidFill>
                          <w14:schemeClr w14:val="tx1"/>
                        </w14:solidFill>
                      </w14:textFill>
                    </w:rPr>
                    <w:t>mg/m</w:t>
                  </w:r>
                  <w:r>
                    <w:rPr>
                      <w:color w:val="000000" w:themeColor="text1"/>
                      <w:sz w:val="21"/>
                      <w:szCs w:val="11"/>
                      <w:u w:val="single"/>
                      <w:vertAlign w:val="superscript"/>
                      <w14:textFill>
                        <w14:solidFill>
                          <w14:schemeClr w14:val="tx1"/>
                        </w14:solidFill>
                      </w14:textFill>
                    </w:rPr>
                    <w:t>3</w:t>
                  </w:r>
                  <w:r>
                    <w:rPr>
                      <w:rFonts w:cs="宋体"/>
                      <w:color w:val="000000" w:themeColor="text1"/>
                      <w:sz w:val="21"/>
                      <w:szCs w:val="18"/>
                      <w:u w:val="single"/>
                      <w14:textFill>
                        <w14:solidFill>
                          <w14:schemeClr w14:val="tx1"/>
                        </w14:solidFill>
                      </w14:textFill>
                    </w:rPr>
                    <w:t>）</w:t>
                  </w:r>
                </w:p>
              </w:tc>
              <w:tc>
                <w:tcPr>
                  <w:tcW w:w="3066" w:type="pct"/>
                  <w:gridSpan w:val="3"/>
                </w:tcPr>
                <w:p>
                  <w:pPr>
                    <w:spacing w:line="240" w:lineRule="auto"/>
                    <w:ind w:firstLine="0" w:firstLineChars="0"/>
                    <w:jc w:val="center"/>
                    <w:rPr>
                      <w:color w:val="000000" w:themeColor="text1"/>
                      <w:sz w:val="21"/>
                      <w:szCs w:val="18"/>
                      <w:u w:val="single"/>
                      <w:lang w:eastAsia="en-US"/>
                      <w14:textFill>
                        <w14:solidFill>
                          <w14:schemeClr w14:val="tx1"/>
                        </w14:solidFill>
                      </w14:textFill>
                    </w:rPr>
                  </w:pPr>
                  <w:r>
                    <w:rPr>
                      <w:color w:val="000000" w:themeColor="text1"/>
                      <w:sz w:val="21"/>
                      <w:szCs w:val="18"/>
                      <w:u w:val="single"/>
                      <w:lang w:eastAsia="en-US"/>
                      <w14:textFill>
                        <w14:solidFill>
                          <w14:schemeClr w14:val="tx1"/>
                        </w14:solidFill>
                      </w14:textFill>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92" w:hRule="atLeast"/>
              </w:trPr>
              <w:tc>
                <w:tcPr>
                  <w:tcW w:w="1934" w:type="pct"/>
                </w:tcPr>
                <w:p>
                  <w:pPr>
                    <w:spacing w:line="240" w:lineRule="auto"/>
                    <w:ind w:firstLine="0" w:firstLineChars="0"/>
                    <w:jc w:val="center"/>
                    <w:rPr>
                      <w:rFonts w:cs="宋体"/>
                      <w:color w:val="000000" w:themeColor="text1"/>
                      <w:sz w:val="21"/>
                      <w:szCs w:val="18"/>
                      <w:u w:val="single"/>
                      <w14:textFill>
                        <w14:solidFill>
                          <w14:schemeClr w14:val="tx1"/>
                        </w14:solidFill>
                      </w14:textFill>
                    </w:rPr>
                  </w:pPr>
                  <w:r>
                    <w:rPr>
                      <w:rFonts w:cs="宋体"/>
                      <w:color w:val="000000" w:themeColor="text1"/>
                      <w:sz w:val="21"/>
                      <w:szCs w:val="18"/>
                      <w:u w:val="single"/>
                      <w14:textFill>
                        <w14:solidFill>
                          <w14:schemeClr w14:val="tx1"/>
                        </w14:solidFill>
                      </w14:textFill>
                    </w:rPr>
                    <w:t>净化设施最低</w:t>
                  </w:r>
                  <w:r>
                    <w:rPr>
                      <w:rFonts w:hint="eastAsia" w:cs="宋体"/>
                      <w:color w:val="000000" w:themeColor="text1"/>
                      <w:sz w:val="21"/>
                      <w:szCs w:val="18"/>
                      <w:u w:val="single"/>
                      <w:lang w:eastAsia="zh-CN"/>
                      <w14:textFill>
                        <w14:solidFill>
                          <w14:schemeClr w14:val="tx1"/>
                        </w14:solidFill>
                      </w14:textFill>
                    </w:rPr>
                    <w:t>去除率</w:t>
                  </w:r>
                  <w:r>
                    <w:rPr>
                      <w:rFonts w:cs="宋体"/>
                      <w:color w:val="000000" w:themeColor="text1"/>
                      <w:sz w:val="21"/>
                      <w:szCs w:val="18"/>
                      <w:u w:val="single"/>
                      <w14:textFill>
                        <w14:solidFill>
                          <w14:schemeClr w14:val="tx1"/>
                        </w14:solidFill>
                      </w14:textFill>
                    </w:rPr>
                    <w:t>（</w:t>
                  </w:r>
                  <w:r>
                    <w:rPr>
                      <w:color w:val="000000" w:themeColor="text1"/>
                      <w:sz w:val="21"/>
                      <w:szCs w:val="18"/>
                      <w:u w:val="single"/>
                      <w14:textFill>
                        <w14:solidFill>
                          <w14:schemeClr w14:val="tx1"/>
                        </w14:solidFill>
                      </w14:textFill>
                    </w:rPr>
                    <w:t>%</w:t>
                  </w:r>
                  <w:r>
                    <w:rPr>
                      <w:rFonts w:cs="宋体"/>
                      <w:color w:val="000000" w:themeColor="text1"/>
                      <w:sz w:val="21"/>
                      <w:szCs w:val="18"/>
                      <w:u w:val="single"/>
                      <w14:textFill>
                        <w14:solidFill>
                          <w14:schemeClr w14:val="tx1"/>
                        </w14:solidFill>
                      </w14:textFill>
                    </w:rPr>
                    <w:t>）</w:t>
                  </w:r>
                </w:p>
              </w:tc>
              <w:tc>
                <w:tcPr>
                  <w:tcW w:w="1178" w:type="pct"/>
                </w:tcPr>
                <w:p>
                  <w:pPr>
                    <w:spacing w:line="240" w:lineRule="auto"/>
                    <w:ind w:firstLine="0" w:firstLineChars="0"/>
                    <w:jc w:val="center"/>
                    <w:rPr>
                      <w:color w:val="000000" w:themeColor="text1"/>
                      <w:sz w:val="21"/>
                      <w:szCs w:val="18"/>
                      <w:u w:val="single"/>
                      <w14:textFill>
                        <w14:solidFill>
                          <w14:schemeClr w14:val="tx1"/>
                        </w14:solidFill>
                      </w14:textFill>
                    </w:rPr>
                  </w:pPr>
                  <w:r>
                    <w:rPr>
                      <w:color w:val="000000" w:themeColor="text1"/>
                      <w:sz w:val="21"/>
                      <w:szCs w:val="18"/>
                      <w:u w:val="single"/>
                      <w14:textFill>
                        <w14:solidFill>
                          <w14:schemeClr w14:val="tx1"/>
                        </w14:solidFill>
                      </w14:textFill>
                    </w:rPr>
                    <w:t>60</w:t>
                  </w:r>
                </w:p>
              </w:tc>
              <w:tc>
                <w:tcPr>
                  <w:tcW w:w="1088" w:type="pct"/>
                </w:tcPr>
                <w:p>
                  <w:pPr>
                    <w:spacing w:line="240" w:lineRule="auto"/>
                    <w:ind w:firstLine="0" w:firstLineChars="0"/>
                    <w:jc w:val="center"/>
                    <w:rPr>
                      <w:color w:val="000000" w:themeColor="text1"/>
                      <w:sz w:val="21"/>
                      <w:szCs w:val="18"/>
                      <w:u w:val="single"/>
                      <w14:textFill>
                        <w14:solidFill>
                          <w14:schemeClr w14:val="tx1"/>
                        </w14:solidFill>
                      </w14:textFill>
                    </w:rPr>
                  </w:pPr>
                  <w:r>
                    <w:rPr>
                      <w:color w:val="000000" w:themeColor="text1"/>
                      <w:sz w:val="21"/>
                      <w:szCs w:val="18"/>
                      <w:u w:val="single"/>
                      <w14:textFill>
                        <w14:solidFill>
                          <w14:schemeClr w14:val="tx1"/>
                        </w14:solidFill>
                      </w14:textFill>
                    </w:rPr>
                    <w:t>75</w:t>
                  </w:r>
                </w:p>
              </w:tc>
              <w:tc>
                <w:tcPr>
                  <w:tcW w:w="800" w:type="pct"/>
                </w:tcPr>
                <w:p>
                  <w:pPr>
                    <w:spacing w:line="240" w:lineRule="auto"/>
                    <w:ind w:firstLine="0" w:firstLineChars="0"/>
                    <w:jc w:val="center"/>
                    <w:rPr>
                      <w:color w:val="000000" w:themeColor="text1"/>
                      <w:sz w:val="21"/>
                      <w:szCs w:val="18"/>
                      <w:u w:val="single"/>
                      <w14:textFill>
                        <w14:solidFill>
                          <w14:schemeClr w14:val="tx1"/>
                        </w14:solidFill>
                      </w14:textFill>
                    </w:rPr>
                  </w:pPr>
                  <w:r>
                    <w:rPr>
                      <w:color w:val="000000" w:themeColor="text1"/>
                      <w:sz w:val="21"/>
                      <w:szCs w:val="18"/>
                      <w:u w:val="single"/>
                      <w14:textFill>
                        <w14:solidFill>
                          <w14:schemeClr w14:val="tx1"/>
                        </w14:solidFill>
                      </w14:textFill>
                    </w:rPr>
                    <w:t>85</w:t>
                  </w:r>
                </w:p>
              </w:tc>
            </w:tr>
          </w:tbl>
          <w:p>
            <w:pPr>
              <w:ind w:firstLine="482"/>
              <w:rPr>
                <w:b/>
              </w:rPr>
            </w:pPr>
            <w:r>
              <w:rPr>
                <w:b/>
              </w:rPr>
              <w:t>4、固体废物控制标准</w:t>
            </w:r>
          </w:p>
          <w:p>
            <w:pPr>
              <w:adjustRightInd w:val="0"/>
              <w:snapToGrid w:val="0"/>
              <w:ind w:firstLine="480"/>
              <w:jc w:val="left"/>
            </w:pPr>
            <w:r>
              <w:rPr>
                <w:u w:val="single" w:color="auto"/>
              </w:rPr>
              <w:t>一般工业固体废弃物执行《一般工业固体废物贮存和填埋污染控制标准》（GB18599-2020）中的有关规定</w:t>
            </w:r>
            <w:r>
              <w:rPr>
                <w:rFonts w:hint="eastAsia"/>
                <w:u w:val="single" w:color="auto"/>
              </w:rPr>
              <w:t>。</w:t>
            </w:r>
            <w:r>
              <w:rPr>
                <w:rFonts w:hint="default" w:ascii="Times New Roman" w:hAnsi="Times New Roman" w:cs="Times New Roman"/>
                <w:color w:val="auto"/>
                <w:sz w:val="24"/>
                <w:u w:val="single" w:color="auto"/>
              </w:rPr>
              <w:t>危险废物执行《危险废物贮存污染控制标准》</w:t>
            </w:r>
            <w:r>
              <w:rPr>
                <w:rFonts w:hint="eastAsia" w:ascii="Times New Roman" w:hAnsi="Times New Roman" w:cs="Times New Roman"/>
                <w:color w:val="auto"/>
                <w:sz w:val="24"/>
                <w:u w:val="single" w:color="auto"/>
                <w:lang w:eastAsia="zh-CN"/>
              </w:rPr>
              <w:t>(</w:t>
            </w:r>
            <w:r>
              <w:rPr>
                <w:rFonts w:hint="default" w:ascii="Times New Roman" w:hAnsi="Times New Roman" w:cs="Times New Roman"/>
                <w:color w:val="auto"/>
                <w:sz w:val="24"/>
                <w:u w:val="single" w:color="auto"/>
              </w:rPr>
              <w:t>GB18597-2023</w:t>
            </w:r>
            <w:r>
              <w:rPr>
                <w:rFonts w:hint="eastAsia" w:ascii="Times New Roman" w:hAnsi="Times New Roman" w:cs="Times New Roman"/>
                <w:color w:val="auto"/>
                <w:sz w:val="24"/>
                <w:u w:val="single" w:color="auto"/>
                <w:lang w:eastAsia="zh-CN"/>
              </w:rPr>
              <w:t>)</w:t>
            </w:r>
            <w:r>
              <w:rPr>
                <w:rFonts w:hint="default" w:ascii="Times New Roman" w:hAnsi="Times New Roman" w:cs="Times New Roman"/>
                <w:color w:val="auto"/>
                <w:sz w:val="24"/>
                <w:u w:val="single" w:color="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3" w:hRule="atLeast"/>
          <w:jc w:val="center"/>
        </w:trPr>
        <w:tc>
          <w:tcPr>
            <w:tcW w:w="534" w:type="dxa"/>
            <w:vAlign w:val="center"/>
          </w:tcPr>
          <w:p>
            <w:pPr>
              <w:adjustRightInd w:val="0"/>
              <w:snapToGrid w:val="0"/>
              <w:ind w:firstLine="0" w:firstLineChars="0"/>
              <w:jc w:val="center"/>
              <w:rPr>
                <w:rFonts w:ascii="宋体" w:hAnsi="宋体" w:cs="宋体"/>
                <w:kern w:val="0"/>
                <w:szCs w:val="21"/>
              </w:rPr>
            </w:pPr>
            <w:r>
              <w:rPr>
                <w:rFonts w:hint="eastAsia" w:ascii="宋体" w:hAnsi="宋体" w:cs="宋体"/>
                <w:kern w:val="0"/>
                <w:szCs w:val="21"/>
              </w:rPr>
              <w:t>总量</w:t>
            </w:r>
          </w:p>
          <w:p>
            <w:pPr>
              <w:adjustRightInd w:val="0"/>
              <w:snapToGrid w:val="0"/>
              <w:ind w:firstLine="0" w:firstLineChars="0"/>
              <w:jc w:val="center"/>
              <w:rPr>
                <w:rFonts w:ascii="宋体" w:hAnsi="宋体" w:cs="宋体"/>
                <w:kern w:val="0"/>
                <w:szCs w:val="21"/>
              </w:rPr>
            </w:pPr>
            <w:r>
              <w:rPr>
                <w:rFonts w:hint="eastAsia" w:ascii="宋体" w:hAnsi="宋体" w:cs="宋体"/>
                <w:kern w:val="0"/>
                <w:szCs w:val="21"/>
              </w:rPr>
              <w:t>控制</w:t>
            </w:r>
          </w:p>
          <w:p>
            <w:pPr>
              <w:adjustRightInd w:val="0"/>
              <w:snapToGrid w:val="0"/>
              <w:ind w:firstLine="0" w:firstLineChars="0"/>
              <w:jc w:val="center"/>
              <w:rPr>
                <w:rFonts w:ascii="宋体" w:hAnsi="宋体" w:cs="宋体"/>
                <w:kern w:val="0"/>
                <w:szCs w:val="21"/>
              </w:rPr>
            </w:pPr>
            <w:r>
              <w:rPr>
                <w:rFonts w:hint="eastAsia" w:ascii="宋体" w:hAnsi="宋体" w:cs="宋体"/>
                <w:kern w:val="0"/>
                <w:szCs w:val="21"/>
              </w:rPr>
              <w:t>指标</w:t>
            </w:r>
          </w:p>
        </w:tc>
        <w:tc>
          <w:tcPr>
            <w:tcW w:w="8527" w:type="dxa"/>
            <w:vAlign w:val="center"/>
          </w:tcPr>
          <w:p>
            <w:pPr>
              <w:adjustRightInd w:val="0"/>
              <w:snapToGrid w:val="0"/>
              <w:ind w:firstLine="482"/>
              <w:rPr>
                <w:b/>
                <w:bCs/>
                <w:u w:val="single"/>
              </w:rPr>
            </w:pPr>
            <w:r>
              <w:rPr>
                <w:b/>
                <w:bCs/>
                <w:u w:val="single"/>
              </w:rPr>
              <w:t>1、总量控制的原则和控制因子</w:t>
            </w:r>
          </w:p>
          <w:p>
            <w:pPr>
              <w:adjustRightInd w:val="0"/>
              <w:snapToGrid w:val="0"/>
              <w:ind w:firstLine="480"/>
              <w:rPr>
                <w:bCs/>
                <w:u w:val="single"/>
              </w:rPr>
            </w:pPr>
            <w:r>
              <w:rPr>
                <w:bCs/>
                <w:u w:val="single"/>
              </w:rPr>
              <w:t>根据《湖南省“十四五”生态环境保护规划的通知》（湘政办发[2021]61号）确定项目纳入总量控制的污染物为化学需氧量（COD）、氨氮（NH</w:t>
            </w:r>
            <w:r>
              <w:rPr>
                <w:bCs/>
                <w:u w:val="single"/>
                <w:vertAlign w:val="subscript"/>
              </w:rPr>
              <w:t>3</w:t>
            </w:r>
            <w:r>
              <w:rPr>
                <w:bCs/>
                <w:u w:val="single"/>
              </w:rPr>
              <w:t>-N）、二氧化硫（SO</w:t>
            </w:r>
            <w:r>
              <w:rPr>
                <w:bCs/>
                <w:u w:val="single"/>
                <w:vertAlign w:val="subscript"/>
              </w:rPr>
              <w:t>2</w:t>
            </w:r>
            <w:r>
              <w:rPr>
                <w:bCs/>
                <w:u w:val="single"/>
              </w:rPr>
              <w:t>）、氮氧化物（NO</w:t>
            </w:r>
            <w:r>
              <w:rPr>
                <w:bCs/>
                <w:u w:val="single"/>
                <w:vertAlign w:val="subscript"/>
              </w:rPr>
              <w:t>X</w:t>
            </w:r>
            <w:r>
              <w:rPr>
                <w:bCs/>
                <w:u w:val="single"/>
              </w:rPr>
              <w:t>）</w:t>
            </w:r>
            <w:r>
              <w:rPr>
                <w:rFonts w:hint="eastAsia"/>
                <w:bCs/>
                <w:u w:val="single"/>
              </w:rPr>
              <w:t>，部分重点区域和重点行业新增烟粉尘、VOCs、总氮、总磷四项控制指标</w:t>
            </w:r>
            <w:r>
              <w:rPr>
                <w:bCs/>
                <w:u w:val="single"/>
              </w:rPr>
              <w:t>。</w:t>
            </w:r>
          </w:p>
          <w:p>
            <w:pPr>
              <w:pStyle w:val="70"/>
              <w:snapToGrid w:val="0"/>
              <w:ind w:firstLine="482" w:firstLineChars="200"/>
              <w:rPr>
                <w:b/>
                <w:bCs/>
                <w:szCs w:val="24"/>
                <w:u w:val="single"/>
              </w:rPr>
            </w:pPr>
            <w:r>
              <w:rPr>
                <w:rFonts w:hint="eastAsia"/>
                <w:b/>
                <w:bCs/>
                <w:szCs w:val="24"/>
                <w:u w:val="single"/>
              </w:rPr>
              <w:t>2</w:t>
            </w:r>
            <w:r>
              <w:rPr>
                <w:b/>
                <w:bCs/>
                <w:szCs w:val="24"/>
                <w:u w:val="single"/>
              </w:rPr>
              <w:t>、水污染物排放总量控制指标</w:t>
            </w:r>
          </w:p>
          <w:p>
            <w:pPr>
              <w:autoSpaceDE w:val="0"/>
              <w:autoSpaceDN w:val="0"/>
              <w:ind w:firstLine="480"/>
              <w:rPr>
                <w:bCs/>
                <w:u w:val="single"/>
              </w:rPr>
            </w:pPr>
            <w:r>
              <w:rPr>
                <w:rFonts w:hint="eastAsia"/>
                <w:bCs/>
                <w:u w:val="single"/>
              </w:rPr>
              <w:t>本项目生活污水经化粪池</w:t>
            </w:r>
            <w:r>
              <w:rPr>
                <w:rFonts w:hint="eastAsia"/>
                <w:bCs/>
                <w:u w:val="single"/>
                <w:lang w:val="en-US" w:eastAsia="zh-CN"/>
              </w:rPr>
              <w:t>预</w:t>
            </w:r>
            <w:r>
              <w:rPr>
                <w:rFonts w:hint="eastAsia"/>
                <w:bCs/>
                <w:u w:val="single"/>
              </w:rPr>
              <w:t>处理</w:t>
            </w:r>
            <w:r>
              <w:rPr>
                <w:rFonts w:hint="eastAsia"/>
                <w:bCs/>
                <w:u w:val="single"/>
                <w:lang w:eastAsia="zh-CN"/>
              </w:rPr>
              <w:t>，</w:t>
            </w:r>
            <w:r>
              <w:rPr>
                <w:rFonts w:hint="eastAsia"/>
                <w:bCs/>
                <w:u w:val="single"/>
              </w:rPr>
              <w:t>食堂废水经隔油池处理后</w:t>
            </w:r>
            <w:r>
              <w:rPr>
                <w:rFonts w:hint="eastAsia"/>
                <w:bCs/>
                <w:u w:val="single"/>
                <w:lang w:val="en-US" w:eastAsia="zh-CN"/>
              </w:rPr>
              <w:t>经自建一体化污水处理设施处理后给周边菜地做农肥使用</w:t>
            </w:r>
            <w:r>
              <w:rPr>
                <w:rFonts w:hint="eastAsia"/>
                <w:bCs/>
                <w:u w:val="single"/>
              </w:rPr>
              <w:t>；项目锅炉排水经沉淀池处理后用于厂区内洒水降尘；软水机再生废水用于厂区内洒水降尘</w:t>
            </w:r>
            <w:r>
              <w:rPr>
                <w:rFonts w:hint="eastAsia"/>
                <w:bCs/>
                <w:u w:val="single"/>
                <w:lang w:eastAsia="zh-CN"/>
              </w:rPr>
              <w:t>。</w:t>
            </w:r>
            <w:r>
              <w:rPr>
                <w:rFonts w:hint="eastAsia"/>
                <w:bCs/>
                <w:u w:val="single"/>
              </w:rPr>
              <w:t>因此无需购买水污染物排放总量。</w:t>
            </w:r>
          </w:p>
          <w:p>
            <w:pPr>
              <w:pStyle w:val="70"/>
              <w:snapToGrid w:val="0"/>
              <w:ind w:firstLine="482" w:firstLineChars="200"/>
              <w:rPr>
                <w:szCs w:val="24"/>
                <w:u w:val="single"/>
              </w:rPr>
            </w:pPr>
            <w:r>
              <w:rPr>
                <w:rFonts w:hint="eastAsia"/>
                <w:b/>
                <w:bCs/>
                <w:szCs w:val="24"/>
                <w:u w:val="single"/>
              </w:rPr>
              <w:t>3</w:t>
            </w:r>
            <w:r>
              <w:rPr>
                <w:b/>
                <w:bCs/>
                <w:szCs w:val="24"/>
                <w:u w:val="single"/>
              </w:rPr>
              <w:t>、大气污染物排放总量控制指标</w:t>
            </w:r>
          </w:p>
          <w:p>
            <w:pPr>
              <w:pStyle w:val="70"/>
              <w:snapToGrid w:val="0"/>
              <w:ind w:firstLine="480" w:firstLineChars="200"/>
              <w:rPr>
                <w:rFonts w:hint="eastAsia"/>
                <w:szCs w:val="24"/>
                <w:u w:val="single"/>
              </w:rPr>
            </w:pPr>
            <w:r>
              <w:rPr>
                <w:szCs w:val="24"/>
                <w:u w:val="single"/>
              </w:rPr>
              <w:t>本项目</w:t>
            </w:r>
            <w:r>
              <w:rPr>
                <w:rFonts w:hint="eastAsia"/>
                <w:szCs w:val="24"/>
                <w:u w:val="single"/>
              </w:rPr>
              <w:t>涉及的废气主要为颗粒物、SO</w:t>
            </w:r>
            <w:r>
              <w:rPr>
                <w:rFonts w:hint="eastAsia"/>
                <w:szCs w:val="24"/>
                <w:u w:val="single"/>
                <w:vertAlign w:val="subscript"/>
              </w:rPr>
              <w:t>2</w:t>
            </w:r>
            <w:r>
              <w:rPr>
                <w:rFonts w:hint="eastAsia"/>
                <w:szCs w:val="24"/>
                <w:u w:val="single"/>
              </w:rPr>
              <w:t>、NO</w:t>
            </w:r>
            <w:r>
              <w:rPr>
                <w:rFonts w:hint="eastAsia"/>
                <w:szCs w:val="24"/>
                <w:u w:val="single"/>
                <w:vertAlign w:val="subscript"/>
              </w:rPr>
              <w:t>X</w:t>
            </w:r>
            <w:r>
              <w:rPr>
                <w:rFonts w:hint="eastAsia"/>
                <w:szCs w:val="24"/>
                <w:u w:val="single"/>
              </w:rPr>
              <w:t>，其中SO</w:t>
            </w:r>
            <w:r>
              <w:rPr>
                <w:rFonts w:hint="eastAsia"/>
                <w:szCs w:val="24"/>
                <w:u w:val="single"/>
                <w:vertAlign w:val="subscript"/>
              </w:rPr>
              <w:t>2</w:t>
            </w:r>
            <w:r>
              <w:rPr>
                <w:rFonts w:hint="eastAsia"/>
                <w:szCs w:val="24"/>
                <w:u w:val="single"/>
              </w:rPr>
              <w:t>、NO</w:t>
            </w:r>
            <w:r>
              <w:rPr>
                <w:rFonts w:hint="eastAsia"/>
                <w:szCs w:val="24"/>
                <w:u w:val="single"/>
                <w:vertAlign w:val="subscript"/>
              </w:rPr>
              <w:t>X</w:t>
            </w:r>
            <w:r>
              <w:rPr>
                <w:rFonts w:hint="eastAsia"/>
                <w:szCs w:val="24"/>
                <w:u w:val="single"/>
              </w:rPr>
              <w:t>属于总量控制指标范围</w:t>
            </w:r>
            <w:r>
              <w:rPr>
                <w:szCs w:val="24"/>
                <w:u w:val="single"/>
              </w:rPr>
              <w:t>，故</w:t>
            </w:r>
            <w:r>
              <w:rPr>
                <w:rFonts w:hint="eastAsia"/>
                <w:szCs w:val="24"/>
                <w:u w:val="single"/>
              </w:rPr>
              <w:t>列入本项目</w:t>
            </w:r>
            <w:r>
              <w:rPr>
                <w:szCs w:val="24"/>
                <w:u w:val="single"/>
              </w:rPr>
              <w:t>总量控制指标</w:t>
            </w:r>
            <w:r>
              <w:rPr>
                <w:rFonts w:hint="eastAsia"/>
                <w:szCs w:val="24"/>
                <w:u w:val="single"/>
              </w:rPr>
              <w:t>。SO</w:t>
            </w:r>
            <w:r>
              <w:rPr>
                <w:rFonts w:hint="eastAsia"/>
                <w:szCs w:val="24"/>
                <w:u w:val="single"/>
                <w:vertAlign w:val="subscript"/>
              </w:rPr>
              <w:t>2</w:t>
            </w:r>
            <w:r>
              <w:rPr>
                <w:rFonts w:hint="eastAsia"/>
                <w:szCs w:val="24"/>
                <w:u w:val="single"/>
              </w:rPr>
              <w:t>、NO</w:t>
            </w:r>
            <w:r>
              <w:rPr>
                <w:rFonts w:hint="eastAsia"/>
                <w:szCs w:val="24"/>
                <w:u w:val="single"/>
                <w:vertAlign w:val="subscript"/>
              </w:rPr>
              <w:t>X</w:t>
            </w:r>
            <w:r>
              <w:rPr>
                <w:rFonts w:hint="eastAsia"/>
                <w:szCs w:val="24"/>
                <w:u w:val="single"/>
              </w:rPr>
              <w:t>需满足《锅炉大气污染物排放标准》（GB13271-2014）表3规定的大气污染物特别排放限值中</w:t>
            </w:r>
            <w:r>
              <w:rPr>
                <w:rFonts w:hint="eastAsia"/>
                <w:szCs w:val="24"/>
                <w:u w:val="single"/>
                <w:lang w:val="en-US" w:eastAsia="zh-CN"/>
              </w:rPr>
              <w:t>燃煤</w:t>
            </w:r>
            <w:r>
              <w:rPr>
                <w:rFonts w:hint="eastAsia"/>
                <w:szCs w:val="24"/>
                <w:u w:val="single"/>
              </w:rPr>
              <w:t>锅炉限值。</w:t>
            </w:r>
          </w:p>
          <w:p>
            <w:pPr>
              <w:pStyle w:val="70"/>
              <w:snapToGrid w:val="0"/>
              <w:spacing w:line="240" w:lineRule="auto"/>
              <w:ind w:firstLine="0"/>
              <w:jc w:val="center"/>
              <w:rPr>
                <w:bCs/>
                <w:sz w:val="21"/>
                <w:szCs w:val="21"/>
                <w:u w:val="single"/>
              </w:rPr>
            </w:pPr>
            <w:r>
              <w:rPr>
                <w:b/>
                <w:sz w:val="21"/>
                <w:szCs w:val="21"/>
                <w:u w:val="single"/>
              </w:rPr>
              <w:t>表3-</w:t>
            </w:r>
            <w:r>
              <w:rPr>
                <w:rFonts w:hint="eastAsia"/>
                <w:b/>
                <w:sz w:val="21"/>
                <w:szCs w:val="21"/>
                <w:u w:val="single"/>
              </w:rPr>
              <w:t>1</w:t>
            </w:r>
            <w:r>
              <w:rPr>
                <w:rFonts w:hint="eastAsia"/>
                <w:b/>
                <w:sz w:val="21"/>
                <w:szCs w:val="21"/>
                <w:u w:val="single"/>
                <w:lang w:val="en-US" w:eastAsia="zh-CN"/>
              </w:rPr>
              <w:t>3</w:t>
            </w:r>
            <w:r>
              <w:rPr>
                <w:b/>
                <w:sz w:val="21"/>
                <w:szCs w:val="21"/>
                <w:u w:val="single"/>
              </w:rPr>
              <w:t>废</w:t>
            </w:r>
            <w:r>
              <w:rPr>
                <w:rFonts w:hint="eastAsia"/>
                <w:b/>
                <w:sz w:val="21"/>
                <w:szCs w:val="21"/>
                <w:u w:val="single"/>
              </w:rPr>
              <w:t>气</w:t>
            </w:r>
            <w:r>
              <w:rPr>
                <w:b/>
                <w:sz w:val="21"/>
                <w:szCs w:val="21"/>
                <w:u w:val="single"/>
              </w:rPr>
              <w:t>污染物总量控制建议指标单位：t/a</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0"/>
              <w:gridCol w:w="2794"/>
              <w:gridCol w:w="2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5" w:type="pct"/>
                  <w:vAlign w:val="center"/>
                </w:tcPr>
                <w:p>
                  <w:pPr>
                    <w:pStyle w:val="70"/>
                    <w:snapToGrid w:val="0"/>
                    <w:spacing w:line="240" w:lineRule="auto"/>
                    <w:ind w:firstLine="422"/>
                    <w:jc w:val="center"/>
                    <w:rPr>
                      <w:b/>
                      <w:sz w:val="21"/>
                      <w:szCs w:val="21"/>
                      <w:u w:val="single"/>
                    </w:rPr>
                  </w:pPr>
                  <w:r>
                    <w:rPr>
                      <w:rFonts w:hint="eastAsia"/>
                      <w:b/>
                      <w:sz w:val="21"/>
                      <w:szCs w:val="21"/>
                      <w:u w:val="single"/>
                    </w:rPr>
                    <w:t>大气污染物</w:t>
                  </w:r>
                </w:p>
              </w:tc>
              <w:tc>
                <w:tcPr>
                  <w:tcW w:w="1667" w:type="pct"/>
                  <w:vAlign w:val="center"/>
                </w:tcPr>
                <w:p>
                  <w:pPr>
                    <w:pStyle w:val="70"/>
                    <w:snapToGrid w:val="0"/>
                    <w:spacing w:line="240" w:lineRule="auto"/>
                    <w:ind w:firstLine="422"/>
                    <w:jc w:val="center"/>
                    <w:rPr>
                      <w:b/>
                      <w:sz w:val="21"/>
                      <w:szCs w:val="21"/>
                      <w:u w:val="single"/>
                    </w:rPr>
                  </w:pPr>
                  <w:r>
                    <w:rPr>
                      <w:rFonts w:hint="eastAsia"/>
                      <w:b/>
                      <w:sz w:val="21"/>
                      <w:szCs w:val="21"/>
                      <w:u w:val="single"/>
                    </w:rPr>
                    <w:t>标准核算量</w:t>
                  </w:r>
                </w:p>
              </w:tc>
              <w:tc>
                <w:tcPr>
                  <w:tcW w:w="1667" w:type="pct"/>
                  <w:vAlign w:val="center"/>
                </w:tcPr>
                <w:p>
                  <w:pPr>
                    <w:pStyle w:val="70"/>
                    <w:snapToGrid w:val="0"/>
                    <w:spacing w:line="240" w:lineRule="auto"/>
                    <w:ind w:firstLine="422"/>
                    <w:jc w:val="center"/>
                    <w:rPr>
                      <w:b/>
                      <w:sz w:val="21"/>
                      <w:szCs w:val="21"/>
                      <w:u w:val="single"/>
                    </w:rPr>
                  </w:pPr>
                  <w:r>
                    <w:rPr>
                      <w:rFonts w:hint="eastAsia"/>
                      <w:b/>
                      <w:sz w:val="21"/>
                      <w:szCs w:val="21"/>
                      <w:u w:val="single"/>
                    </w:rPr>
                    <w:t>建议购买量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5" w:type="pct"/>
                  <w:vAlign w:val="center"/>
                </w:tcPr>
                <w:p>
                  <w:pPr>
                    <w:pStyle w:val="70"/>
                    <w:spacing w:line="240" w:lineRule="auto"/>
                    <w:ind w:firstLine="0"/>
                    <w:jc w:val="center"/>
                    <w:rPr>
                      <w:bCs/>
                      <w:sz w:val="21"/>
                      <w:szCs w:val="21"/>
                      <w:u w:val="single"/>
                    </w:rPr>
                  </w:pPr>
                  <w:r>
                    <w:rPr>
                      <w:rFonts w:hint="eastAsia"/>
                      <w:sz w:val="21"/>
                      <w:szCs w:val="21"/>
                      <w:u w:val="single"/>
                    </w:rPr>
                    <w:t>SO</w:t>
                  </w:r>
                  <w:r>
                    <w:rPr>
                      <w:rFonts w:hint="eastAsia"/>
                      <w:sz w:val="21"/>
                      <w:szCs w:val="21"/>
                      <w:u w:val="single"/>
                      <w:vertAlign w:val="subscript"/>
                    </w:rPr>
                    <w:t>2</w:t>
                  </w:r>
                </w:p>
              </w:tc>
              <w:tc>
                <w:tcPr>
                  <w:tcW w:w="1667" w:type="pct"/>
                  <w:vAlign w:val="center"/>
                </w:tcPr>
                <w:p>
                  <w:pPr>
                    <w:pStyle w:val="70"/>
                    <w:spacing w:line="240" w:lineRule="auto"/>
                    <w:ind w:firstLine="0"/>
                    <w:jc w:val="center"/>
                    <w:rPr>
                      <w:bCs/>
                      <w:sz w:val="21"/>
                      <w:szCs w:val="21"/>
                      <w:u w:val="single"/>
                    </w:rPr>
                  </w:pPr>
                  <w:r>
                    <w:rPr>
                      <w:rFonts w:hint="eastAsia"/>
                      <w:sz w:val="21"/>
                      <w:szCs w:val="24"/>
                      <w:u w:val="single"/>
                      <w:lang w:val="en-US" w:eastAsia="zh-CN"/>
                    </w:rPr>
                    <w:t>0.028</w:t>
                  </w:r>
                  <w:r>
                    <w:rPr>
                      <w:sz w:val="21"/>
                      <w:szCs w:val="24"/>
                      <w:u w:val="single"/>
                    </w:rPr>
                    <w:t>t/a</w:t>
                  </w:r>
                </w:p>
              </w:tc>
              <w:tc>
                <w:tcPr>
                  <w:tcW w:w="1667" w:type="pct"/>
                  <w:vAlign w:val="center"/>
                </w:tcPr>
                <w:p>
                  <w:pPr>
                    <w:pStyle w:val="70"/>
                    <w:spacing w:line="240" w:lineRule="auto"/>
                    <w:ind w:firstLine="0"/>
                    <w:jc w:val="center"/>
                    <w:rPr>
                      <w:bCs/>
                      <w:sz w:val="21"/>
                      <w:szCs w:val="21"/>
                      <w:u w:val="single"/>
                    </w:rPr>
                  </w:pPr>
                  <w:r>
                    <w:rPr>
                      <w:rFonts w:hint="eastAsia"/>
                      <w:sz w:val="21"/>
                      <w:szCs w:val="24"/>
                      <w:u w:val="single"/>
                      <w:lang w:val="en-US" w:eastAsia="zh-CN"/>
                    </w:rPr>
                    <w:t>0.03</w:t>
                  </w:r>
                  <w:r>
                    <w:rPr>
                      <w:sz w:val="21"/>
                      <w:szCs w:val="24"/>
                      <w:u w:val="singl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5" w:type="pct"/>
                  <w:vAlign w:val="center"/>
                </w:tcPr>
                <w:p>
                  <w:pPr>
                    <w:pStyle w:val="70"/>
                    <w:spacing w:line="240" w:lineRule="auto"/>
                    <w:ind w:firstLine="0"/>
                    <w:jc w:val="center"/>
                    <w:rPr>
                      <w:bCs/>
                      <w:sz w:val="21"/>
                      <w:szCs w:val="21"/>
                      <w:u w:val="single"/>
                    </w:rPr>
                  </w:pPr>
                  <w:r>
                    <w:rPr>
                      <w:rFonts w:hint="eastAsia"/>
                      <w:sz w:val="21"/>
                      <w:szCs w:val="21"/>
                      <w:u w:val="single"/>
                    </w:rPr>
                    <w:t>NO</w:t>
                  </w:r>
                  <w:r>
                    <w:rPr>
                      <w:rFonts w:hint="eastAsia"/>
                      <w:sz w:val="21"/>
                      <w:szCs w:val="21"/>
                      <w:u w:val="single"/>
                      <w:vertAlign w:val="subscript"/>
                    </w:rPr>
                    <w:t>X</w:t>
                  </w:r>
                </w:p>
              </w:tc>
              <w:tc>
                <w:tcPr>
                  <w:tcW w:w="1667" w:type="pct"/>
                  <w:vAlign w:val="center"/>
                </w:tcPr>
                <w:p>
                  <w:pPr>
                    <w:pStyle w:val="70"/>
                    <w:spacing w:line="240" w:lineRule="auto"/>
                    <w:ind w:firstLine="0"/>
                    <w:jc w:val="center"/>
                    <w:rPr>
                      <w:bCs/>
                      <w:sz w:val="21"/>
                      <w:szCs w:val="21"/>
                      <w:u w:val="single"/>
                    </w:rPr>
                  </w:pPr>
                  <w:r>
                    <w:rPr>
                      <w:rFonts w:hint="eastAsia"/>
                      <w:sz w:val="21"/>
                      <w:szCs w:val="24"/>
                      <w:u w:val="single"/>
                      <w:lang w:val="en-US" w:eastAsia="zh-CN"/>
                    </w:rPr>
                    <w:t>2.602</w:t>
                  </w:r>
                  <w:r>
                    <w:rPr>
                      <w:sz w:val="21"/>
                      <w:szCs w:val="24"/>
                      <w:u w:val="single"/>
                    </w:rPr>
                    <w:t>t/a</w:t>
                  </w:r>
                </w:p>
              </w:tc>
              <w:tc>
                <w:tcPr>
                  <w:tcW w:w="1667" w:type="pct"/>
                  <w:vAlign w:val="center"/>
                </w:tcPr>
                <w:p>
                  <w:pPr>
                    <w:pStyle w:val="70"/>
                    <w:spacing w:line="240" w:lineRule="auto"/>
                    <w:ind w:firstLine="0"/>
                    <w:jc w:val="center"/>
                    <w:rPr>
                      <w:bCs/>
                      <w:sz w:val="21"/>
                      <w:szCs w:val="21"/>
                      <w:u w:val="single"/>
                    </w:rPr>
                  </w:pPr>
                  <w:r>
                    <w:rPr>
                      <w:rFonts w:hint="eastAsia"/>
                      <w:bCs/>
                      <w:sz w:val="21"/>
                      <w:szCs w:val="21"/>
                      <w:u w:val="single"/>
                      <w:lang w:val="en-US" w:eastAsia="zh-CN"/>
                    </w:rPr>
                    <w:t>2.61</w:t>
                  </w:r>
                  <w:r>
                    <w:rPr>
                      <w:bCs/>
                      <w:sz w:val="21"/>
                      <w:szCs w:val="21"/>
                      <w:u w:val="single"/>
                    </w:rPr>
                    <w:t>t/a</w:t>
                  </w:r>
                </w:p>
              </w:tc>
            </w:tr>
          </w:tbl>
          <w:p>
            <w:pPr>
              <w:pStyle w:val="70"/>
              <w:snapToGrid w:val="0"/>
              <w:ind w:firstLine="480"/>
              <w:rPr>
                <w:rFonts w:hint="eastAsia"/>
                <w:color w:val="000000"/>
                <w:szCs w:val="24"/>
                <w:u w:val="single"/>
              </w:rPr>
            </w:pPr>
            <w:r>
              <w:rPr>
                <w:rFonts w:hint="eastAsia"/>
                <w:color w:val="000000"/>
                <w:szCs w:val="24"/>
                <w:u w:val="single"/>
              </w:rPr>
              <w:t>通过计算得知，</w:t>
            </w:r>
            <w:r>
              <w:rPr>
                <w:rFonts w:hint="eastAsia"/>
                <w:color w:val="000000"/>
                <w:w w:val="95"/>
                <w:szCs w:val="24"/>
                <w:u w:val="single"/>
              </w:rPr>
              <w:t>SO</w:t>
            </w:r>
            <w:r>
              <w:rPr>
                <w:rFonts w:hint="eastAsia"/>
                <w:color w:val="000000"/>
                <w:w w:val="95"/>
                <w:szCs w:val="24"/>
                <w:u w:val="single"/>
                <w:vertAlign w:val="subscript"/>
              </w:rPr>
              <w:t>2</w:t>
            </w:r>
            <w:r>
              <w:rPr>
                <w:rFonts w:hint="eastAsia"/>
                <w:color w:val="000000"/>
                <w:szCs w:val="24"/>
                <w:u w:val="single"/>
              </w:rPr>
              <w:t>建议购买量为</w:t>
            </w:r>
            <w:r>
              <w:rPr>
                <w:rFonts w:hint="eastAsia"/>
                <w:color w:val="000000"/>
                <w:szCs w:val="24"/>
                <w:u w:val="single"/>
                <w:lang w:val="en-US" w:eastAsia="zh-CN"/>
              </w:rPr>
              <w:t>0.03</w:t>
            </w:r>
            <w:r>
              <w:rPr>
                <w:rFonts w:hint="eastAsia"/>
                <w:color w:val="000000"/>
                <w:szCs w:val="24"/>
                <w:u w:val="single"/>
              </w:rPr>
              <w:t>t/a、</w:t>
            </w:r>
            <w:r>
              <w:rPr>
                <w:rFonts w:hint="eastAsia"/>
                <w:color w:val="000000"/>
                <w:w w:val="95"/>
                <w:szCs w:val="24"/>
                <w:u w:val="single"/>
              </w:rPr>
              <w:t>NO</w:t>
            </w:r>
            <w:r>
              <w:rPr>
                <w:rFonts w:hint="eastAsia"/>
                <w:color w:val="000000"/>
                <w:w w:val="95"/>
                <w:szCs w:val="24"/>
                <w:u w:val="single"/>
                <w:vertAlign w:val="subscript"/>
              </w:rPr>
              <w:t>X</w:t>
            </w:r>
            <w:r>
              <w:rPr>
                <w:rFonts w:hint="eastAsia"/>
                <w:color w:val="000000"/>
                <w:szCs w:val="24"/>
                <w:u w:val="single"/>
              </w:rPr>
              <w:t>建议购买量为</w:t>
            </w:r>
            <w:r>
              <w:rPr>
                <w:rFonts w:hint="eastAsia"/>
                <w:color w:val="000000"/>
                <w:szCs w:val="24"/>
                <w:u w:val="single"/>
                <w:lang w:val="en-US" w:eastAsia="zh-CN"/>
              </w:rPr>
              <w:t>2.61</w:t>
            </w:r>
            <w:r>
              <w:rPr>
                <w:rFonts w:hint="eastAsia"/>
                <w:color w:val="000000"/>
                <w:szCs w:val="24"/>
                <w:u w:val="single"/>
              </w:rPr>
              <w:t>t/a。</w:t>
            </w:r>
          </w:p>
          <w:p>
            <w:pPr>
              <w:pStyle w:val="70"/>
              <w:snapToGrid w:val="0"/>
              <w:ind w:firstLine="480"/>
              <w:rPr>
                <w:rFonts w:hint="eastAsia"/>
                <w:color w:val="000000"/>
                <w:szCs w:val="24"/>
                <w:u w:val="single"/>
              </w:rPr>
            </w:pPr>
          </w:p>
          <w:p>
            <w:pPr>
              <w:pStyle w:val="70"/>
              <w:snapToGrid w:val="0"/>
              <w:ind w:firstLine="480"/>
              <w:rPr>
                <w:rFonts w:hint="eastAsia"/>
                <w:color w:val="000000"/>
                <w:szCs w:val="24"/>
                <w:u w:val="none"/>
              </w:rPr>
            </w:pPr>
          </w:p>
          <w:p>
            <w:pPr>
              <w:pStyle w:val="70"/>
              <w:snapToGrid w:val="0"/>
              <w:ind w:firstLine="480"/>
              <w:rPr>
                <w:rFonts w:hint="eastAsia"/>
                <w:color w:val="000000"/>
                <w:szCs w:val="24"/>
                <w:u w:val="none"/>
              </w:rPr>
            </w:pPr>
          </w:p>
        </w:tc>
      </w:tr>
    </w:tbl>
    <w:p>
      <w:pPr>
        <w:pStyle w:val="19"/>
        <w:spacing w:line="240" w:lineRule="auto"/>
        <w:ind w:firstLine="0" w:firstLineChars="0"/>
        <w:jc w:val="center"/>
        <w:outlineLvl w:val="0"/>
        <w:rPr>
          <w:rStyle w:val="35"/>
        </w:rPr>
      </w:pPr>
      <w:r>
        <w:rPr>
          <w:rFonts w:ascii="黑体" w:hAnsi="黑体" w:eastAsia="黑体"/>
          <w:snapToGrid w:val="0"/>
          <w:sz w:val="36"/>
          <w:szCs w:val="36"/>
        </w:rPr>
        <w:br w:type="page"/>
      </w:r>
      <w:bookmarkStart w:id="17" w:name="_Toc10279"/>
      <w:bookmarkStart w:id="18" w:name="_Toc19411"/>
      <w:bookmarkStart w:id="19" w:name="_Toc19347"/>
      <w:r>
        <w:rPr>
          <w:rFonts w:hint="eastAsia" w:ascii="黑体" w:hAnsi="黑体" w:eastAsia="黑体"/>
          <w:snapToGrid w:val="0"/>
          <w:sz w:val="30"/>
          <w:szCs w:val="30"/>
        </w:rPr>
        <w:t>四、主要环境影响和保护措施</w:t>
      </w:r>
      <w:bookmarkEnd w:id="17"/>
      <w:bookmarkEnd w:id="18"/>
      <w:bookmarkEnd w:id="19"/>
    </w:p>
    <w:tbl>
      <w:tblPr>
        <w:tblStyle w:val="24"/>
        <w:tblW w:w="504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92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6" w:hRule="atLeast"/>
          <w:jc w:val="center"/>
        </w:trPr>
        <w:tc>
          <w:tcPr>
            <w:tcW w:w="164" w:type="pct"/>
            <w:tcMar>
              <w:left w:w="28" w:type="dxa"/>
              <w:right w:w="28" w:type="dxa"/>
            </w:tcMar>
            <w:vAlign w:val="center"/>
          </w:tcPr>
          <w:p>
            <w:pPr>
              <w:pStyle w:val="19"/>
              <w:adjustRightInd w:val="0"/>
              <w:snapToGrid w:val="0"/>
              <w:spacing w:before="0" w:beforeAutospacing="0" w:after="0" w:afterAutospacing="0"/>
              <w:ind w:firstLine="0" w:firstLineChars="0"/>
              <w:jc w:val="center"/>
              <w:rPr>
                <w:rFonts w:cs="宋体"/>
                <w:bCs/>
                <w:kern w:val="2"/>
                <w:sz w:val="21"/>
                <w:szCs w:val="21"/>
                <w:u w:val="none"/>
              </w:rPr>
            </w:pPr>
            <w:r>
              <w:rPr>
                <w:rFonts w:hint="eastAsia" w:cs="宋体"/>
                <w:kern w:val="2"/>
                <w:sz w:val="21"/>
                <w:szCs w:val="21"/>
                <w:u w:val="none"/>
              </w:rPr>
              <w:t>施工期环境保护措施</w:t>
            </w:r>
          </w:p>
        </w:tc>
        <w:tc>
          <w:tcPr>
            <w:tcW w:w="4835" w:type="pct"/>
            <w:vAlign w:val="center"/>
          </w:tcPr>
          <w:p>
            <w:pPr>
              <w:keepNext w:val="0"/>
              <w:keepLines w:val="0"/>
              <w:widowControl/>
              <w:suppressLineNumbers w:val="0"/>
              <w:jc w:val="left"/>
              <w:rPr>
                <w:u w:val="single"/>
              </w:rPr>
            </w:pPr>
            <w:r>
              <w:rPr>
                <w:rFonts w:hint="eastAsia" w:ascii="宋体" w:hAnsi="宋体" w:eastAsia="宋体" w:cs="宋体"/>
                <w:b/>
                <w:bCs/>
                <w:color w:val="000000"/>
                <w:kern w:val="0"/>
                <w:sz w:val="24"/>
                <w:szCs w:val="24"/>
                <w:u w:val="single"/>
                <w:lang w:val="en-US" w:eastAsia="zh-CN" w:bidi="ar"/>
              </w:rPr>
              <w:t xml:space="preserve">一、施工期环境影响措施： </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根据建设项目概况的介绍分析可知，该项目在建设期及建成后对周围环境产生直接影响的污染因子有：生活污水、噪声、粉尘及非甲烷总烃、建筑垃圾、生活垃圾等。</w:t>
            </w:r>
          </w:p>
          <w:p>
            <w:pPr>
              <w:keepNext w:val="0"/>
              <w:keepLines w:val="0"/>
              <w:widowControl/>
              <w:suppressLineNumbers w:val="0"/>
              <w:jc w:val="left"/>
              <w:rPr>
                <w:u w:val="single"/>
              </w:rPr>
            </w:pPr>
            <w:r>
              <w:rPr>
                <w:rFonts w:hint="default" w:ascii="Times New Roman" w:hAnsi="Times New Roman" w:eastAsia="宋体" w:cs="Times New Roman"/>
                <w:b/>
                <w:bCs/>
                <w:color w:val="000000"/>
                <w:kern w:val="0"/>
                <w:sz w:val="24"/>
                <w:szCs w:val="24"/>
                <w:u w:val="single"/>
                <w:lang w:val="en-US" w:eastAsia="zh-CN" w:bidi="ar"/>
              </w:rPr>
              <w:t>1</w:t>
            </w:r>
            <w:r>
              <w:rPr>
                <w:rFonts w:hint="eastAsia" w:ascii="宋体" w:hAnsi="宋体" w:eastAsia="宋体" w:cs="宋体"/>
                <w:b/>
                <w:bCs/>
                <w:color w:val="000000"/>
                <w:kern w:val="0"/>
                <w:sz w:val="24"/>
                <w:szCs w:val="24"/>
                <w:u w:val="single"/>
                <w:lang w:val="en-US" w:eastAsia="zh-CN" w:bidi="ar"/>
              </w:rPr>
              <w:t>、大气环境影响</w:t>
            </w:r>
            <w:r>
              <w:rPr>
                <w:rFonts w:hint="eastAsia" w:ascii="宋体" w:hAnsi="宋体" w:cs="宋体"/>
                <w:b/>
                <w:bCs/>
                <w:color w:val="000000"/>
                <w:kern w:val="0"/>
                <w:sz w:val="24"/>
                <w:szCs w:val="24"/>
                <w:u w:val="single"/>
                <w:lang w:val="en-US" w:eastAsia="zh-CN" w:bidi="ar"/>
              </w:rPr>
              <w:t>及</w:t>
            </w:r>
            <w:r>
              <w:rPr>
                <w:rFonts w:hint="eastAsia" w:ascii="宋体" w:hAnsi="宋体" w:eastAsia="宋体" w:cs="宋体"/>
                <w:b/>
                <w:bCs/>
                <w:color w:val="000000"/>
                <w:kern w:val="0"/>
                <w:sz w:val="24"/>
                <w:szCs w:val="24"/>
                <w:u w:val="single"/>
                <w:lang w:val="en-US" w:eastAsia="zh-CN" w:bidi="ar"/>
              </w:rPr>
              <w:t xml:space="preserve">措施 </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textAlignment w:val="auto"/>
              <w:rPr>
                <w:sz w:val="24"/>
                <w:szCs w:val="24"/>
                <w:u w:val="single"/>
              </w:rPr>
            </w:pPr>
            <w:r>
              <w:rPr>
                <w:sz w:val="24"/>
                <w:szCs w:val="24"/>
                <w:u w:val="single"/>
              </w:rPr>
              <w:t>施工期的主要大气污染为施工扬尘、施工机械废气和运输车辆尾气。</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textAlignment w:val="auto"/>
              <w:rPr>
                <w:sz w:val="24"/>
                <w:szCs w:val="24"/>
                <w:u w:val="single"/>
              </w:rPr>
            </w:pPr>
            <w:r>
              <w:rPr>
                <w:sz w:val="24"/>
                <w:szCs w:val="24"/>
                <w:u w:val="single"/>
              </w:rPr>
              <w:t>①施工扬尘</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sz w:val="24"/>
                <w:szCs w:val="24"/>
                <w:u w:val="single"/>
              </w:rPr>
            </w:pPr>
            <w:r>
              <w:rPr>
                <w:sz w:val="24"/>
                <w:szCs w:val="24"/>
                <w:u w:val="single"/>
              </w:rPr>
              <w:t>施工期的扬尘主要来自于裸露场地的风力扬尘、建筑材料运输所产生的道路扬尘。对整个施工期而言，施工产生的扬尘又主要集中为基础施工阶段，因此应该尽量在风力小的天气施工，并使用商品混凝土。</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textAlignment w:val="auto"/>
              <w:rPr>
                <w:sz w:val="24"/>
                <w:szCs w:val="24"/>
                <w:u w:val="single"/>
              </w:rPr>
            </w:pPr>
            <w:r>
              <w:rPr>
                <w:rFonts w:ascii="Times New Roman" w:eastAsia="Times New Roman"/>
                <w:sz w:val="24"/>
                <w:szCs w:val="24"/>
                <w:u w:val="single"/>
              </w:rPr>
              <w:t>a</w:t>
            </w:r>
            <w:r>
              <w:rPr>
                <w:sz w:val="24"/>
                <w:szCs w:val="24"/>
                <w:u w:val="single"/>
              </w:rPr>
              <w:t>、露天堆场和裸露场地的风力扬尘</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sz w:val="24"/>
                <w:szCs w:val="24"/>
                <w:u w:val="single"/>
              </w:rPr>
            </w:pPr>
            <w:r>
              <w:rPr>
                <w:sz w:val="24"/>
                <w:szCs w:val="24"/>
                <w:u w:val="single"/>
              </w:rPr>
              <w:t>由于施工的需要，建材需露天临时堆放，施工点表层土壤需人工开挖、堆放，在气候干燥又有风的情况下，会产生扬尘，根据堆放场起尘的经验公式可以看出起尘量与尘粒的含水率有关：</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textAlignment w:val="auto"/>
              <w:rPr>
                <w:rFonts w:ascii="Times New Roman" w:hAnsi="Times New Roman" w:eastAsia="Times New Roman"/>
                <w:sz w:val="24"/>
                <w:szCs w:val="24"/>
                <w:u w:val="single"/>
              </w:rPr>
            </w:pPr>
            <w:r>
              <w:rPr>
                <w:rFonts w:ascii="Times New Roman" w:hAnsi="Times New Roman" w:eastAsia="Times New Roman"/>
                <w:position w:val="2"/>
                <w:sz w:val="24"/>
                <w:szCs w:val="24"/>
                <w:u w:val="single"/>
              </w:rPr>
              <w:t>Q</w:t>
            </w:r>
            <w:r>
              <w:rPr>
                <w:position w:val="2"/>
                <w:sz w:val="24"/>
                <w:szCs w:val="24"/>
                <w:u w:val="single"/>
              </w:rPr>
              <w:t>＝</w:t>
            </w:r>
            <w:r>
              <w:rPr>
                <w:rFonts w:ascii="Times New Roman" w:hAnsi="Times New Roman" w:eastAsia="Times New Roman"/>
                <w:position w:val="2"/>
                <w:sz w:val="24"/>
                <w:szCs w:val="24"/>
                <w:u w:val="single"/>
              </w:rPr>
              <w:t>2.1</w:t>
            </w:r>
            <w:r>
              <w:rPr>
                <w:position w:val="2"/>
                <w:sz w:val="24"/>
                <w:szCs w:val="24"/>
                <w:u w:val="single"/>
              </w:rPr>
              <w:t>（</w:t>
            </w:r>
            <w:r>
              <w:rPr>
                <w:rFonts w:ascii="Times New Roman" w:hAnsi="Times New Roman" w:eastAsia="Times New Roman"/>
                <w:position w:val="2"/>
                <w:sz w:val="24"/>
                <w:szCs w:val="24"/>
                <w:u w:val="single"/>
              </w:rPr>
              <w:t>V</w:t>
            </w:r>
            <w:r>
              <w:rPr>
                <w:rFonts w:ascii="Times New Roman" w:hAnsi="Times New Roman" w:eastAsia="Times New Roman"/>
                <w:position w:val="2"/>
                <w:sz w:val="24"/>
                <w:szCs w:val="24"/>
                <w:u w:val="single"/>
                <w:vertAlign w:val="subscript"/>
              </w:rPr>
              <w:t>50</w:t>
            </w:r>
            <w:r>
              <w:rPr>
                <w:position w:val="2"/>
                <w:sz w:val="24"/>
                <w:szCs w:val="24"/>
                <w:u w:val="single"/>
                <w:vertAlign w:val="baseline"/>
              </w:rPr>
              <w:t>－</w:t>
            </w:r>
            <w:r>
              <w:rPr>
                <w:rFonts w:ascii="Times New Roman" w:hAnsi="Times New Roman" w:eastAsia="Times New Roman"/>
                <w:position w:val="2"/>
                <w:sz w:val="24"/>
                <w:szCs w:val="24"/>
                <w:u w:val="single"/>
                <w:vertAlign w:val="baseline"/>
              </w:rPr>
              <w:t>V</w:t>
            </w:r>
            <w:r>
              <w:rPr>
                <w:rFonts w:ascii="Times New Roman" w:hAnsi="Times New Roman" w:eastAsia="Times New Roman"/>
                <w:position w:val="2"/>
                <w:sz w:val="24"/>
                <w:szCs w:val="24"/>
                <w:u w:val="single"/>
                <w:vertAlign w:val="subscript"/>
              </w:rPr>
              <w:t>0</w:t>
            </w:r>
            <w:r>
              <w:rPr>
                <w:position w:val="2"/>
                <w:sz w:val="24"/>
                <w:szCs w:val="24"/>
                <w:u w:val="single"/>
                <w:vertAlign w:val="baseline"/>
              </w:rPr>
              <w:t>）</w:t>
            </w:r>
            <w:r>
              <w:rPr>
                <w:rFonts w:ascii="Times New Roman" w:hAnsi="Times New Roman" w:eastAsia="Times New Roman"/>
                <w:position w:val="2"/>
                <w:sz w:val="24"/>
                <w:szCs w:val="24"/>
                <w:u w:val="single"/>
                <w:vertAlign w:val="superscript"/>
              </w:rPr>
              <w:t>3</w:t>
            </w:r>
            <w:r>
              <w:rPr>
                <w:rFonts w:ascii="Times New Roman" w:hAnsi="Times New Roman" w:eastAsia="Times New Roman"/>
                <w:position w:val="2"/>
                <w:sz w:val="24"/>
                <w:szCs w:val="24"/>
                <w:u w:val="single"/>
                <w:vertAlign w:val="baseline"/>
              </w:rPr>
              <w:t>·e</w:t>
            </w:r>
            <w:r>
              <w:rPr>
                <w:rFonts w:ascii="Times New Roman" w:hAnsi="Times New Roman" w:eastAsia="Times New Roman"/>
                <w:position w:val="2"/>
                <w:sz w:val="24"/>
                <w:szCs w:val="24"/>
                <w:u w:val="single"/>
                <w:vertAlign w:val="superscript"/>
              </w:rPr>
              <w:t>-1.023w</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textAlignment w:val="auto"/>
              <w:rPr>
                <w:sz w:val="24"/>
                <w:szCs w:val="24"/>
                <w:u w:val="single"/>
              </w:rPr>
            </w:pPr>
            <w:r>
              <w:rPr>
                <w:sz w:val="24"/>
                <w:szCs w:val="24"/>
                <w:u w:val="single"/>
              </w:rPr>
              <w:t>式中：</w:t>
            </w:r>
            <w:r>
              <w:rPr>
                <w:rFonts w:ascii="Times New Roman" w:hAnsi="Times New Roman" w:eastAsia="Times New Roman"/>
                <w:sz w:val="24"/>
                <w:szCs w:val="24"/>
                <w:u w:val="single"/>
              </w:rPr>
              <w:t>Q——</w:t>
            </w:r>
            <w:r>
              <w:rPr>
                <w:sz w:val="24"/>
                <w:szCs w:val="24"/>
                <w:u w:val="single"/>
              </w:rPr>
              <w:t>起尘量，</w:t>
            </w:r>
            <w:r>
              <w:rPr>
                <w:rFonts w:ascii="Times New Roman" w:hAnsi="Times New Roman" w:eastAsia="Times New Roman"/>
                <w:sz w:val="24"/>
                <w:szCs w:val="24"/>
                <w:u w:val="single"/>
              </w:rPr>
              <w:t>kg/t·a</w:t>
            </w:r>
            <w:r>
              <w:rPr>
                <w:sz w:val="24"/>
                <w:szCs w:val="24"/>
                <w:u w:val="single"/>
              </w:rPr>
              <w:t>；</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textAlignment w:val="auto"/>
              <w:rPr>
                <w:sz w:val="24"/>
                <w:szCs w:val="24"/>
                <w:u w:val="single"/>
              </w:rPr>
            </w:pPr>
            <w:r>
              <w:rPr>
                <w:rFonts w:ascii="Times New Roman" w:hAnsi="Times New Roman" w:eastAsia="Times New Roman"/>
                <w:position w:val="2"/>
                <w:sz w:val="24"/>
                <w:szCs w:val="24"/>
                <w:u w:val="single"/>
              </w:rPr>
              <w:t>V</w:t>
            </w:r>
            <w:r>
              <w:rPr>
                <w:rFonts w:ascii="Times New Roman" w:hAnsi="Times New Roman" w:eastAsia="Times New Roman"/>
                <w:position w:val="2"/>
                <w:sz w:val="24"/>
                <w:szCs w:val="24"/>
                <w:u w:val="single"/>
                <w:vertAlign w:val="subscript"/>
              </w:rPr>
              <w:t>50</w:t>
            </w:r>
            <w:r>
              <w:rPr>
                <w:rFonts w:ascii="Times New Roman" w:hAnsi="Times New Roman" w:eastAsia="Times New Roman"/>
                <w:position w:val="2"/>
                <w:sz w:val="24"/>
                <w:szCs w:val="24"/>
                <w:u w:val="single"/>
                <w:vertAlign w:val="baseline"/>
              </w:rPr>
              <w:t>——</w:t>
            </w:r>
            <w:r>
              <w:rPr>
                <w:position w:val="2"/>
                <w:sz w:val="24"/>
                <w:szCs w:val="24"/>
                <w:u w:val="single"/>
                <w:vertAlign w:val="baseline"/>
              </w:rPr>
              <w:t xml:space="preserve">距地面 </w:t>
            </w:r>
            <w:r>
              <w:rPr>
                <w:rFonts w:ascii="Times New Roman" w:hAnsi="Times New Roman" w:eastAsia="Times New Roman"/>
                <w:position w:val="2"/>
                <w:sz w:val="24"/>
                <w:szCs w:val="24"/>
                <w:u w:val="single"/>
                <w:vertAlign w:val="baseline"/>
              </w:rPr>
              <w:t xml:space="preserve">50 </w:t>
            </w:r>
            <w:r>
              <w:rPr>
                <w:position w:val="2"/>
                <w:sz w:val="24"/>
                <w:szCs w:val="24"/>
                <w:u w:val="single"/>
                <w:vertAlign w:val="baseline"/>
              </w:rPr>
              <w:t>米处风速，</w:t>
            </w:r>
            <w:r>
              <w:rPr>
                <w:rFonts w:ascii="Times New Roman" w:hAnsi="Times New Roman" w:eastAsia="Times New Roman"/>
                <w:position w:val="2"/>
                <w:sz w:val="24"/>
                <w:szCs w:val="24"/>
                <w:u w:val="single"/>
                <w:vertAlign w:val="baseline"/>
              </w:rPr>
              <w:t>m/s</w:t>
            </w:r>
            <w:r>
              <w:rPr>
                <w:position w:val="2"/>
                <w:sz w:val="24"/>
                <w:szCs w:val="24"/>
                <w:u w:val="single"/>
                <w:vertAlign w:val="baseline"/>
              </w:rPr>
              <w:t>；</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textAlignment w:val="auto"/>
              <w:rPr>
                <w:sz w:val="24"/>
                <w:szCs w:val="24"/>
                <w:u w:val="single"/>
              </w:rPr>
            </w:pPr>
            <w:r>
              <w:rPr>
                <w:rFonts w:ascii="Times New Roman" w:hAnsi="Times New Roman" w:eastAsia="Times New Roman"/>
                <w:position w:val="2"/>
                <w:sz w:val="24"/>
                <w:szCs w:val="24"/>
                <w:u w:val="single"/>
              </w:rPr>
              <w:t>V</w:t>
            </w:r>
            <w:r>
              <w:rPr>
                <w:rFonts w:ascii="Times New Roman" w:hAnsi="Times New Roman" w:eastAsia="Times New Roman"/>
                <w:position w:val="2"/>
                <w:sz w:val="24"/>
                <w:szCs w:val="24"/>
                <w:u w:val="single"/>
                <w:vertAlign w:val="subscript"/>
              </w:rPr>
              <w:t>0</w:t>
            </w:r>
            <w:r>
              <w:rPr>
                <w:rFonts w:ascii="Times New Roman" w:hAnsi="Times New Roman" w:eastAsia="Times New Roman"/>
                <w:position w:val="2"/>
                <w:sz w:val="24"/>
                <w:szCs w:val="24"/>
                <w:u w:val="single"/>
                <w:vertAlign w:val="baseline"/>
              </w:rPr>
              <w:t>——</w:t>
            </w:r>
            <w:r>
              <w:rPr>
                <w:position w:val="2"/>
                <w:sz w:val="24"/>
                <w:szCs w:val="24"/>
                <w:u w:val="single"/>
                <w:vertAlign w:val="baseline"/>
              </w:rPr>
              <w:t>起尘风速，</w:t>
            </w:r>
            <w:r>
              <w:rPr>
                <w:rFonts w:ascii="Times New Roman" w:hAnsi="Times New Roman" w:eastAsia="Times New Roman"/>
                <w:position w:val="2"/>
                <w:sz w:val="24"/>
                <w:szCs w:val="24"/>
                <w:u w:val="single"/>
                <w:vertAlign w:val="baseline"/>
              </w:rPr>
              <w:t>m/s</w:t>
            </w:r>
            <w:r>
              <w:rPr>
                <w:position w:val="2"/>
                <w:sz w:val="24"/>
                <w:szCs w:val="24"/>
                <w:u w:val="single"/>
                <w:vertAlign w:val="baseline"/>
              </w:rPr>
              <w:t>；</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textAlignment w:val="auto"/>
              <w:rPr>
                <w:sz w:val="24"/>
                <w:szCs w:val="24"/>
                <w:u w:val="single"/>
              </w:rPr>
            </w:pPr>
            <w:r>
              <w:rPr>
                <w:rFonts w:ascii="Times New Roman" w:hAnsi="Times New Roman" w:eastAsia="Times New Roman"/>
                <w:sz w:val="24"/>
                <w:szCs w:val="24"/>
                <w:u w:val="single"/>
              </w:rPr>
              <w:t>W——</w:t>
            </w:r>
            <w:r>
              <w:rPr>
                <w:sz w:val="24"/>
                <w:szCs w:val="24"/>
                <w:u w:val="single"/>
              </w:rPr>
              <w:t>尘粒的含水率，</w:t>
            </w:r>
            <w:r>
              <w:rPr>
                <w:rFonts w:ascii="Times New Roman" w:hAnsi="Times New Roman" w:eastAsia="Times New Roman"/>
                <w:sz w:val="24"/>
                <w:szCs w:val="24"/>
                <w:u w:val="single"/>
              </w:rPr>
              <w:t>%</w:t>
            </w:r>
            <w:r>
              <w:rPr>
                <w:sz w:val="24"/>
                <w:szCs w:val="24"/>
                <w:u w:val="single"/>
              </w:rPr>
              <w:t>。</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sz w:val="24"/>
                <w:szCs w:val="24"/>
                <w:u w:val="single"/>
              </w:rPr>
            </w:pPr>
            <w:r>
              <w:rPr>
                <w:sz w:val="24"/>
                <w:szCs w:val="24"/>
                <w:u w:val="single"/>
              </w:rPr>
              <w:t>起尘量与含水率、气象、风速、起尘风速有关，而起尘风速与粒径和含水率有关。尘粒在空气中的传播扩散情况与风速等气象条件有关，也与尘粒本身的沉降速度有关，不同尘粒的沉降速度见下表。</w:t>
            </w:r>
          </w:p>
          <w:p>
            <w:pPr>
              <w:spacing w:before="0" w:after="3" w:line="267" w:lineRule="exact"/>
              <w:ind w:left="262" w:right="324" w:firstLine="0"/>
              <w:jc w:val="center"/>
              <w:rPr>
                <w:b/>
                <w:sz w:val="21"/>
                <w:u w:val="single"/>
              </w:rPr>
            </w:pPr>
            <w:r>
              <w:rPr>
                <w:b/>
                <w:spacing w:val="-26"/>
                <w:sz w:val="21"/>
                <w:u w:val="single"/>
              </w:rPr>
              <w:t xml:space="preserve">表 </w:t>
            </w:r>
            <w:r>
              <w:rPr>
                <w:rFonts w:hint="eastAsia" w:eastAsia="宋体"/>
                <w:b/>
                <w:sz w:val="21"/>
                <w:u w:val="single"/>
                <w:lang w:val="en-US" w:eastAsia="zh-CN"/>
              </w:rPr>
              <w:t>4-1</w:t>
            </w:r>
            <w:r>
              <w:rPr>
                <w:rFonts w:ascii="Times New Roman" w:eastAsia="Times New Roman"/>
                <w:b/>
                <w:spacing w:val="50"/>
                <w:sz w:val="21"/>
                <w:u w:val="single"/>
              </w:rPr>
              <w:t xml:space="preserve"> </w:t>
            </w:r>
            <w:r>
              <w:rPr>
                <w:b/>
                <w:sz w:val="21"/>
                <w:u w:val="single"/>
              </w:rPr>
              <w:t>不同粒径的沉降速度</w:t>
            </w:r>
          </w:p>
          <w:tbl>
            <w:tblPr>
              <w:tblStyle w:val="24"/>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156"/>
              <w:gridCol w:w="935"/>
              <w:gridCol w:w="953"/>
              <w:gridCol w:w="963"/>
              <w:gridCol w:w="967"/>
              <w:gridCol w:w="970"/>
              <w:gridCol w:w="796"/>
              <w:gridCol w:w="8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56" w:type="dxa"/>
                </w:tcPr>
                <w:p>
                  <w:pPr>
                    <w:pStyle w:val="62"/>
                    <w:spacing w:before="33"/>
                    <w:ind w:left="274" w:right="268"/>
                    <w:jc w:val="center"/>
                    <w:rPr>
                      <w:b/>
                      <w:sz w:val="21"/>
                      <w:u w:val="single"/>
                    </w:rPr>
                  </w:pPr>
                  <w:r>
                    <w:rPr>
                      <w:b/>
                      <w:sz w:val="21"/>
                      <w:u w:val="single"/>
                    </w:rPr>
                    <w:t>粒径（</w:t>
                  </w:r>
                  <w:r>
                    <w:rPr>
                      <w:rFonts w:ascii="Times New Roman" w:hAnsi="Times New Roman" w:eastAsia="Times New Roman"/>
                      <w:b/>
                      <w:sz w:val="21"/>
                      <w:u w:val="single"/>
                    </w:rPr>
                    <w:t>μm</w:t>
                  </w:r>
                  <w:r>
                    <w:rPr>
                      <w:b/>
                      <w:sz w:val="21"/>
                      <w:u w:val="single"/>
                    </w:rPr>
                    <w:t>）</w:t>
                  </w:r>
                </w:p>
              </w:tc>
              <w:tc>
                <w:tcPr>
                  <w:tcW w:w="935" w:type="dxa"/>
                </w:tcPr>
                <w:p>
                  <w:pPr>
                    <w:pStyle w:val="62"/>
                    <w:spacing w:before="47"/>
                    <w:ind w:left="341" w:right="334"/>
                    <w:jc w:val="center"/>
                    <w:rPr>
                      <w:rFonts w:ascii="Times New Roman"/>
                      <w:b/>
                      <w:sz w:val="21"/>
                      <w:u w:val="single"/>
                    </w:rPr>
                  </w:pPr>
                  <w:r>
                    <w:rPr>
                      <w:rFonts w:ascii="Times New Roman"/>
                      <w:b/>
                      <w:sz w:val="21"/>
                      <w:u w:val="single"/>
                    </w:rPr>
                    <w:t>10</w:t>
                  </w:r>
                </w:p>
              </w:tc>
              <w:tc>
                <w:tcPr>
                  <w:tcW w:w="953" w:type="dxa"/>
                </w:tcPr>
                <w:p>
                  <w:pPr>
                    <w:pStyle w:val="62"/>
                    <w:spacing w:before="47"/>
                    <w:ind w:left="215" w:right="209"/>
                    <w:jc w:val="center"/>
                    <w:rPr>
                      <w:rFonts w:ascii="Times New Roman"/>
                      <w:b/>
                      <w:sz w:val="21"/>
                      <w:u w:val="single"/>
                    </w:rPr>
                  </w:pPr>
                  <w:r>
                    <w:rPr>
                      <w:rFonts w:ascii="Times New Roman"/>
                      <w:b/>
                      <w:sz w:val="21"/>
                      <w:u w:val="single"/>
                    </w:rPr>
                    <w:t>20</w:t>
                  </w:r>
                </w:p>
              </w:tc>
              <w:tc>
                <w:tcPr>
                  <w:tcW w:w="963" w:type="dxa"/>
                </w:tcPr>
                <w:p>
                  <w:pPr>
                    <w:pStyle w:val="62"/>
                    <w:spacing w:before="47"/>
                    <w:ind w:left="225" w:right="215"/>
                    <w:jc w:val="center"/>
                    <w:rPr>
                      <w:rFonts w:ascii="Times New Roman"/>
                      <w:b/>
                      <w:sz w:val="21"/>
                      <w:u w:val="single"/>
                    </w:rPr>
                  </w:pPr>
                  <w:r>
                    <w:rPr>
                      <w:rFonts w:ascii="Times New Roman"/>
                      <w:b/>
                      <w:sz w:val="21"/>
                      <w:u w:val="single"/>
                    </w:rPr>
                    <w:t>30</w:t>
                  </w:r>
                </w:p>
              </w:tc>
              <w:tc>
                <w:tcPr>
                  <w:tcW w:w="967" w:type="dxa"/>
                </w:tcPr>
                <w:p>
                  <w:pPr>
                    <w:pStyle w:val="62"/>
                    <w:spacing w:before="47"/>
                    <w:ind w:left="226" w:right="217"/>
                    <w:jc w:val="center"/>
                    <w:rPr>
                      <w:rFonts w:ascii="Times New Roman"/>
                      <w:b/>
                      <w:sz w:val="21"/>
                      <w:u w:val="single"/>
                    </w:rPr>
                  </w:pPr>
                  <w:r>
                    <w:rPr>
                      <w:rFonts w:ascii="Times New Roman"/>
                      <w:b/>
                      <w:sz w:val="21"/>
                      <w:u w:val="single"/>
                    </w:rPr>
                    <w:t>40</w:t>
                  </w:r>
                </w:p>
              </w:tc>
              <w:tc>
                <w:tcPr>
                  <w:tcW w:w="970" w:type="dxa"/>
                </w:tcPr>
                <w:p>
                  <w:pPr>
                    <w:pStyle w:val="62"/>
                    <w:spacing w:before="47"/>
                    <w:ind w:left="227" w:right="220"/>
                    <w:jc w:val="center"/>
                    <w:rPr>
                      <w:rFonts w:ascii="Times New Roman"/>
                      <w:b/>
                      <w:sz w:val="21"/>
                      <w:u w:val="single"/>
                    </w:rPr>
                  </w:pPr>
                  <w:r>
                    <w:rPr>
                      <w:rFonts w:ascii="Times New Roman"/>
                      <w:b/>
                      <w:sz w:val="21"/>
                      <w:u w:val="single"/>
                    </w:rPr>
                    <w:t>50</w:t>
                  </w:r>
                </w:p>
              </w:tc>
              <w:tc>
                <w:tcPr>
                  <w:tcW w:w="796" w:type="dxa"/>
                </w:tcPr>
                <w:p>
                  <w:pPr>
                    <w:pStyle w:val="62"/>
                    <w:spacing w:before="47"/>
                    <w:ind w:left="140" w:right="133"/>
                    <w:jc w:val="center"/>
                    <w:rPr>
                      <w:rFonts w:ascii="Times New Roman"/>
                      <w:b/>
                      <w:sz w:val="21"/>
                      <w:u w:val="single"/>
                    </w:rPr>
                  </w:pPr>
                  <w:r>
                    <w:rPr>
                      <w:rFonts w:ascii="Times New Roman"/>
                      <w:b/>
                      <w:sz w:val="21"/>
                      <w:u w:val="single"/>
                    </w:rPr>
                    <w:t>60</w:t>
                  </w:r>
                </w:p>
              </w:tc>
              <w:tc>
                <w:tcPr>
                  <w:tcW w:w="877" w:type="dxa"/>
                </w:tcPr>
                <w:p>
                  <w:pPr>
                    <w:pStyle w:val="62"/>
                    <w:spacing w:before="47"/>
                    <w:ind w:left="181" w:right="172"/>
                    <w:jc w:val="center"/>
                    <w:rPr>
                      <w:rFonts w:ascii="Times New Roman"/>
                      <w:b/>
                      <w:sz w:val="21"/>
                      <w:u w:val="single"/>
                    </w:rPr>
                  </w:pPr>
                  <w:r>
                    <w:rPr>
                      <w:rFonts w:ascii="Times New Roman"/>
                      <w:b/>
                      <w:sz w:val="21"/>
                      <w:u w:val="single"/>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56" w:type="dxa"/>
                </w:tcPr>
                <w:p>
                  <w:pPr>
                    <w:pStyle w:val="62"/>
                    <w:spacing w:before="33"/>
                    <w:ind w:left="274" w:right="268"/>
                    <w:jc w:val="center"/>
                    <w:rPr>
                      <w:sz w:val="21"/>
                      <w:u w:val="single"/>
                    </w:rPr>
                  </w:pPr>
                  <w:r>
                    <w:rPr>
                      <w:sz w:val="21"/>
                      <w:u w:val="single"/>
                    </w:rPr>
                    <w:t>沉降速度（</w:t>
                  </w:r>
                  <w:r>
                    <w:rPr>
                      <w:rFonts w:ascii="Times New Roman" w:eastAsia="Times New Roman"/>
                      <w:sz w:val="21"/>
                      <w:u w:val="single"/>
                    </w:rPr>
                    <w:t>m/s</w:t>
                  </w:r>
                  <w:r>
                    <w:rPr>
                      <w:sz w:val="21"/>
                      <w:u w:val="single"/>
                    </w:rPr>
                    <w:t>）</w:t>
                  </w:r>
                </w:p>
              </w:tc>
              <w:tc>
                <w:tcPr>
                  <w:tcW w:w="935" w:type="dxa"/>
                </w:tcPr>
                <w:p>
                  <w:pPr>
                    <w:pStyle w:val="62"/>
                    <w:spacing w:before="47"/>
                    <w:ind w:right="219"/>
                    <w:jc w:val="right"/>
                    <w:rPr>
                      <w:rFonts w:ascii="Times New Roman"/>
                      <w:sz w:val="21"/>
                      <w:u w:val="single"/>
                    </w:rPr>
                  </w:pPr>
                  <w:r>
                    <w:rPr>
                      <w:rFonts w:ascii="Times New Roman"/>
                      <w:w w:val="95"/>
                      <w:sz w:val="21"/>
                      <w:u w:val="single"/>
                    </w:rPr>
                    <w:t>0.003</w:t>
                  </w:r>
                </w:p>
              </w:tc>
              <w:tc>
                <w:tcPr>
                  <w:tcW w:w="953" w:type="dxa"/>
                </w:tcPr>
                <w:p>
                  <w:pPr>
                    <w:pStyle w:val="62"/>
                    <w:spacing w:before="47"/>
                    <w:ind w:left="220" w:right="209"/>
                    <w:jc w:val="center"/>
                    <w:rPr>
                      <w:rFonts w:ascii="Times New Roman"/>
                      <w:sz w:val="21"/>
                      <w:u w:val="single"/>
                    </w:rPr>
                  </w:pPr>
                  <w:r>
                    <w:rPr>
                      <w:rFonts w:ascii="Times New Roman"/>
                      <w:sz w:val="21"/>
                      <w:u w:val="single"/>
                    </w:rPr>
                    <w:t>0.012</w:t>
                  </w:r>
                </w:p>
              </w:tc>
              <w:tc>
                <w:tcPr>
                  <w:tcW w:w="963" w:type="dxa"/>
                </w:tcPr>
                <w:p>
                  <w:pPr>
                    <w:pStyle w:val="62"/>
                    <w:spacing w:before="47"/>
                    <w:ind w:left="225" w:right="215"/>
                    <w:jc w:val="center"/>
                    <w:rPr>
                      <w:rFonts w:ascii="Times New Roman"/>
                      <w:sz w:val="21"/>
                      <w:u w:val="single"/>
                    </w:rPr>
                  </w:pPr>
                  <w:r>
                    <w:rPr>
                      <w:rFonts w:ascii="Times New Roman"/>
                      <w:sz w:val="21"/>
                      <w:u w:val="single"/>
                    </w:rPr>
                    <w:t>0.027</w:t>
                  </w:r>
                </w:p>
              </w:tc>
              <w:tc>
                <w:tcPr>
                  <w:tcW w:w="967" w:type="dxa"/>
                </w:tcPr>
                <w:p>
                  <w:pPr>
                    <w:pStyle w:val="62"/>
                    <w:spacing w:before="47"/>
                    <w:ind w:left="226" w:right="217"/>
                    <w:jc w:val="center"/>
                    <w:rPr>
                      <w:rFonts w:ascii="Times New Roman"/>
                      <w:sz w:val="21"/>
                      <w:u w:val="single"/>
                    </w:rPr>
                  </w:pPr>
                  <w:r>
                    <w:rPr>
                      <w:rFonts w:ascii="Times New Roman"/>
                      <w:sz w:val="21"/>
                      <w:u w:val="single"/>
                    </w:rPr>
                    <w:t>0.048</w:t>
                  </w:r>
                </w:p>
              </w:tc>
              <w:tc>
                <w:tcPr>
                  <w:tcW w:w="970" w:type="dxa"/>
                </w:tcPr>
                <w:p>
                  <w:pPr>
                    <w:pStyle w:val="62"/>
                    <w:spacing w:before="47"/>
                    <w:ind w:left="227" w:right="220"/>
                    <w:jc w:val="center"/>
                    <w:rPr>
                      <w:rFonts w:ascii="Times New Roman"/>
                      <w:sz w:val="21"/>
                      <w:u w:val="single"/>
                    </w:rPr>
                  </w:pPr>
                  <w:r>
                    <w:rPr>
                      <w:rFonts w:ascii="Times New Roman"/>
                      <w:sz w:val="21"/>
                      <w:u w:val="single"/>
                    </w:rPr>
                    <w:t>0.075</w:t>
                  </w:r>
                </w:p>
              </w:tc>
              <w:tc>
                <w:tcPr>
                  <w:tcW w:w="796" w:type="dxa"/>
                </w:tcPr>
                <w:p>
                  <w:pPr>
                    <w:pStyle w:val="62"/>
                    <w:spacing w:before="47"/>
                    <w:ind w:left="140" w:right="133"/>
                    <w:jc w:val="center"/>
                    <w:rPr>
                      <w:rFonts w:ascii="Times New Roman"/>
                      <w:sz w:val="21"/>
                      <w:u w:val="single"/>
                    </w:rPr>
                  </w:pPr>
                  <w:r>
                    <w:rPr>
                      <w:rFonts w:ascii="Times New Roman"/>
                      <w:sz w:val="21"/>
                      <w:u w:val="single"/>
                    </w:rPr>
                    <w:t>0.108</w:t>
                  </w:r>
                </w:p>
              </w:tc>
              <w:tc>
                <w:tcPr>
                  <w:tcW w:w="877" w:type="dxa"/>
                </w:tcPr>
                <w:p>
                  <w:pPr>
                    <w:pStyle w:val="62"/>
                    <w:spacing w:before="47"/>
                    <w:ind w:left="181" w:right="172"/>
                    <w:jc w:val="center"/>
                    <w:rPr>
                      <w:rFonts w:ascii="Times New Roman"/>
                      <w:sz w:val="21"/>
                      <w:u w:val="single"/>
                    </w:rPr>
                  </w:pPr>
                  <w:r>
                    <w:rPr>
                      <w:rFonts w:ascii="Times New Roman"/>
                      <w:sz w:val="21"/>
                      <w:u w:val="single"/>
                    </w:rPr>
                    <w:t>0.147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56" w:type="dxa"/>
                </w:tcPr>
                <w:p>
                  <w:pPr>
                    <w:pStyle w:val="62"/>
                    <w:spacing w:before="34"/>
                    <w:ind w:left="274" w:right="265"/>
                    <w:jc w:val="center"/>
                    <w:rPr>
                      <w:sz w:val="21"/>
                      <w:u w:val="single"/>
                    </w:rPr>
                  </w:pPr>
                  <w:r>
                    <w:rPr>
                      <w:sz w:val="21"/>
                      <w:u w:val="single"/>
                    </w:rPr>
                    <w:t>粒径（</w:t>
                  </w:r>
                  <w:r>
                    <w:rPr>
                      <w:rFonts w:ascii="Times New Roman" w:hAnsi="Times New Roman" w:eastAsia="Times New Roman"/>
                      <w:sz w:val="21"/>
                      <w:u w:val="single"/>
                    </w:rPr>
                    <w:t>μm</w:t>
                  </w:r>
                  <w:r>
                    <w:rPr>
                      <w:sz w:val="21"/>
                      <w:u w:val="single"/>
                    </w:rPr>
                    <w:t>）</w:t>
                  </w:r>
                </w:p>
              </w:tc>
              <w:tc>
                <w:tcPr>
                  <w:tcW w:w="935" w:type="dxa"/>
                </w:tcPr>
                <w:p>
                  <w:pPr>
                    <w:pStyle w:val="62"/>
                    <w:spacing w:before="47"/>
                    <w:ind w:left="341" w:right="334"/>
                    <w:jc w:val="center"/>
                    <w:rPr>
                      <w:rFonts w:ascii="Times New Roman"/>
                      <w:sz w:val="21"/>
                      <w:u w:val="single"/>
                    </w:rPr>
                  </w:pPr>
                  <w:r>
                    <w:rPr>
                      <w:rFonts w:ascii="Times New Roman"/>
                      <w:sz w:val="21"/>
                      <w:u w:val="single"/>
                    </w:rPr>
                    <w:t>80</w:t>
                  </w:r>
                </w:p>
              </w:tc>
              <w:tc>
                <w:tcPr>
                  <w:tcW w:w="953" w:type="dxa"/>
                </w:tcPr>
                <w:p>
                  <w:pPr>
                    <w:pStyle w:val="62"/>
                    <w:spacing w:before="47"/>
                    <w:ind w:left="215" w:right="209"/>
                    <w:jc w:val="center"/>
                    <w:rPr>
                      <w:rFonts w:ascii="Times New Roman"/>
                      <w:sz w:val="21"/>
                      <w:u w:val="single"/>
                    </w:rPr>
                  </w:pPr>
                  <w:r>
                    <w:rPr>
                      <w:rFonts w:ascii="Times New Roman"/>
                      <w:sz w:val="21"/>
                      <w:u w:val="single"/>
                    </w:rPr>
                    <w:t>90</w:t>
                  </w:r>
                </w:p>
              </w:tc>
              <w:tc>
                <w:tcPr>
                  <w:tcW w:w="963" w:type="dxa"/>
                </w:tcPr>
                <w:p>
                  <w:pPr>
                    <w:pStyle w:val="62"/>
                    <w:spacing w:before="47"/>
                    <w:ind w:left="225" w:right="215"/>
                    <w:jc w:val="center"/>
                    <w:rPr>
                      <w:rFonts w:ascii="Times New Roman"/>
                      <w:sz w:val="21"/>
                      <w:u w:val="single"/>
                    </w:rPr>
                  </w:pPr>
                  <w:r>
                    <w:rPr>
                      <w:rFonts w:ascii="Times New Roman"/>
                      <w:sz w:val="21"/>
                      <w:u w:val="single"/>
                    </w:rPr>
                    <w:t>100</w:t>
                  </w:r>
                </w:p>
              </w:tc>
              <w:tc>
                <w:tcPr>
                  <w:tcW w:w="967" w:type="dxa"/>
                </w:tcPr>
                <w:p>
                  <w:pPr>
                    <w:pStyle w:val="62"/>
                    <w:spacing w:before="47"/>
                    <w:ind w:left="226" w:right="217"/>
                    <w:jc w:val="center"/>
                    <w:rPr>
                      <w:rFonts w:ascii="Times New Roman"/>
                      <w:sz w:val="21"/>
                      <w:u w:val="single"/>
                    </w:rPr>
                  </w:pPr>
                  <w:r>
                    <w:rPr>
                      <w:rFonts w:ascii="Times New Roman"/>
                      <w:sz w:val="21"/>
                      <w:u w:val="single"/>
                    </w:rPr>
                    <w:t>150</w:t>
                  </w:r>
                </w:p>
              </w:tc>
              <w:tc>
                <w:tcPr>
                  <w:tcW w:w="970" w:type="dxa"/>
                </w:tcPr>
                <w:p>
                  <w:pPr>
                    <w:pStyle w:val="62"/>
                    <w:spacing w:before="47"/>
                    <w:ind w:left="227" w:right="220"/>
                    <w:jc w:val="center"/>
                    <w:rPr>
                      <w:rFonts w:ascii="Times New Roman"/>
                      <w:sz w:val="21"/>
                      <w:u w:val="single"/>
                    </w:rPr>
                  </w:pPr>
                  <w:r>
                    <w:rPr>
                      <w:rFonts w:ascii="Times New Roman"/>
                      <w:sz w:val="21"/>
                      <w:u w:val="single"/>
                    </w:rPr>
                    <w:t>200</w:t>
                  </w:r>
                </w:p>
              </w:tc>
              <w:tc>
                <w:tcPr>
                  <w:tcW w:w="796" w:type="dxa"/>
                </w:tcPr>
                <w:p>
                  <w:pPr>
                    <w:pStyle w:val="62"/>
                    <w:spacing w:before="47"/>
                    <w:ind w:left="140" w:right="133"/>
                    <w:jc w:val="center"/>
                    <w:rPr>
                      <w:rFonts w:ascii="Times New Roman"/>
                      <w:sz w:val="21"/>
                      <w:u w:val="single"/>
                    </w:rPr>
                  </w:pPr>
                  <w:r>
                    <w:rPr>
                      <w:rFonts w:ascii="Times New Roman"/>
                      <w:sz w:val="21"/>
                      <w:u w:val="single"/>
                    </w:rPr>
                    <w:t>250</w:t>
                  </w:r>
                </w:p>
              </w:tc>
              <w:tc>
                <w:tcPr>
                  <w:tcW w:w="877" w:type="dxa"/>
                </w:tcPr>
                <w:p>
                  <w:pPr>
                    <w:pStyle w:val="62"/>
                    <w:spacing w:before="47"/>
                    <w:ind w:left="181" w:right="172"/>
                    <w:jc w:val="center"/>
                    <w:rPr>
                      <w:rFonts w:ascii="Times New Roman"/>
                      <w:sz w:val="21"/>
                      <w:u w:val="single"/>
                    </w:rPr>
                  </w:pPr>
                  <w:r>
                    <w:rPr>
                      <w:rFonts w:ascii="Times New Roman"/>
                      <w:sz w:val="21"/>
                      <w:u w:val="single"/>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56" w:type="dxa"/>
                </w:tcPr>
                <w:p>
                  <w:pPr>
                    <w:pStyle w:val="62"/>
                    <w:spacing w:before="34"/>
                    <w:ind w:left="274" w:right="268"/>
                    <w:jc w:val="center"/>
                    <w:rPr>
                      <w:sz w:val="21"/>
                      <w:u w:val="single"/>
                    </w:rPr>
                  </w:pPr>
                  <w:r>
                    <w:rPr>
                      <w:sz w:val="21"/>
                      <w:u w:val="single"/>
                    </w:rPr>
                    <w:t>沉降速度（</w:t>
                  </w:r>
                  <w:r>
                    <w:rPr>
                      <w:rFonts w:ascii="Times New Roman" w:eastAsia="Times New Roman"/>
                      <w:sz w:val="21"/>
                      <w:u w:val="single"/>
                    </w:rPr>
                    <w:t>m/s</w:t>
                  </w:r>
                  <w:r>
                    <w:rPr>
                      <w:sz w:val="21"/>
                      <w:u w:val="single"/>
                    </w:rPr>
                    <w:t>）</w:t>
                  </w:r>
                </w:p>
              </w:tc>
              <w:tc>
                <w:tcPr>
                  <w:tcW w:w="935" w:type="dxa"/>
                </w:tcPr>
                <w:p>
                  <w:pPr>
                    <w:pStyle w:val="62"/>
                    <w:spacing w:before="48"/>
                    <w:ind w:right="272"/>
                    <w:jc w:val="right"/>
                    <w:rPr>
                      <w:rFonts w:ascii="Times New Roman"/>
                      <w:sz w:val="21"/>
                      <w:u w:val="single"/>
                    </w:rPr>
                  </w:pPr>
                  <w:r>
                    <w:rPr>
                      <w:rFonts w:ascii="Times New Roman"/>
                      <w:sz w:val="21"/>
                      <w:u w:val="single"/>
                    </w:rPr>
                    <w:t>0.15</w:t>
                  </w:r>
                </w:p>
              </w:tc>
              <w:tc>
                <w:tcPr>
                  <w:tcW w:w="953" w:type="dxa"/>
                </w:tcPr>
                <w:p>
                  <w:pPr>
                    <w:pStyle w:val="62"/>
                    <w:spacing w:before="48"/>
                    <w:ind w:left="220" w:right="209"/>
                    <w:jc w:val="center"/>
                    <w:rPr>
                      <w:rFonts w:ascii="Times New Roman"/>
                      <w:sz w:val="21"/>
                      <w:u w:val="single"/>
                    </w:rPr>
                  </w:pPr>
                  <w:r>
                    <w:rPr>
                      <w:rFonts w:ascii="Times New Roman"/>
                      <w:sz w:val="21"/>
                      <w:u w:val="single"/>
                    </w:rPr>
                    <w:t>0.170</w:t>
                  </w:r>
                </w:p>
              </w:tc>
              <w:tc>
                <w:tcPr>
                  <w:tcW w:w="963" w:type="dxa"/>
                </w:tcPr>
                <w:p>
                  <w:pPr>
                    <w:pStyle w:val="62"/>
                    <w:spacing w:before="48"/>
                    <w:ind w:left="225" w:right="215"/>
                    <w:jc w:val="center"/>
                    <w:rPr>
                      <w:rFonts w:ascii="Times New Roman"/>
                      <w:sz w:val="21"/>
                      <w:u w:val="single"/>
                    </w:rPr>
                  </w:pPr>
                  <w:r>
                    <w:rPr>
                      <w:rFonts w:ascii="Times New Roman"/>
                      <w:sz w:val="21"/>
                      <w:u w:val="single"/>
                    </w:rPr>
                    <w:t>0.182</w:t>
                  </w:r>
                </w:p>
              </w:tc>
              <w:tc>
                <w:tcPr>
                  <w:tcW w:w="967" w:type="dxa"/>
                </w:tcPr>
                <w:p>
                  <w:pPr>
                    <w:pStyle w:val="62"/>
                    <w:spacing w:before="48"/>
                    <w:ind w:left="226" w:right="217"/>
                    <w:jc w:val="center"/>
                    <w:rPr>
                      <w:rFonts w:ascii="Times New Roman"/>
                      <w:sz w:val="21"/>
                      <w:u w:val="single"/>
                    </w:rPr>
                  </w:pPr>
                  <w:r>
                    <w:rPr>
                      <w:rFonts w:ascii="Times New Roman"/>
                      <w:sz w:val="21"/>
                      <w:u w:val="single"/>
                    </w:rPr>
                    <w:t>0.239</w:t>
                  </w:r>
                </w:p>
              </w:tc>
              <w:tc>
                <w:tcPr>
                  <w:tcW w:w="970" w:type="dxa"/>
                </w:tcPr>
                <w:p>
                  <w:pPr>
                    <w:pStyle w:val="62"/>
                    <w:spacing w:before="48"/>
                    <w:ind w:left="227" w:right="220"/>
                    <w:jc w:val="center"/>
                    <w:rPr>
                      <w:rFonts w:ascii="Times New Roman"/>
                      <w:sz w:val="21"/>
                      <w:u w:val="single"/>
                    </w:rPr>
                  </w:pPr>
                  <w:r>
                    <w:rPr>
                      <w:rFonts w:ascii="Times New Roman"/>
                      <w:sz w:val="21"/>
                      <w:u w:val="single"/>
                    </w:rPr>
                    <w:t>0.804</w:t>
                  </w:r>
                </w:p>
              </w:tc>
              <w:tc>
                <w:tcPr>
                  <w:tcW w:w="796" w:type="dxa"/>
                </w:tcPr>
                <w:p>
                  <w:pPr>
                    <w:pStyle w:val="62"/>
                    <w:spacing w:before="48"/>
                    <w:ind w:left="140" w:right="133"/>
                    <w:jc w:val="center"/>
                    <w:rPr>
                      <w:rFonts w:ascii="Times New Roman"/>
                      <w:sz w:val="21"/>
                      <w:u w:val="single"/>
                    </w:rPr>
                  </w:pPr>
                  <w:r>
                    <w:rPr>
                      <w:rFonts w:ascii="Times New Roman"/>
                      <w:sz w:val="21"/>
                      <w:u w:val="single"/>
                    </w:rPr>
                    <w:t>1.00</w:t>
                  </w:r>
                </w:p>
              </w:tc>
              <w:tc>
                <w:tcPr>
                  <w:tcW w:w="877" w:type="dxa"/>
                </w:tcPr>
                <w:p>
                  <w:pPr>
                    <w:pStyle w:val="62"/>
                    <w:spacing w:before="48"/>
                    <w:ind w:left="181" w:right="172"/>
                    <w:jc w:val="center"/>
                    <w:rPr>
                      <w:rFonts w:ascii="Times New Roman"/>
                      <w:sz w:val="21"/>
                      <w:u w:val="single"/>
                    </w:rPr>
                  </w:pPr>
                  <w:r>
                    <w:rPr>
                      <w:rFonts w:ascii="Times New Roman"/>
                      <w:sz w:val="21"/>
                      <w:u w:val="single"/>
                    </w:rPr>
                    <w:t>0.829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56" w:type="dxa"/>
                </w:tcPr>
                <w:p>
                  <w:pPr>
                    <w:pStyle w:val="62"/>
                    <w:spacing w:before="32"/>
                    <w:ind w:left="274" w:right="265"/>
                    <w:jc w:val="center"/>
                    <w:rPr>
                      <w:sz w:val="21"/>
                      <w:u w:val="single"/>
                    </w:rPr>
                  </w:pPr>
                  <w:r>
                    <w:rPr>
                      <w:sz w:val="21"/>
                      <w:u w:val="single"/>
                    </w:rPr>
                    <w:t>粒径（</w:t>
                  </w:r>
                  <w:r>
                    <w:rPr>
                      <w:rFonts w:ascii="Times New Roman" w:hAnsi="Times New Roman" w:eastAsia="Times New Roman"/>
                      <w:sz w:val="21"/>
                      <w:u w:val="single"/>
                    </w:rPr>
                    <w:t>μm</w:t>
                  </w:r>
                  <w:r>
                    <w:rPr>
                      <w:sz w:val="21"/>
                      <w:u w:val="single"/>
                    </w:rPr>
                    <w:t>）</w:t>
                  </w:r>
                </w:p>
              </w:tc>
              <w:tc>
                <w:tcPr>
                  <w:tcW w:w="935" w:type="dxa"/>
                </w:tcPr>
                <w:p>
                  <w:pPr>
                    <w:pStyle w:val="62"/>
                    <w:spacing w:before="48"/>
                    <w:ind w:left="308"/>
                    <w:rPr>
                      <w:rFonts w:ascii="Times New Roman"/>
                      <w:sz w:val="21"/>
                      <w:u w:val="single"/>
                    </w:rPr>
                  </w:pPr>
                  <w:r>
                    <w:rPr>
                      <w:rFonts w:ascii="Times New Roman"/>
                      <w:sz w:val="21"/>
                      <w:u w:val="single"/>
                    </w:rPr>
                    <w:t>450</w:t>
                  </w:r>
                </w:p>
              </w:tc>
              <w:tc>
                <w:tcPr>
                  <w:tcW w:w="953" w:type="dxa"/>
                </w:tcPr>
                <w:p>
                  <w:pPr>
                    <w:pStyle w:val="62"/>
                    <w:spacing w:before="48"/>
                    <w:ind w:left="220" w:right="209"/>
                    <w:jc w:val="center"/>
                    <w:rPr>
                      <w:rFonts w:ascii="Times New Roman"/>
                      <w:sz w:val="21"/>
                      <w:u w:val="single"/>
                    </w:rPr>
                  </w:pPr>
                  <w:r>
                    <w:rPr>
                      <w:rFonts w:ascii="Times New Roman"/>
                      <w:sz w:val="21"/>
                      <w:u w:val="single"/>
                    </w:rPr>
                    <w:t>550</w:t>
                  </w:r>
                </w:p>
              </w:tc>
              <w:tc>
                <w:tcPr>
                  <w:tcW w:w="963" w:type="dxa"/>
                </w:tcPr>
                <w:p>
                  <w:pPr>
                    <w:pStyle w:val="62"/>
                    <w:spacing w:before="48"/>
                    <w:ind w:left="225" w:right="215"/>
                    <w:jc w:val="center"/>
                    <w:rPr>
                      <w:rFonts w:ascii="Times New Roman"/>
                      <w:sz w:val="21"/>
                      <w:u w:val="single"/>
                    </w:rPr>
                  </w:pPr>
                  <w:r>
                    <w:rPr>
                      <w:rFonts w:ascii="Times New Roman"/>
                      <w:sz w:val="21"/>
                      <w:u w:val="single"/>
                    </w:rPr>
                    <w:t>650</w:t>
                  </w:r>
                </w:p>
              </w:tc>
              <w:tc>
                <w:tcPr>
                  <w:tcW w:w="967" w:type="dxa"/>
                </w:tcPr>
                <w:p>
                  <w:pPr>
                    <w:pStyle w:val="62"/>
                    <w:spacing w:before="48"/>
                    <w:ind w:left="226" w:right="217"/>
                    <w:jc w:val="center"/>
                    <w:rPr>
                      <w:rFonts w:ascii="Times New Roman"/>
                      <w:sz w:val="21"/>
                      <w:u w:val="single"/>
                    </w:rPr>
                  </w:pPr>
                  <w:r>
                    <w:rPr>
                      <w:rFonts w:ascii="Times New Roman"/>
                      <w:sz w:val="21"/>
                      <w:u w:val="single"/>
                    </w:rPr>
                    <w:t>750</w:t>
                  </w:r>
                </w:p>
              </w:tc>
              <w:tc>
                <w:tcPr>
                  <w:tcW w:w="970" w:type="dxa"/>
                </w:tcPr>
                <w:p>
                  <w:pPr>
                    <w:pStyle w:val="62"/>
                    <w:spacing w:before="48"/>
                    <w:ind w:left="227" w:right="220"/>
                    <w:jc w:val="center"/>
                    <w:rPr>
                      <w:rFonts w:ascii="Times New Roman"/>
                      <w:sz w:val="21"/>
                      <w:u w:val="single"/>
                    </w:rPr>
                  </w:pPr>
                  <w:r>
                    <w:rPr>
                      <w:rFonts w:ascii="Times New Roman"/>
                      <w:sz w:val="21"/>
                      <w:u w:val="single"/>
                    </w:rPr>
                    <w:t>850</w:t>
                  </w:r>
                </w:p>
              </w:tc>
              <w:tc>
                <w:tcPr>
                  <w:tcW w:w="796" w:type="dxa"/>
                </w:tcPr>
                <w:p>
                  <w:pPr>
                    <w:pStyle w:val="62"/>
                    <w:spacing w:before="48"/>
                    <w:ind w:left="140" w:right="133"/>
                    <w:jc w:val="center"/>
                    <w:rPr>
                      <w:rFonts w:ascii="Times New Roman"/>
                      <w:sz w:val="21"/>
                      <w:u w:val="single"/>
                    </w:rPr>
                  </w:pPr>
                  <w:r>
                    <w:rPr>
                      <w:rFonts w:ascii="Times New Roman"/>
                      <w:sz w:val="21"/>
                      <w:u w:val="single"/>
                    </w:rPr>
                    <w:t>950</w:t>
                  </w:r>
                </w:p>
              </w:tc>
              <w:tc>
                <w:tcPr>
                  <w:tcW w:w="877" w:type="dxa"/>
                </w:tcPr>
                <w:p>
                  <w:pPr>
                    <w:pStyle w:val="62"/>
                    <w:spacing w:before="48"/>
                    <w:ind w:left="181" w:right="172"/>
                    <w:jc w:val="center"/>
                    <w:rPr>
                      <w:rFonts w:ascii="Times New Roman"/>
                      <w:sz w:val="21"/>
                      <w:u w:val="single"/>
                    </w:rPr>
                  </w:pPr>
                  <w:r>
                    <w:rPr>
                      <w:rFonts w:ascii="Times New Roman"/>
                      <w:sz w:val="21"/>
                      <w:u w:val="single"/>
                    </w:rPr>
                    <w:t>1050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56" w:type="dxa"/>
                </w:tcPr>
                <w:p>
                  <w:pPr>
                    <w:pStyle w:val="62"/>
                    <w:spacing w:before="32"/>
                    <w:ind w:left="274" w:right="268"/>
                    <w:jc w:val="center"/>
                    <w:rPr>
                      <w:sz w:val="21"/>
                      <w:u w:val="single"/>
                    </w:rPr>
                  </w:pPr>
                  <w:r>
                    <w:rPr>
                      <w:sz w:val="21"/>
                      <w:u w:val="single"/>
                    </w:rPr>
                    <w:t>沉降速度（</w:t>
                  </w:r>
                  <w:r>
                    <w:rPr>
                      <w:rFonts w:ascii="Times New Roman" w:eastAsia="Times New Roman"/>
                      <w:sz w:val="21"/>
                      <w:u w:val="single"/>
                    </w:rPr>
                    <w:t>m/s</w:t>
                  </w:r>
                  <w:r>
                    <w:rPr>
                      <w:sz w:val="21"/>
                      <w:u w:val="single"/>
                    </w:rPr>
                    <w:t>）</w:t>
                  </w:r>
                </w:p>
              </w:tc>
              <w:tc>
                <w:tcPr>
                  <w:tcW w:w="935" w:type="dxa"/>
                </w:tcPr>
                <w:p>
                  <w:pPr>
                    <w:pStyle w:val="62"/>
                    <w:spacing w:before="49"/>
                    <w:ind w:right="219"/>
                    <w:jc w:val="right"/>
                    <w:rPr>
                      <w:rFonts w:ascii="Times New Roman"/>
                      <w:sz w:val="21"/>
                      <w:u w:val="single"/>
                    </w:rPr>
                  </w:pPr>
                  <w:r>
                    <w:rPr>
                      <w:rFonts w:ascii="Times New Roman"/>
                      <w:w w:val="95"/>
                      <w:sz w:val="21"/>
                      <w:u w:val="single"/>
                    </w:rPr>
                    <w:t>2.211</w:t>
                  </w:r>
                </w:p>
              </w:tc>
              <w:tc>
                <w:tcPr>
                  <w:tcW w:w="953" w:type="dxa"/>
                </w:tcPr>
                <w:p>
                  <w:pPr>
                    <w:pStyle w:val="62"/>
                    <w:spacing w:before="49"/>
                    <w:ind w:left="220" w:right="209"/>
                    <w:jc w:val="center"/>
                    <w:rPr>
                      <w:rFonts w:ascii="Times New Roman"/>
                      <w:sz w:val="21"/>
                      <w:u w:val="single"/>
                    </w:rPr>
                  </w:pPr>
                  <w:r>
                    <w:rPr>
                      <w:rFonts w:ascii="Times New Roman"/>
                      <w:sz w:val="21"/>
                      <w:u w:val="single"/>
                    </w:rPr>
                    <w:t>2.614</w:t>
                  </w:r>
                </w:p>
              </w:tc>
              <w:tc>
                <w:tcPr>
                  <w:tcW w:w="963" w:type="dxa"/>
                </w:tcPr>
                <w:p>
                  <w:pPr>
                    <w:pStyle w:val="62"/>
                    <w:spacing w:before="49"/>
                    <w:ind w:left="225" w:right="215"/>
                    <w:jc w:val="center"/>
                    <w:rPr>
                      <w:rFonts w:ascii="Times New Roman"/>
                      <w:sz w:val="21"/>
                      <w:u w:val="single"/>
                    </w:rPr>
                  </w:pPr>
                  <w:r>
                    <w:rPr>
                      <w:rFonts w:ascii="Times New Roman"/>
                      <w:sz w:val="21"/>
                      <w:u w:val="single"/>
                    </w:rPr>
                    <w:t>3.016</w:t>
                  </w:r>
                </w:p>
              </w:tc>
              <w:tc>
                <w:tcPr>
                  <w:tcW w:w="967" w:type="dxa"/>
                </w:tcPr>
                <w:p>
                  <w:pPr>
                    <w:pStyle w:val="62"/>
                    <w:spacing w:before="49"/>
                    <w:ind w:left="226" w:right="217"/>
                    <w:jc w:val="center"/>
                    <w:rPr>
                      <w:rFonts w:ascii="Times New Roman"/>
                      <w:sz w:val="21"/>
                      <w:u w:val="single"/>
                    </w:rPr>
                  </w:pPr>
                  <w:r>
                    <w:rPr>
                      <w:rFonts w:ascii="Times New Roman"/>
                      <w:sz w:val="21"/>
                      <w:u w:val="single"/>
                    </w:rPr>
                    <w:t>3.41</w:t>
                  </w:r>
                </w:p>
              </w:tc>
              <w:tc>
                <w:tcPr>
                  <w:tcW w:w="970" w:type="dxa"/>
                </w:tcPr>
                <w:p>
                  <w:pPr>
                    <w:pStyle w:val="62"/>
                    <w:spacing w:before="49"/>
                    <w:ind w:left="227" w:right="220"/>
                    <w:jc w:val="center"/>
                    <w:rPr>
                      <w:rFonts w:ascii="Times New Roman"/>
                      <w:sz w:val="21"/>
                      <w:u w:val="single"/>
                    </w:rPr>
                  </w:pPr>
                  <w:r>
                    <w:rPr>
                      <w:rFonts w:ascii="Times New Roman"/>
                      <w:sz w:val="21"/>
                      <w:u w:val="single"/>
                    </w:rPr>
                    <w:t>3.820</w:t>
                  </w:r>
                </w:p>
              </w:tc>
              <w:tc>
                <w:tcPr>
                  <w:tcW w:w="796" w:type="dxa"/>
                </w:tcPr>
                <w:p>
                  <w:pPr>
                    <w:pStyle w:val="62"/>
                    <w:spacing w:before="49"/>
                    <w:ind w:left="140" w:right="133"/>
                    <w:jc w:val="center"/>
                    <w:rPr>
                      <w:rFonts w:ascii="Times New Roman"/>
                      <w:sz w:val="21"/>
                      <w:u w:val="single"/>
                    </w:rPr>
                  </w:pPr>
                  <w:r>
                    <w:rPr>
                      <w:rFonts w:ascii="Times New Roman"/>
                      <w:sz w:val="21"/>
                      <w:u w:val="single"/>
                    </w:rPr>
                    <w:t>4.222</w:t>
                  </w:r>
                </w:p>
              </w:tc>
              <w:tc>
                <w:tcPr>
                  <w:tcW w:w="877" w:type="dxa"/>
                </w:tcPr>
                <w:p>
                  <w:pPr>
                    <w:pStyle w:val="62"/>
                    <w:spacing w:before="49"/>
                    <w:ind w:left="181" w:right="172"/>
                    <w:jc w:val="center"/>
                    <w:rPr>
                      <w:rFonts w:ascii="Times New Roman"/>
                      <w:sz w:val="21"/>
                      <w:u w:val="single"/>
                    </w:rPr>
                  </w:pPr>
                  <w:r>
                    <w:rPr>
                      <w:rFonts w:ascii="Times New Roman"/>
                      <w:sz w:val="21"/>
                      <w:u w:val="single"/>
                    </w:rPr>
                    <w:t>4.624</w:t>
                  </w:r>
                </w:p>
              </w:tc>
            </w:tr>
          </w:tbl>
          <w:p>
            <w:pPr>
              <w:pStyle w:val="2"/>
              <w:keepNext w:val="0"/>
              <w:keepLines w:val="0"/>
              <w:pageBreakBefore w:val="0"/>
              <w:kinsoku/>
              <w:wordWrap/>
              <w:overflowPunct/>
              <w:topLinePunct w:val="0"/>
              <w:autoSpaceDE/>
              <w:autoSpaceDN/>
              <w:bidi w:val="0"/>
              <w:adjustRightInd/>
              <w:spacing w:before="0" w:after="0" w:line="360" w:lineRule="auto"/>
              <w:ind w:left="0" w:right="0"/>
              <w:textAlignment w:val="auto"/>
              <w:rPr>
                <w:sz w:val="24"/>
                <w:szCs w:val="24"/>
                <w:u w:val="single"/>
              </w:rPr>
            </w:pPr>
            <w:r>
              <w:rPr>
                <w:sz w:val="24"/>
                <w:szCs w:val="24"/>
                <w:u w:val="single"/>
              </w:rPr>
              <w:t>因此，减少沙土的露天堆放和保证沙土一定的含水率及减少裸露地面是减少风力起尘的有效手段。</w:t>
            </w:r>
          </w:p>
          <w:p>
            <w:pPr>
              <w:pStyle w:val="2"/>
              <w:keepNext w:val="0"/>
              <w:keepLines w:val="0"/>
              <w:pageBreakBefore w:val="0"/>
              <w:kinsoku/>
              <w:wordWrap/>
              <w:overflowPunct/>
              <w:topLinePunct w:val="0"/>
              <w:autoSpaceDE/>
              <w:autoSpaceDN/>
              <w:bidi w:val="0"/>
              <w:adjustRightInd/>
              <w:spacing w:before="0" w:after="0" w:line="360" w:lineRule="auto"/>
              <w:ind w:left="0" w:right="0"/>
              <w:textAlignment w:val="auto"/>
              <w:rPr>
                <w:sz w:val="24"/>
                <w:szCs w:val="24"/>
                <w:u w:val="single"/>
              </w:rPr>
            </w:pPr>
            <w:r>
              <w:rPr>
                <w:rFonts w:ascii="Times New Roman" w:eastAsia="Times New Roman"/>
                <w:sz w:val="24"/>
                <w:szCs w:val="24"/>
                <w:u w:val="single"/>
              </w:rPr>
              <w:t>b</w:t>
            </w:r>
            <w:r>
              <w:rPr>
                <w:sz w:val="24"/>
                <w:szCs w:val="24"/>
                <w:u w:val="single"/>
              </w:rPr>
              <w:t>、车辆行驶的动力起尘</w:t>
            </w:r>
          </w:p>
          <w:p>
            <w:pPr>
              <w:pStyle w:val="2"/>
              <w:keepNext w:val="0"/>
              <w:keepLines w:val="0"/>
              <w:pageBreakBefore w:val="0"/>
              <w:kinsoku/>
              <w:wordWrap/>
              <w:overflowPunct/>
              <w:topLinePunct w:val="0"/>
              <w:autoSpaceDE/>
              <w:autoSpaceDN/>
              <w:bidi w:val="0"/>
              <w:adjustRightInd/>
              <w:spacing w:before="0" w:after="0" w:line="360" w:lineRule="auto"/>
              <w:ind w:left="0" w:right="0" w:firstLine="480"/>
              <w:jc w:val="both"/>
              <w:textAlignment w:val="auto"/>
              <w:rPr>
                <w:sz w:val="24"/>
                <w:szCs w:val="24"/>
                <w:u w:val="single"/>
              </w:rPr>
            </w:pPr>
            <w:r>
              <w:rPr>
                <w:sz w:val="24"/>
                <w:szCs w:val="24"/>
                <w:u w:val="single"/>
              </w:rPr>
              <w:t xml:space="preserve">据有关文献，车辆行驶产生的扬尘占总扬尘的 </w:t>
            </w:r>
            <w:r>
              <w:rPr>
                <w:rFonts w:ascii="Times New Roman" w:eastAsia="Times New Roman"/>
                <w:sz w:val="24"/>
                <w:szCs w:val="24"/>
                <w:u w:val="single"/>
              </w:rPr>
              <w:t>60%</w:t>
            </w:r>
            <w:r>
              <w:rPr>
                <w:sz w:val="24"/>
                <w:szCs w:val="24"/>
                <w:u w:val="single"/>
              </w:rPr>
              <w:t>以上，车辆行驶产生的扬尘，在完全干燥情况下，可按下列经验公式计算：</w:t>
            </w:r>
          </w:p>
          <w:p>
            <w:pPr>
              <w:keepNext w:val="0"/>
              <w:keepLines w:val="0"/>
              <w:pageBreakBefore w:val="0"/>
              <w:kinsoku/>
              <w:wordWrap/>
              <w:overflowPunct/>
              <w:topLinePunct w:val="0"/>
              <w:autoSpaceDE/>
              <w:autoSpaceDN/>
              <w:bidi w:val="0"/>
              <w:adjustRightInd/>
              <w:spacing w:line="360" w:lineRule="auto"/>
              <w:ind w:left="0" w:right="0" w:firstLine="0"/>
              <w:jc w:val="left"/>
              <w:textAlignment w:val="auto"/>
              <w:rPr>
                <w:rFonts w:ascii="Times New Roman" w:eastAsia="Times New Roman"/>
                <w:sz w:val="24"/>
                <w:szCs w:val="24"/>
                <w:u w:val="single"/>
              </w:rPr>
            </w:pPr>
            <w:r>
              <w:rPr>
                <w:rFonts w:ascii="Times New Roman" w:eastAsia="Times New Roman"/>
                <w:sz w:val="24"/>
                <w:szCs w:val="24"/>
                <w:u w:val="single"/>
              </w:rPr>
              <w:t>Q</w:t>
            </w:r>
            <w:r>
              <w:rPr>
                <w:sz w:val="24"/>
                <w:szCs w:val="24"/>
                <w:u w:val="single"/>
              </w:rPr>
              <w:t>＝</w:t>
            </w:r>
            <w:r>
              <w:rPr>
                <w:rFonts w:ascii="Times New Roman" w:eastAsia="Times New Roman"/>
                <w:sz w:val="24"/>
                <w:szCs w:val="24"/>
                <w:u w:val="single"/>
              </w:rPr>
              <w:t>0.123</w:t>
            </w:r>
            <w:r>
              <w:rPr>
                <w:sz w:val="24"/>
                <w:szCs w:val="24"/>
                <w:u w:val="single"/>
              </w:rPr>
              <w:t>（</w:t>
            </w:r>
            <w:r>
              <w:rPr>
                <w:rFonts w:ascii="Times New Roman" w:eastAsia="Times New Roman"/>
                <w:sz w:val="24"/>
                <w:szCs w:val="24"/>
                <w:u w:val="single"/>
              </w:rPr>
              <w:t>V/5</w:t>
            </w:r>
            <w:r>
              <w:rPr>
                <w:sz w:val="24"/>
                <w:szCs w:val="24"/>
                <w:u w:val="single"/>
              </w:rPr>
              <w:t>）（</w:t>
            </w:r>
            <w:r>
              <w:rPr>
                <w:rFonts w:ascii="Times New Roman" w:eastAsia="Times New Roman"/>
                <w:sz w:val="24"/>
                <w:szCs w:val="24"/>
                <w:u w:val="single"/>
              </w:rPr>
              <w:t>W/6.8</w:t>
            </w:r>
            <w:r>
              <w:rPr>
                <w:sz w:val="24"/>
                <w:szCs w:val="24"/>
                <w:u w:val="single"/>
              </w:rPr>
              <w:t>）</w:t>
            </w:r>
            <w:r>
              <w:rPr>
                <w:rFonts w:ascii="Times New Roman" w:eastAsia="Times New Roman"/>
                <w:position w:val="8"/>
                <w:sz w:val="24"/>
                <w:szCs w:val="24"/>
                <w:u w:val="single"/>
              </w:rPr>
              <w:t>0.85</w:t>
            </w:r>
            <w:r>
              <w:rPr>
                <w:sz w:val="24"/>
                <w:szCs w:val="24"/>
                <w:u w:val="single"/>
              </w:rPr>
              <w:t>（</w:t>
            </w:r>
            <w:r>
              <w:rPr>
                <w:rFonts w:ascii="Times New Roman" w:eastAsia="Times New Roman"/>
                <w:sz w:val="24"/>
                <w:szCs w:val="24"/>
                <w:u w:val="single"/>
              </w:rPr>
              <w:t>P/0.5</w:t>
            </w:r>
            <w:r>
              <w:rPr>
                <w:sz w:val="24"/>
                <w:szCs w:val="24"/>
                <w:u w:val="single"/>
              </w:rPr>
              <w:t>）</w:t>
            </w:r>
            <w:r>
              <w:rPr>
                <w:rFonts w:ascii="Times New Roman" w:eastAsia="Times New Roman"/>
                <w:position w:val="8"/>
                <w:sz w:val="24"/>
                <w:szCs w:val="24"/>
                <w:u w:val="single"/>
              </w:rPr>
              <w:t>0.72</w:t>
            </w:r>
          </w:p>
          <w:p>
            <w:pPr>
              <w:pStyle w:val="2"/>
              <w:keepNext w:val="0"/>
              <w:keepLines w:val="0"/>
              <w:pageBreakBefore w:val="0"/>
              <w:kinsoku/>
              <w:wordWrap/>
              <w:overflowPunct/>
              <w:topLinePunct w:val="0"/>
              <w:autoSpaceDE/>
              <w:autoSpaceDN/>
              <w:bidi w:val="0"/>
              <w:adjustRightInd/>
              <w:spacing w:before="0" w:after="0" w:line="360" w:lineRule="auto"/>
              <w:ind w:left="0" w:right="0"/>
              <w:textAlignment w:val="auto"/>
              <w:rPr>
                <w:sz w:val="24"/>
                <w:szCs w:val="24"/>
                <w:u w:val="single"/>
              </w:rPr>
            </w:pPr>
            <w:r>
              <w:rPr>
                <w:sz w:val="24"/>
                <w:szCs w:val="24"/>
                <w:u w:val="single"/>
              </w:rPr>
              <w:t>式中：</w:t>
            </w:r>
            <w:r>
              <w:rPr>
                <w:rFonts w:ascii="Times New Roman" w:hAnsi="Times New Roman" w:eastAsia="Times New Roman"/>
                <w:sz w:val="24"/>
                <w:szCs w:val="24"/>
                <w:u w:val="single"/>
              </w:rPr>
              <w:t>Q——</w:t>
            </w:r>
            <w:r>
              <w:rPr>
                <w:sz w:val="24"/>
                <w:szCs w:val="24"/>
                <w:u w:val="single"/>
              </w:rPr>
              <w:t>汽车行驶时的扬尘，</w:t>
            </w:r>
            <w:r>
              <w:rPr>
                <w:rFonts w:ascii="Times New Roman" w:hAnsi="Times New Roman" w:eastAsia="Times New Roman"/>
                <w:sz w:val="24"/>
                <w:szCs w:val="24"/>
                <w:u w:val="single"/>
              </w:rPr>
              <w:t>kg/</w:t>
            </w:r>
            <w:r>
              <w:rPr>
                <w:sz w:val="24"/>
                <w:szCs w:val="24"/>
                <w:u w:val="single"/>
              </w:rPr>
              <w:t>辆</w:t>
            </w:r>
            <w:r>
              <w:rPr>
                <w:rFonts w:ascii="Times New Roman" w:hAnsi="Times New Roman" w:eastAsia="Times New Roman"/>
                <w:sz w:val="24"/>
                <w:szCs w:val="24"/>
                <w:u w:val="single"/>
              </w:rPr>
              <w:t>·km</w:t>
            </w:r>
            <w:r>
              <w:rPr>
                <w:sz w:val="24"/>
                <w:szCs w:val="24"/>
                <w:u w:val="single"/>
              </w:rPr>
              <w:t>；</w:t>
            </w:r>
          </w:p>
          <w:p>
            <w:pPr>
              <w:pStyle w:val="2"/>
              <w:keepNext w:val="0"/>
              <w:keepLines w:val="0"/>
              <w:pageBreakBefore w:val="0"/>
              <w:kinsoku/>
              <w:wordWrap/>
              <w:overflowPunct/>
              <w:topLinePunct w:val="0"/>
              <w:autoSpaceDE/>
              <w:autoSpaceDN/>
              <w:bidi w:val="0"/>
              <w:adjustRightInd/>
              <w:spacing w:before="0" w:after="0" w:line="360" w:lineRule="auto"/>
              <w:ind w:left="0" w:right="0"/>
              <w:textAlignment w:val="auto"/>
              <w:rPr>
                <w:sz w:val="24"/>
                <w:szCs w:val="24"/>
                <w:u w:val="single"/>
              </w:rPr>
            </w:pPr>
            <w:r>
              <w:rPr>
                <w:rFonts w:ascii="Times New Roman" w:hAnsi="Times New Roman" w:eastAsia="Times New Roman"/>
                <w:sz w:val="24"/>
                <w:szCs w:val="24"/>
                <w:u w:val="single"/>
              </w:rPr>
              <w:t>V——</w:t>
            </w:r>
            <w:r>
              <w:rPr>
                <w:sz w:val="24"/>
                <w:szCs w:val="24"/>
                <w:u w:val="single"/>
              </w:rPr>
              <w:t>汽车行使速度，</w:t>
            </w:r>
            <w:r>
              <w:rPr>
                <w:rFonts w:ascii="Times New Roman" w:hAnsi="Times New Roman" w:eastAsia="Times New Roman"/>
                <w:sz w:val="24"/>
                <w:szCs w:val="24"/>
                <w:u w:val="single"/>
              </w:rPr>
              <w:t>km/h</w:t>
            </w:r>
            <w:r>
              <w:rPr>
                <w:sz w:val="24"/>
                <w:szCs w:val="24"/>
                <w:u w:val="single"/>
              </w:rPr>
              <w:t>；</w:t>
            </w:r>
          </w:p>
          <w:p>
            <w:pPr>
              <w:pStyle w:val="2"/>
              <w:keepNext w:val="0"/>
              <w:keepLines w:val="0"/>
              <w:pageBreakBefore w:val="0"/>
              <w:kinsoku/>
              <w:wordWrap/>
              <w:overflowPunct/>
              <w:topLinePunct w:val="0"/>
              <w:autoSpaceDE/>
              <w:autoSpaceDN/>
              <w:bidi w:val="0"/>
              <w:adjustRightInd/>
              <w:spacing w:before="0" w:after="0" w:line="360" w:lineRule="auto"/>
              <w:ind w:left="0" w:right="0"/>
              <w:textAlignment w:val="auto"/>
              <w:rPr>
                <w:sz w:val="24"/>
                <w:szCs w:val="24"/>
                <w:u w:val="single"/>
              </w:rPr>
            </w:pPr>
            <w:r>
              <w:rPr>
                <w:rFonts w:ascii="Times New Roman" w:hAnsi="Times New Roman" w:eastAsia="Times New Roman"/>
                <w:sz w:val="24"/>
                <w:szCs w:val="24"/>
                <w:u w:val="single"/>
              </w:rPr>
              <w:t>W——</w:t>
            </w:r>
            <w:r>
              <w:rPr>
                <w:sz w:val="24"/>
                <w:szCs w:val="24"/>
                <w:u w:val="single"/>
              </w:rPr>
              <w:t>汽车载重量，</w:t>
            </w:r>
            <w:r>
              <w:rPr>
                <w:rFonts w:ascii="Times New Roman" w:hAnsi="Times New Roman" w:eastAsia="Times New Roman"/>
                <w:sz w:val="24"/>
                <w:szCs w:val="24"/>
                <w:u w:val="single"/>
              </w:rPr>
              <w:t>t</w:t>
            </w:r>
            <w:r>
              <w:rPr>
                <w:sz w:val="24"/>
                <w:szCs w:val="24"/>
                <w:u w:val="single"/>
              </w:rPr>
              <w:t>；</w:t>
            </w:r>
          </w:p>
          <w:p>
            <w:pPr>
              <w:pStyle w:val="2"/>
              <w:keepNext w:val="0"/>
              <w:keepLines w:val="0"/>
              <w:pageBreakBefore w:val="0"/>
              <w:kinsoku/>
              <w:wordWrap/>
              <w:overflowPunct/>
              <w:topLinePunct w:val="0"/>
              <w:autoSpaceDE/>
              <w:autoSpaceDN/>
              <w:bidi w:val="0"/>
              <w:adjustRightInd/>
              <w:spacing w:before="0" w:after="0" w:line="360" w:lineRule="auto"/>
              <w:ind w:left="0" w:right="0"/>
              <w:textAlignment w:val="auto"/>
              <w:rPr>
                <w:sz w:val="24"/>
                <w:szCs w:val="24"/>
                <w:u w:val="single"/>
              </w:rPr>
            </w:pPr>
            <w:r>
              <w:rPr>
                <w:rFonts w:ascii="Times New Roman" w:hAnsi="Times New Roman" w:eastAsia="Times New Roman"/>
                <w:sz w:val="24"/>
                <w:szCs w:val="24"/>
                <w:u w:val="single"/>
              </w:rPr>
              <w:t>P——</w:t>
            </w:r>
            <w:r>
              <w:rPr>
                <w:sz w:val="24"/>
                <w:szCs w:val="24"/>
                <w:u w:val="single"/>
              </w:rPr>
              <w:t>道路表面粉尘量，</w:t>
            </w:r>
            <w:r>
              <w:rPr>
                <w:rFonts w:ascii="Times New Roman" w:hAnsi="Times New Roman" w:eastAsia="Times New Roman"/>
                <w:sz w:val="24"/>
                <w:szCs w:val="24"/>
                <w:u w:val="single"/>
              </w:rPr>
              <w:t>kg/m²</w:t>
            </w:r>
            <w:r>
              <w:rPr>
                <w:sz w:val="24"/>
                <w:szCs w:val="24"/>
                <w:u w:val="single"/>
              </w:rPr>
              <w:t>。</w:t>
            </w:r>
          </w:p>
          <w:p>
            <w:pPr>
              <w:pStyle w:val="2"/>
              <w:keepNext w:val="0"/>
              <w:keepLines w:val="0"/>
              <w:pageBreakBefore w:val="0"/>
              <w:kinsoku/>
              <w:wordWrap/>
              <w:overflowPunct/>
              <w:topLinePunct w:val="0"/>
              <w:autoSpaceDE/>
              <w:autoSpaceDN/>
              <w:bidi w:val="0"/>
              <w:adjustRightInd/>
              <w:spacing w:before="0" w:after="0" w:line="360" w:lineRule="auto"/>
              <w:ind w:left="0" w:right="0" w:firstLine="480"/>
              <w:jc w:val="both"/>
              <w:textAlignment w:val="auto"/>
              <w:rPr>
                <w:sz w:val="19"/>
                <w:u w:val="single"/>
              </w:rPr>
            </w:pPr>
            <w:r>
              <w:rPr>
                <w:spacing w:val="-9"/>
                <w:sz w:val="24"/>
                <w:szCs w:val="24"/>
                <w:u w:val="single"/>
              </w:rPr>
              <w:t>下表为一辆</w:t>
            </w:r>
            <w:r>
              <w:rPr>
                <w:rFonts w:ascii="Times New Roman" w:eastAsia="Times New Roman"/>
                <w:sz w:val="24"/>
                <w:szCs w:val="24"/>
                <w:u w:val="single"/>
              </w:rPr>
              <w:t>10</w:t>
            </w:r>
            <w:r>
              <w:rPr>
                <w:spacing w:val="-5"/>
                <w:sz w:val="24"/>
                <w:szCs w:val="24"/>
                <w:u w:val="single"/>
              </w:rPr>
              <w:t>吨卡车，通过一段长度为</w:t>
            </w:r>
            <w:r>
              <w:rPr>
                <w:rFonts w:ascii="Times New Roman" w:eastAsia="Times New Roman"/>
                <w:sz w:val="24"/>
                <w:szCs w:val="24"/>
                <w:u w:val="single"/>
              </w:rPr>
              <w:t>1</w:t>
            </w:r>
            <w:r>
              <w:rPr>
                <w:sz w:val="24"/>
                <w:szCs w:val="24"/>
                <w:u w:val="single"/>
              </w:rPr>
              <w:t>千米的路面时，不同路面清洁程度（</w:t>
            </w:r>
            <w:r>
              <w:rPr>
                <w:rFonts w:ascii="Times New Roman" w:eastAsia="Times New Roman"/>
                <w:sz w:val="24"/>
                <w:szCs w:val="24"/>
                <w:u w:val="single"/>
              </w:rPr>
              <w:t>P</w:t>
            </w:r>
            <w:r>
              <w:rPr>
                <w:sz w:val="24"/>
                <w:szCs w:val="24"/>
                <w:u w:val="single"/>
              </w:rPr>
              <w:t>）、不同行驶速度（</w:t>
            </w:r>
            <w:r>
              <w:rPr>
                <w:rFonts w:ascii="Times New Roman" w:eastAsia="Times New Roman"/>
                <w:sz w:val="24"/>
                <w:szCs w:val="24"/>
                <w:u w:val="single"/>
              </w:rPr>
              <w:t>V</w:t>
            </w:r>
            <w:r>
              <w:rPr>
                <w:sz w:val="24"/>
                <w:szCs w:val="24"/>
                <w:u w:val="single"/>
              </w:rPr>
              <w:t>）情况下的扬尘量。</w:t>
            </w:r>
          </w:p>
          <w:p>
            <w:pPr>
              <w:spacing w:before="0"/>
              <w:ind w:left="1232" w:right="0" w:firstLine="0"/>
              <w:jc w:val="left"/>
              <w:rPr>
                <w:b/>
                <w:sz w:val="21"/>
                <w:u w:val="single"/>
              </w:rPr>
            </w:pPr>
            <w:r>
              <w:rPr>
                <w:b/>
                <w:spacing w:val="-28"/>
                <w:sz w:val="21"/>
                <w:u w:val="single"/>
              </w:rPr>
              <w:t xml:space="preserve">表 </w:t>
            </w:r>
            <w:r>
              <w:rPr>
                <w:rFonts w:hint="eastAsia" w:eastAsia="宋体"/>
                <w:b/>
                <w:sz w:val="21"/>
                <w:u w:val="single"/>
                <w:lang w:val="en-US" w:eastAsia="zh-CN"/>
              </w:rPr>
              <w:t>4-2</w:t>
            </w:r>
            <w:r>
              <w:rPr>
                <w:rFonts w:ascii="Times New Roman" w:hAnsi="Times New Roman" w:eastAsia="Times New Roman"/>
                <w:b/>
                <w:spacing w:val="51"/>
                <w:sz w:val="21"/>
                <w:u w:val="single"/>
              </w:rPr>
              <w:t xml:space="preserve"> </w:t>
            </w:r>
            <w:r>
              <w:rPr>
                <w:b/>
                <w:sz w:val="21"/>
                <w:u w:val="single"/>
              </w:rPr>
              <w:t>在不同车速和地面清洁程度的汽车扬尘 （单位：</w:t>
            </w:r>
            <w:r>
              <w:rPr>
                <w:rFonts w:ascii="Times New Roman" w:hAnsi="Times New Roman" w:eastAsia="Times New Roman"/>
                <w:b/>
                <w:sz w:val="21"/>
                <w:u w:val="single"/>
              </w:rPr>
              <w:t>kg/</w:t>
            </w:r>
            <w:r>
              <w:rPr>
                <w:b/>
                <w:sz w:val="21"/>
                <w:u w:val="single"/>
              </w:rPr>
              <w:t>辆</w:t>
            </w:r>
            <w:r>
              <w:rPr>
                <w:rFonts w:ascii="Times New Roman" w:hAnsi="Times New Roman" w:eastAsia="Times New Roman"/>
                <w:b/>
                <w:sz w:val="21"/>
                <w:u w:val="single"/>
              </w:rPr>
              <w:t>·km</w:t>
            </w:r>
            <w:r>
              <w:rPr>
                <w:b/>
                <w:sz w:val="21"/>
                <w:u w:val="single"/>
              </w:rPr>
              <w:t>）</w:t>
            </w:r>
          </w:p>
          <w:tbl>
            <w:tblPr>
              <w:tblStyle w:val="24"/>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75"/>
              <w:gridCol w:w="1212"/>
              <w:gridCol w:w="1206"/>
              <w:gridCol w:w="1208"/>
              <w:gridCol w:w="1206"/>
              <w:gridCol w:w="1207"/>
              <w:gridCol w:w="12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375" w:type="dxa"/>
                </w:tcPr>
                <w:p>
                  <w:pPr>
                    <w:pStyle w:val="62"/>
                    <w:ind w:left="635"/>
                    <w:rPr>
                      <w:b/>
                      <w:sz w:val="21"/>
                      <w:u w:val="single"/>
                    </w:rPr>
                  </w:pPr>
                  <w:r>
                    <w:rPr>
                      <w:u w:val="single"/>
                    </w:rPr>
                    <mc:AlternateContent>
                      <mc:Choice Requires="wps">
                        <w:drawing>
                          <wp:anchor distT="0" distB="0" distL="114300" distR="114300" simplePos="0" relativeHeight="251662336" behindDoc="1" locked="0" layoutInCell="1" allowOverlap="1">
                            <wp:simplePos x="0" y="0"/>
                            <wp:positionH relativeFrom="page">
                              <wp:posOffset>-21590</wp:posOffset>
                            </wp:positionH>
                            <wp:positionV relativeFrom="paragraph">
                              <wp:posOffset>6985</wp:posOffset>
                            </wp:positionV>
                            <wp:extent cx="869950" cy="348615"/>
                            <wp:effectExtent l="1905" t="4445" r="12065" b="12700"/>
                            <wp:wrapNone/>
                            <wp:docPr id="71" name="直接连接符 71"/>
                            <wp:cNvGraphicFramePr/>
                            <a:graphic xmlns:a="http://schemas.openxmlformats.org/drawingml/2006/main">
                              <a:graphicData uri="http://schemas.microsoft.com/office/word/2010/wordprocessingShape">
                                <wps:wsp>
                                  <wps:cNvCnPr/>
                                  <wps:spPr>
                                    <a:xfrm>
                                      <a:off x="0" y="0"/>
                                      <a:ext cx="869950" cy="34861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pt;margin-top:0.55pt;height:27.45pt;width:68.5pt;mso-position-horizontal-relative:page;z-index:-251654144;mso-width-relative:page;mso-height-relative:page;" filled="f" stroked="t" coordsize="21600,21600" o:gfxdata="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dKf2fTAAAABwEAAA8AAAAAAAAAAQAgAAAAIgAAAGRycy9kb3ducmV2LnhtbFBLAQIU&#10;ABQAAAAIAIdO4kCblDpo+AEAAOoDAAAOAAAAAAAAAAEAIAAAACIBAABkcnMvZTJvRG9jLnhtbFBL&#10;BQYAAAAABgAGAFkBAACMBQAAAAA=&#10;">
                            <v:fill on="f" focussize="0,0"/>
                            <v:stroke weight="0.5pt" color="#000000" joinstyle="round"/>
                            <v:imagedata o:title=""/>
                            <o:lock v:ext="edit" aspectratio="f"/>
                          </v:line>
                        </w:pict>
                      </mc:Fallback>
                    </mc:AlternateContent>
                  </w:r>
                  <w:r>
                    <w:rPr>
                      <w:b/>
                      <w:sz w:val="21"/>
                      <w:u w:val="single"/>
                    </w:rPr>
                    <w:t>粉尘量</w:t>
                  </w:r>
                </w:p>
                <w:p>
                  <w:pPr>
                    <w:pStyle w:val="62"/>
                    <w:spacing w:before="4" w:line="251" w:lineRule="exact"/>
                    <w:ind w:left="107"/>
                    <w:jc w:val="both"/>
                    <w:rPr>
                      <w:b/>
                      <w:sz w:val="21"/>
                      <w:u w:val="single"/>
                    </w:rPr>
                  </w:pPr>
                  <w:r>
                    <w:rPr>
                      <w:b/>
                      <w:sz w:val="21"/>
                      <w:u w:val="single"/>
                    </w:rPr>
                    <w:t>车速</w:t>
                  </w:r>
                </w:p>
              </w:tc>
              <w:tc>
                <w:tcPr>
                  <w:tcW w:w="1212" w:type="dxa"/>
                </w:tcPr>
                <w:p>
                  <w:pPr>
                    <w:pStyle w:val="62"/>
                    <w:spacing w:before="14"/>
                    <w:ind w:left="113" w:right="107"/>
                    <w:jc w:val="center"/>
                    <w:rPr>
                      <w:rFonts w:ascii="Times New Roman"/>
                      <w:b/>
                      <w:sz w:val="21"/>
                      <w:u w:val="single"/>
                    </w:rPr>
                  </w:pPr>
                  <w:r>
                    <w:rPr>
                      <w:rFonts w:ascii="Times New Roman"/>
                      <w:b/>
                      <w:sz w:val="21"/>
                      <w:u w:val="single"/>
                    </w:rPr>
                    <w:t>0.1</w:t>
                  </w:r>
                </w:p>
                <w:p>
                  <w:pPr>
                    <w:pStyle w:val="62"/>
                    <w:spacing w:before="1" w:line="268" w:lineRule="exact"/>
                    <w:ind w:left="114" w:right="107"/>
                    <w:jc w:val="center"/>
                    <w:rPr>
                      <w:b/>
                      <w:sz w:val="21"/>
                      <w:u w:val="single"/>
                    </w:rPr>
                  </w:pPr>
                  <w:r>
                    <w:rPr>
                      <w:b/>
                      <w:sz w:val="21"/>
                      <w:u w:val="single"/>
                    </w:rPr>
                    <w:t>（</w:t>
                  </w:r>
                  <w:r>
                    <w:rPr>
                      <w:rFonts w:ascii="Times New Roman" w:hAnsi="Times New Roman" w:eastAsia="Times New Roman"/>
                      <w:b/>
                      <w:sz w:val="21"/>
                      <w:u w:val="single"/>
                    </w:rPr>
                    <w:t>kg/m²</w:t>
                  </w:r>
                  <w:r>
                    <w:rPr>
                      <w:b/>
                      <w:sz w:val="21"/>
                      <w:u w:val="single"/>
                    </w:rPr>
                    <w:t>）</w:t>
                  </w:r>
                </w:p>
              </w:tc>
              <w:tc>
                <w:tcPr>
                  <w:tcW w:w="1206" w:type="dxa"/>
                </w:tcPr>
                <w:p>
                  <w:pPr>
                    <w:pStyle w:val="62"/>
                    <w:spacing w:before="14"/>
                    <w:ind w:left="110" w:right="103"/>
                    <w:jc w:val="center"/>
                    <w:rPr>
                      <w:rFonts w:ascii="Times New Roman"/>
                      <w:b/>
                      <w:sz w:val="21"/>
                      <w:u w:val="single"/>
                    </w:rPr>
                  </w:pPr>
                  <w:r>
                    <w:rPr>
                      <w:rFonts w:ascii="Times New Roman"/>
                      <w:b/>
                      <w:sz w:val="21"/>
                      <w:u w:val="single"/>
                    </w:rPr>
                    <w:t>0.2</w:t>
                  </w:r>
                </w:p>
                <w:p>
                  <w:pPr>
                    <w:pStyle w:val="62"/>
                    <w:spacing w:before="1" w:line="268" w:lineRule="exact"/>
                    <w:ind w:left="110" w:right="104"/>
                    <w:jc w:val="center"/>
                    <w:rPr>
                      <w:b/>
                      <w:sz w:val="21"/>
                      <w:u w:val="single"/>
                    </w:rPr>
                  </w:pPr>
                  <w:r>
                    <w:rPr>
                      <w:b/>
                      <w:sz w:val="21"/>
                      <w:u w:val="single"/>
                    </w:rPr>
                    <w:t>（</w:t>
                  </w:r>
                  <w:r>
                    <w:rPr>
                      <w:rFonts w:ascii="Times New Roman" w:hAnsi="Times New Roman" w:eastAsia="Times New Roman"/>
                      <w:b/>
                      <w:sz w:val="21"/>
                      <w:u w:val="single"/>
                    </w:rPr>
                    <w:t>kg/m²</w:t>
                  </w:r>
                  <w:r>
                    <w:rPr>
                      <w:b/>
                      <w:sz w:val="21"/>
                      <w:u w:val="single"/>
                    </w:rPr>
                    <w:t>）</w:t>
                  </w:r>
                </w:p>
              </w:tc>
              <w:tc>
                <w:tcPr>
                  <w:tcW w:w="1208" w:type="dxa"/>
                </w:tcPr>
                <w:p>
                  <w:pPr>
                    <w:pStyle w:val="62"/>
                    <w:spacing w:before="14"/>
                    <w:ind w:left="112" w:right="104"/>
                    <w:jc w:val="center"/>
                    <w:rPr>
                      <w:rFonts w:ascii="Times New Roman"/>
                      <w:b/>
                      <w:sz w:val="21"/>
                      <w:u w:val="single"/>
                    </w:rPr>
                  </w:pPr>
                  <w:r>
                    <w:rPr>
                      <w:rFonts w:ascii="Times New Roman"/>
                      <w:b/>
                      <w:sz w:val="21"/>
                      <w:u w:val="single"/>
                    </w:rPr>
                    <w:t>0.3</w:t>
                  </w:r>
                </w:p>
                <w:p>
                  <w:pPr>
                    <w:pStyle w:val="62"/>
                    <w:spacing w:before="1" w:line="268" w:lineRule="exact"/>
                    <w:ind w:left="112" w:right="105"/>
                    <w:jc w:val="center"/>
                    <w:rPr>
                      <w:b/>
                      <w:sz w:val="21"/>
                      <w:u w:val="single"/>
                    </w:rPr>
                  </w:pPr>
                  <w:r>
                    <w:rPr>
                      <w:b/>
                      <w:sz w:val="21"/>
                      <w:u w:val="single"/>
                    </w:rPr>
                    <w:t>（</w:t>
                  </w:r>
                  <w:r>
                    <w:rPr>
                      <w:rFonts w:ascii="Times New Roman" w:hAnsi="Times New Roman" w:eastAsia="Times New Roman"/>
                      <w:b/>
                      <w:sz w:val="21"/>
                      <w:u w:val="single"/>
                    </w:rPr>
                    <w:t>kg/m²</w:t>
                  </w:r>
                  <w:r>
                    <w:rPr>
                      <w:b/>
                      <w:sz w:val="21"/>
                      <w:u w:val="single"/>
                    </w:rPr>
                    <w:t>）</w:t>
                  </w:r>
                </w:p>
              </w:tc>
              <w:tc>
                <w:tcPr>
                  <w:tcW w:w="1206" w:type="dxa"/>
                </w:tcPr>
                <w:p>
                  <w:pPr>
                    <w:pStyle w:val="62"/>
                    <w:spacing w:before="14"/>
                    <w:ind w:left="110" w:right="102"/>
                    <w:jc w:val="center"/>
                    <w:rPr>
                      <w:rFonts w:ascii="Times New Roman"/>
                      <w:b/>
                      <w:sz w:val="21"/>
                      <w:u w:val="single"/>
                    </w:rPr>
                  </w:pPr>
                  <w:r>
                    <w:rPr>
                      <w:rFonts w:ascii="Times New Roman"/>
                      <w:b/>
                      <w:sz w:val="21"/>
                      <w:u w:val="single"/>
                    </w:rPr>
                    <w:t>0.4</w:t>
                  </w:r>
                </w:p>
                <w:p>
                  <w:pPr>
                    <w:pStyle w:val="62"/>
                    <w:spacing w:before="1" w:line="268" w:lineRule="exact"/>
                    <w:ind w:left="110" w:right="105"/>
                    <w:jc w:val="center"/>
                    <w:rPr>
                      <w:b/>
                      <w:sz w:val="21"/>
                      <w:u w:val="single"/>
                    </w:rPr>
                  </w:pPr>
                  <w:r>
                    <w:rPr>
                      <w:b/>
                      <w:sz w:val="21"/>
                      <w:u w:val="single"/>
                    </w:rPr>
                    <w:t>（</w:t>
                  </w:r>
                  <w:r>
                    <w:rPr>
                      <w:rFonts w:ascii="Times New Roman" w:hAnsi="Times New Roman" w:eastAsia="Times New Roman"/>
                      <w:b/>
                      <w:sz w:val="21"/>
                      <w:u w:val="single"/>
                    </w:rPr>
                    <w:t>kg/m²</w:t>
                  </w:r>
                  <w:r>
                    <w:rPr>
                      <w:b/>
                      <w:sz w:val="21"/>
                      <w:u w:val="single"/>
                    </w:rPr>
                    <w:t>）</w:t>
                  </w:r>
                </w:p>
              </w:tc>
              <w:tc>
                <w:tcPr>
                  <w:tcW w:w="1207" w:type="dxa"/>
                </w:tcPr>
                <w:p>
                  <w:pPr>
                    <w:pStyle w:val="62"/>
                    <w:spacing w:before="14"/>
                    <w:ind w:left="111" w:right="102"/>
                    <w:jc w:val="center"/>
                    <w:rPr>
                      <w:rFonts w:ascii="Times New Roman"/>
                      <w:b/>
                      <w:sz w:val="21"/>
                      <w:u w:val="single"/>
                    </w:rPr>
                  </w:pPr>
                  <w:r>
                    <w:rPr>
                      <w:rFonts w:ascii="Times New Roman"/>
                      <w:b/>
                      <w:sz w:val="21"/>
                      <w:u w:val="single"/>
                    </w:rPr>
                    <w:t>0.5</w:t>
                  </w:r>
                </w:p>
                <w:p>
                  <w:pPr>
                    <w:pStyle w:val="62"/>
                    <w:spacing w:before="1" w:line="268" w:lineRule="exact"/>
                    <w:ind w:left="111" w:right="105"/>
                    <w:jc w:val="center"/>
                    <w:rPr>
                      <w:b/>
                      <w:sz w:val="21"/>
                      <w:u w:val="single"/>
                    </w:rPr>
                  </w:pPr>
                  <w:r>
                    <w:rPr>
                      <w:b/>
                      <w:sz w:val="21"/>
                      <w:u w:val="single"/>
                    </w:rPr>
                    <w:t>（</w:t>
                  </w:r>
                  <w:r>
                    <w:rPr>
                      <w:rFonts w:ascii="Times New Roman" w:hAnsi="Times New Roman" w:eastAsia="Times New Roman"/>
                      <w:b/>
                      <w:sz w:val="21"/>
                      <w:u w:val="single"/>
                    </w:rPr>
                    <w:t>kg/m²</w:t>
                  </w:r>
                  <w:r>
                    <w:rPr>
                      <w:b/>
                      <w:sz w:val="21"/>
                      <w:u w:val="single"/>
                    </w:rPr>
                    <w:t>）</w:t>
                  </w:r>
                </w:p>
              </w:tc>
              <w:tc>
                <w:tcPr>
                  <w:tcW w:w="1203" w:type="dxa"/>
                </w:tcPr>
                <w:p>
                  <w:pPr>
                    <w:pStyle w:val="62"/>
                    <w:spacing w:before="14"/>
                    <w:ind w:left="80" w:right="71"/>
                    <w:jc w:val="center"/>
                    <w:rPr>
                      <w:rFonts w:ascii="Times New Roman"/>
                      <w:b/>
                      <w:sz w:val="21"/>
                      <w:u w:val="single"/>
                    </w:rPr>
                  </w:pPr>
                  <w:r>
                    <w:rPr>
                      <w:rFonts w:ascii="Times New Roman"/>
                      <w:b/>
                      <w:sz w:val="21"/>
                      <w:u w:val="single"/>
                    </w:rPr>
                    <w:t>1.0</w:t>
                  </w:r>
                </w:p>
                <w:p>
                  <w:pPr>
                    <w:pStyle w:val="62"/>
                    <w:spacing w:before="1" w:line="268" w:lineRule="exact"/>
                    <w:ind w:left="80" w:right="74"/>
                    <w:jc w:val="center"/>
                    <w:rPr>
                      <w:b/>
                      <w:sz w:val="21"/>
                      <w:u w:val="single"/>
                    </w:rPr>
                  </w:pPr>
                  <w:r>
                    <w:rPr>
                      <w:b/>
                      <w:sz w:val="21"/>
                      <w:u w:val="single"/>
                    </w:rPr>
                    <w:t>（</w:t>
                  </w:r>
                  <w:r>
                    <w:rPr>
                      <w:rFonts w:ascii="Times New Roman" w:hAnsi="Times New Roman" w:eastAsia="Times New Roman"/>
                      <w:b/>
                      <w:sz w:val="21"/>
                      <w:u w:val="single"/>
                    </w:rPr>
                    <w:t>kg/m²</w:t>
                  </w:r>
                  <w:r>
                    <w:rPr>
                      <w:b/>
                      <w:sz w:val="21"/>
                      <w:u w:val="singl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75" w:type="dxa"/>
                </w:tcPr>
                <w:p>
                  <w:pPr>
                    <w:pStyle w:val="62"/>
                    <w:spacing w:before="33"/>
                    <w:ind w:left="208"/>
                    <w:rPr>
                      <w:sz w:val="21"/>
                      <w:u w:val="single"/>
                    </w:rPr>
                  </w:pPr>
                  <w:r>
                    <w:rPr>
                      <w:rFonts w:ascii="Times New Roman" w:eastAsia="Times New Roman"/>
                      <w:sz w:val="21"/>
                      <w:u w:val="single"/>
                    </w:rPr>
                    <w:t>5</w:t>
                  </w:r>
                  <w:r>
                    <w:rPr>
                      <w:sz w:val="21"/>
                      <w:u w:val="single"/>
                    </w:rPr>
                    <w:t>（</w:t>
                  </w:r>
                  <w:r>
                    <w:rPr>
                      <w:rFonts w:ascii="Times New Roman" w:eastAsia="Times New Roman"/>
                      <w:sz w:val="21"/>
                      <w:u w:val="single"/>
                    </w:rPr>
                    <w:t>km/h</w:t>
                  </w:r>
                  <w:r>
                    <w:rPr>
                      <w:sz w:val="21"/>
                      <w:u w:val="single"/>
                    </w:rPr>
                    <w:t>）</w:t>
                  </w:r>
                </w:p>
              </w:tc>
              <w:tc>
                <w:tcPr>
                  <w:tcW w:w="1212" w:type="dxa"/>
                </w:tcPr>
                <w:p>
                  <w:pPr>
                    <w:pStyle w:val="62"/>
                    <w:spacing w:before="49"/>
                    <w:ind w:left="369"/>
                    <w:rPr>
                      <w:rFonts w:ascii="Times New Roman"/>
                      <w:sz w:val="21"/>
                      <w:u w:val="single"/>
                    </w:rPr>
                  </w:pPr>
                  <w:r>
                    <w:rPr>
                      <w:rFonts w:ascii="Times New Roman"/>
                      <w:sz w:val="21"/>
                      <w:u w:val="single"/>
                    </w:rPr>
                    <w:t>0.051</w:t>
                  </w:r>
                </w:p>
              </w:tc>
              <w:tc>
                <w:tcPr>
                  <w:tcW w:w="1206" w:type="dxa"/>
                </w:tcPr>
                <w:p>
                  <w:pPr>
                    <w:pStyle w:val="62"/>
                    <w:spacing w:before="49"/>
                    <w:ind w:left="110" w:right="100"/>
                    <w:jc w:val="center"/>
                    <w:rPr>
                      <w:rFonts w:ascii="Times New Roman"/>
                      <w:sz w:val="21"/>
                      <w:u w:val="single"/>
                    </w:rPr>
                  </w:pPr>
                  <w:r>
                    <w:rPr>
                      <w:rFonts w:ascii="Times New Roman"/>
                      <w:sz w:val="21"/>
                      <w:u w:val="single"/>
                    </w:rPr>
                    <w:t>0.0859</w:t>
                  </w:r>
                </w:p>
              </w:tc>
              <w:tc>
                <w:tcPr>
                  <w:tcW w:w="1208" w:type="dxa"/>
                </w:tcPr>
                <w:p>
                  <w:pPr>
                    <w:pStyle w:val="62"/>
                    <w:spacing w:before="49"/>
                    <w:ind w:left="112" w:right="102"/>
                    <w:jc w:val="center"/>
                    <w:rPr>
                      <w:rFonts w:ascii="Times New Roman"/>
                      <w:sz w:val="21"/>
                      <w:u w:val="single"/>
                    </w:rPr>
                  </w:pPr>
                  <w:r>
                    <w:rPr>
                      <w:rFonts w:ascii="Times New Roman"/>
                      <w:sz w:val="21"/>
                      <w:u w:val="single"/>
                    </w:rPr>
                    <w:t>0.1164</w:t>
                  </w:r>
                </w:p>
              </w:tc>
              <w:tc>
                <w:tcPr>
                  <w:tcW w:w="1206" w:type="dxa"/>
                </w:tcPr>
                <w:p>
                  <w:pPr>
                    <w:pStyle w:val="62"/>
                    <w:spacing w:before="49"/>
                    <w:ind w:left="110" w:right="100"/>
                    <w:jc w:val="center"/>
                    <w:rPr>
                      <w:rFonts w:ascii="Times New Roman"/>
                      <w:sz w:val="21"/>
                      <w:u w:val="single"/>
                    </w:rPr>
                  </w:pPr>
                  <w:r>
                    <w:rPr>
                      <w:rFonts w:ascii="Times New Roman"/>
                      <w:sz w:val="21"/>
                      <w:u w:val="single"/>
                    </w:rPr>
                    <w:t>0.1444</w:t>
                  </w:r>
                </w:p>
              </w:tc>
              <w:tc>
                <w:tcPr>
                  <w:tcW w:w="1207" w:type="dxa"/>
                </w:tcPr>
                <w:p>
                  <w:pPr>
                    <w:pStyle w:val="62"/>
                    <w:spacing w:before="49"/>
                    <w:ind w:left="111" w:right="104"/>
                    <w:jc w:val="center"/>
                    <w:rPr>
                      <w:rFonts w:ascii="Times New Roman"/>
                      <w:sz w:val="21"/>
                      <w:u w:val="single"/>
                    </w:rPr>
                  </w:pPr>
                  <w:r>
                    <w:rPr>
                      <w:rFonts w:ascii="Times New Roman"/>
                      <w:sz w:val="21"/>
                      <w:u w:val="single"/>
                    </w:rPr>
                    <w:t>0.1707</w:t>
                  </w:r>
                </w:p>
              </w:tc>
              <w:tc>
                <w:tcPr>
                  <w:tcW w:w="1203" w:type="dxa"/>
                </w:tcPr>
                <w:p>
                  <w:pPr>
                    <w:pStyle w:val="62"/>
                    <w:spacing w:before="49"/>
                    <w:ind w:left="80" w:right="73"/>
                    <w:jc w:val="center"/>
                    <w:rPr>
                      <w:rFonts w:ascii="Times New Roman"/>
                      <w:sz w:val="21"/>
                      <w:u w:val="single"/>
                    </w:rPr>
                  </w:pPr>
                  <w:r>
                    <w:rPr>
                      <w:rFonts w:ascii="Times New Roman"/>
                      <w:sz w:val="21"/>
                      <w:u w:val="single"/>
                    </w:rPr>
                    <w:t>0.2871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75" w:type="dxa"/>
                </w:tcPr>
                <w:p>
                  <w:pPr>
                    <w:pStyle w:val="62"/>
                    <w:spacing w:before="33"/>
                    <w:ind w:left="155"/>
                    <w:rPr>
                      <w:sz w:val="21"/>
                      <w:u w:val="single"/>
                    </w:rPr>
                  </w:pPr>
                  <w:r>
                    <w:rPr>
                      <w:rFonts w:ascii="Times New Roman" w:eastAsia="Times New Roman"/>
                      <w:sz w:val="21"/>
                      <w:u w:val="single"/>
                    </w:rPr>
                    <w:t>10</w:t>
                  </w:r>
                  <w:r>
                    <w:rPr>
                      <w:sz w:val="21"/>
                      <w:u w:val="single"/>
                    </w:rPr>
                    <w:t>（</w:t>
                  </w:r>
                  <w:r>
                    <w:rPr>
                      <w:rFonts w:ascii="Times New Roman" w:eastAsia="Times New Roman"/>
                      <w:sz w:val="21"/>
                      <w:u w:val="single"/>
                    </w:rPr>
                    <w:t>km/h</w:t>
                  </w:r>
                  <w:r>
                    <w:rPr>
                      <w:sz w:val="21"/>
                      <w:u w:val="single"/>
                    </w:rPr>
                    <w:t>）</w:t>
                  </w:r>
                </w:p>
              </w:tc>
              <w:tc>
                <w:tcPr>
                  <w:tcW w:w="1212" w:type="dxa"/>
                </w:tcPr>
                <w:p>
                  <w:pPr>
                    <w:pStyle w:val="62"/>
                    <w:spacing w:before="50"/>
                    <w:ind w:left="316"/>
                    <w:rPr>
                      <w:rFonts w:ascii="Times New Roman"/>
                      <w:sz w:val="21"/>
                      <w:u w:val="single"/>
                    </w:rPr>
                  </w:pPr>
                  <w:r>
                    <w:rPr>
                      <w:rFonts w:ascii="Times New Roman"/>
                      <w:sz w:val="21"/>
                      <w:u w:val="single"/>
                    </w:rPr>
                    <w:t>0.1021</w:t>
                  </w:r>
                </w:p>
              </w:tc>
              <w:tc>
                <w:tcPr>
                  <w:tcW w:w="1206" w:type="dxa"/>
                </w:tcPr>
                <w:p>
                  <w:pPr>
                    <w:pStyle w:val="62"/>
                    <w:spacing w:before="50"/>
                    <w:ind w:left="110" w:right="100"/>
                    <w:jc w:val="center"/>
                    <w:rPr>
                      <w:rFonts w:ascii="Times New Roman"/>
                      <w:sz w:val="21"/>
                      <w:u w:val="single"/>
                    </w:rPr>
                  </w:pPr>
                  <w:r>
                    <w:rPr>
                      <w:rFonts w:ascii="Times New Roman"/>
                      <w:sz w:val="21"/>
                      <w:u w:val="single"/>
                    </w:rPr>
                    <w:t>0.1717</w:t>
                  </w:r>
                </w:p>
              </w:tc>
              <w:tc>
                <w:tcPr>
                  <w:tcW w:w="1208" w:type="dxa"/>
                </w:tcPr>
                <w:p>
                  <w:pPr>
                    <w:pStyle w:val="62"/>
                    <w:spacing w:before="50"/>
                    <w:ind w:left="112" w:right="102"/>
                    <w:jc w:val="center"/>
                    <w:rPr>
                      <w:rFonts w:ascii="Times New Roman"/>
                      <w:sz w:val="21"/>
                      <w:u w:val="single"/>
                    </w:rPr>
                  </w:pPr>
                  <w:r>
                    <w:rPr>
                      <w:rFonts w:ascii="Times New Roman"/>
                      <w:sz w:val="21"/>
                      <w:u w:val="single"/>
                    </w:rPr>
                    <w:t>0.2328</w:t>
                  </w:r>
                </w:p>
              </w:tc>
              <w:tc>
                <w:tcPr>
                  <w:tcW w:w="1206" w:type="dxa"/>
                </w:tcPr>
                <w:p>
                  <w:pPr>
                    <w:pStyle w:val="62"/>
                    <w:spacing w:before="50"/>
                    <w:ind w:left="110" w:right="100"/>
                    <w:jc w:val="center"/>
                    <w:rPr>
                      <w:rFonts w:ascii="Times New Roman"/>
                      <w:sz w:val="21"/>
                      <w:u w:val="single"/>
                    </w:rPr>
                  </w:pPr>
                  <w:r>
                    <w:rPr>
                      <w:rFonts w:ascii="Times New Roman"/>
                      <w:sz w:val="21"/>
                      <w:u w:val="single"/>
                    </w:rPr>
                    <w:t>0.2888</w:t>
                  </w:r>
                </w:p>
              </w:tc>
              <w:tc>
                <w:tcPr>
                  <w:tcW w:w="1207" w:type="dxa"/>
                </w:tcPr>
                <w:p>
                  <w:pPr>
                    <w:pStyle w:val="62"/>
                    <w:spacing w:before="50"/>
                    <w:ind w:left="111" w:right="102"/>
                    <w:jc w:val="center"/>
                    <w:rPr>
                      <w:rFonts w:ascii="Times New Roman"/>
                      <w:sz w:val="21"/>
                      <w:u w:val="single"/>
                    </w:rPr>
                  </w:pPr>
                  <w:r>
                    <w:rPr>
                      <w:rFonts w:ascii="Times New Roman"/>
                      <w:sz w:val="21"/>
                      <w:u w:val="single"/>
                    </w:rPr>
                    <w:t>0.414</w:t>
                  </w:r>
                </w:p>
              </w:tc>
              <w:tc>
                <w:tcPr>
                  <w:tcW w:w="1203" w:type="dxa"/>
                </w:tcPr>
                <w:p>
                  <w:pPr>
                    <w:pStyle w:val="62"/>
                    <w:spacing w:before="50"/>
                    <w:ind w:left="80" w:right="73"/>
                    <w:jc w:val="center"/>
                    <w:rPr>
                      <w:rFonts w:ascii="Times New Roman"/>
                      <w:sz w:val="21"/>
                      <w:u w:val="single"/>
                    </w:rPr>
                  </w:pPr>
                  <w:r>
                    <w:rPr>
                      <w:rFonts w:ascii="Times New Roman"/>
                      <w:sz w:val="21"/>
                      <w:u w:val="single"/>
                    </w:rPr>
                    <w:t>0.5742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75" w:type="dxa"/>
                </w:tcPr>
                <w:p>
                  <w:pPr>
                    <w:pStyle w:val="62"/>
                    <w:spacing w:before="34"/>
                    <w:ind w:left="155"/>
                    <w:rPr>
                      <w:sz w:val="21"/>
                      <w:u w:val="single"/>
                    </w:rPr>
                  </w:pPr>
                  <w:r>
                    <w:rPr>
                      <w:rFonts w:ascii="Times New Roman" w:eastAsia="Times New Roman"/>
                      <w:sz w:val="21"/>
                      <w:u w:val="single"/>
                    </w:rPr>
                    <w:t>15</w:t>
                  </w:r>
                  <w:r>
                    <w:rPr>
                      <w:sz w:val="21"/>
                      <w:u w:val="single"/>
                    </w:rPr>
                    <w:t>（</w:t>
                  </w:r>
                  <w:r>
                    <w:rPr>
                      <w:rFonts w:ascii="Times New Roman" w:eastAsia="Times New Roman"/>
                      <w:sz w:val="21"/>
                      <w:u w:val="single"/>
                    </w:rPr>
                    <w:t>km/h</w:t>
                  </w:r>
                  <w:r>
                    <w:rPr>
                      <w:sz w:val="21"/>
                      <w:u w:val="single"/>
                    </w:rPr>
                    <w:t>）</w:t>
                  </w:r>
                </w:p>
              </w:tc>
              <w:tc>
                <w:tcPr>
                  <w:tcW w:w="1212" w:type="dxa"/>
                </w:tcPr>
                <w:p>
                  <w:pPr>
                    <w:pStyle w:val="62"/>
                    <w:spacing w:before="48"/>
                    <w:ind w:left="316"/>
                    <w:rPr>
                      <w:rFonts w:ascii="Times New Roman"/>
                      <w:sz w:val="21"/>
                      <w:u w:val="single"/>
                    </w:rPr>
                  </w:pPr>
                  <w:r>
                    <w:rPr>
                      <w:rFonts w:ascii="Times New Roman"/>
                      <w:sz w:val="21"/>
                      <w:u w:val="single"/>
                    </w:rPr>
                    <w:t>0.1532</w:t>
                  </w:r>
                </w:p>
              </w:tc>
              <w:tc>
                <w:tcPr>
                  <w:tcW w:w="1206" w:type="dxa"/>
                </w:tcPr>
                <w:p>
                  <w:pPr>
                    <w:pStyle w:val="62"/>
                    <w:spacing w:before="48"/>
                    <w:ind w:left="110" w:right="100"/>
                    <w:jc w:val="center"/>
                    <w:rPr>
                      <w:rFonts w:ascii="Times New Roman"/>
                      <w:sz w:val="21"/>
                      <w:u w:val="single"/>
                    </w:rPr>
                  </w:pPr>
                  <w:r>
                    <w:rPr>
                      <w:rFonts w:ascii="Times New Roman"/>
                      <w:sz w:val="21"/>
                      <w:u w:val="single"/>
                    </w:rPr>
                    <w:t>0.2576</w:t>
                  </w:r>
                </w:p>
              </w:tc>
              <w:tc>
                <w:tcPr>
                  <w:tcW w:w="1208" w:type="dxa"/>
                </w:tcPr>
                <w:p>
                  <w:pPr>
                    <w:pStyle w:val="62"/>
                    <w:spacing w:before="48"/>
                    <w:ind w:left="112" w:right="102"/>
                    <w:jc w:val="center"/>
                    <w:rPr>
                      <w:rFonts w:ascii="Times New Roman"/>
                      <w:sz w:val="21"/>
                      <w:u w:val="single"/>
                    </w:rPr>
                  </w:pPr>
                  <w:r>
                    <w:rPr>
                      <w:rFonts w:ascii="Times New Roman"/>
                      <w:sz w:val="21"/>
                      <w:u w:val="single"/>
                    </w:rPr>
                    <w:t>0.3491</w:t>
                  </w:r>
                </w:p>
              </w:tc>
              <w:tc>
                <w:tcPr>
                  <w:tcW w:w="1206" w:type="dxa"/>
                </w:tcPr>
                <w:p>
                  <w:pPr>
                    <w:pStyle w:val="62"/>
                    <w:spacing w:before="48"/>
                    <w:ind w:left="110" w:right="100"/>
                    <w:jc w:val="center"/>
                    <w:rPr>
                      <w:rFonts w:ascii="Times New Roman"/>
                      <w:sz w:val="21"/>
                      <w:u w:val="single"/>
                    </w:rPr>
                  </w:pPr>
                  <w:r>
                    <w:rPr>
                      <w:rFonts w:ascii="Times New Roman"/>
                      <w:sz w:val="21"/>
                      <w:u w:val="single"/>
                    </w:rPr>
                    <w:t>0.4332</w:t>
                  </w:r>
                </w:p>
              </w:tc>
              <w:tc>
                <w:tcPr>
                  <w:tcW w:w="1207" w:type="dxa"/>
                </w:tcPr>
                <w:p>
                  <w:pPr>
                    <w:pStyle w:val="62"/>
                    <w:spacing w:before="48"/>
                    <w:ind w:left="111" w:right="104"/>
                    <w:jc w:val="center"/>
                    <w:rPr>
                      <w:rFonts w:ascii="Times New Roman"/>
                      <w:sz w:val="21"/>
                      <w:u w:val="single"/>
                    </w:rPr>
                  </w:pPr>
                  <w:r>
                    <w:rPr>
                      <w:rFonts w:ascii="Times New Roman"/>
                      <w:sz w:val="21"/>
                      <w:u w:val="single"/>
                    </w:rPr>
                    <w:t>0.5121</w:t>
                  </w:r>
                </w:p>
              </w:tc>
              <w:tc>
                <w:tcPr>
                  <w:tcW w:w="1203" w:type="dxa"/>
                </w:tcPr>
                <w:p>
                  <w:pPr>
                    <w:pStyle w:val="62"/>
                    <w:spacing w:before="48"/>
                    <w:ind w:left="80" w:right="73"/>
                    <w:jc w:val="center"/>
                    <w:rPr>
                      <w:rFonts w:ascii="Times New Roman"/>
                      <w:sz w:val="21"/>
                      <w:u w:val="single"/>
                    </w:rPr>
                  </w:pPr>
                  <w:r>
                    <w:rPr>
                      <w:rFonts w:ascii="Times New Roman"/>
                      <w:sz w:val="21"/>
                      <w:u w:val="single"/>
                    </w:rPr>
                    <w:t>0.8613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75" w:type="dxa"/>
                </w:tcPr>
                <w:p>
                  <w:pPr>
                    <w:pStyle w:val="62"/>
                    <w:spacing w:before="34"/>
                    <w:ind w:left="155"/>
                    <w:rPr>
                      <w:sz w:val="21"/>
                      <w:u w:val="single"/>
                    </w:rPr>
                  </w:pPr>
                  <w:r>
                    <w:rPr>
                      <w:rFonts w:ascii="Times New Roman" w:eastAsia="Times New Roman"/>
                      <w:sz w:val="21"/>
                      <w:u w:val="single"/>
                    </w:rPr>
                    <w:t>25</w:t>
                  </w:r>
                  <w:r>
                    <w:rPr>
                      <w:sz w:val="21"/>
                      <w:u w:val="single"/>
                    </w:rPr>
                    <w:t>（</w:t>
                  </w:r>
                  <w:r>
                    <w:rPr>
                      <w:rFonts w:ascii="Times New Roman" w:eastAsia="Times New Roman"/>
                      <w:sz w:val="21"/>
                      <w:u w:val="single"/>
                    </w:rPr>
                    <w:t>km/h</w:t>
                  </w:r>
                  <w:r>
                    <w:rPr>
                      <w:sz w:val="21"/>
                      <w:u w:val="single"/>
                    </w:rPr>
                    <w:t>）</w:t>
                  </w:r>
                </w:p>
              </w:tc>
              <w:tc>
                <w:tcPr>
                  <w:tcW w:w="1212" w:type="dxa"/>
                </w:tcPr>
                <w:p>
                  <w:pPr>
                    <w:pStyle w:val="62"/>
                    <w:spacing w:before="48"/>
                    <w:ind w:left="316"/>
                    <w:rPr>
                      <w:rFonts w:ascii="Times New Roman"/>
                      <w:sz w:val="21"/>
                      <w:u w:val="single"/>
                    </w:rPr>
                  </w:pPr>
                  <w:r>
                    <w:rPr>
                      <w:rFonts w:ascii="Times New Roman"/>
                      <w:sz w:val="21"/>
                      <w:u w:val="single"/>
                    </w:rPr>
                    <w:t>0.2553</w:t>
                  </w:r>
                </w:p>
              </w:tc>
              <w:tc>
                <w:tcPr>
                  <w:tcW w:w="1206" w:type="dxa"/>
                </w:tcPr>
                <w:p>
                  <w:pPr>
                    <w:pStyle w:val="62"/>
                    <w:spacing w:before="48"/>
                    <w:ind w:left="110" w:right="100"/>
                    <w:jc w:val="center"/>
                    <w:rPr>
                      <w:rFonts w:ascii="Times New Roman"/>
                      <w:sz w:val="21"/>
                      <w:u w:val="single"/>
                    </w:rPr>
                  </w:pPr>
                  <w:r>
                    <w:rPr>
                      <w:rFonts w:ascii="Times New Roman"/>
                      <w:sz w:val="21"/>
                      <w:u w:val="single"/>
                    </w:rPr>
                    <w:t>0.4293</w:t>
                  </w:r>
                </w:p>
              </w:tc>
              <w:tc>
                <w:tcPr>
                  <w:tcW w:w="1208" w:type="dxa"/>
                </w:tcPr>
                <w:p>
                  <w:pPr>
                    <w:pStyle w:val="62"/>
                    <w:spacing w:before="48"/>
                    <w:ind w:left="112" w:right="102"/>
                    <w:jc w:val="center"/>
                    <w:rPr>
                      <w:rFonts w:ascii="Times New Roman"/>
                      <w:sz w:val="21"/>
                      <w:u w:val="single"/>
                    </w:rPr>
                  </w:pPr>
                  <w:r>
                    <w:rPr>
                      <w:rFonts w:ascii="Times New Roman"/>
                      <w:sz w:val="21"/>
                      <w:u w:val="single"/>
                    </w:rPr>
                    <w:t>0.5819</w:t>
                  </w:r>
                </w:p>
              </w:tc>
              <w:tc>
                <w:tcPr>
                  <w:tcW w:w="1206" w:type="dxa"/>
                </w:tcPr>
                <w:p>
                  <w:pPr>
                    <w:pStyle w:val="62"/>
                    <w:spacing w:before="48"/>
                    <w:ind w:left="110" w:right="100"/>
                    <w:jc w:val="center"/>
                    <w:rPr>
                      <w:rFonts w:ascii="Times New Roman"/>
                      <w:sz w:val="21"/>
                      <w:u w:val="single"/>
                    </w:rPr>
                  </w:pPr>
                  <w:r>
                    <w:rPr>
                      <w:rFonts w:ascii="Times New Roman"/>
                      <w:sz w:val="21"/>
                      <w:u w:val="single"/>
                    </w:rPr>
                    <w:t>0.7220</w:t>
                  </w:r>
                </w:p>
              </w:tc>
              <w:tc>
                <w:tcPr>
                  <w:tcW w:w="1207" w:type="dxa"/>
                </w:tcPr>
                <w:p>
                  <w:pPr>
                    <w:pStyle w:val="62"/>
                    <w:spacing w:before="48"/>
                    <w:ind w:left="111" w:right="104"/>
                    <w:jc w:val="center"/>
                    <w:rPr>
                      <w:rFonts w:ascii="Times New Roman"/>
                      <w:sz w:val="21"/>
                      <w:u w:val="single"/>
                    </w:rPr>
                  </w:pPr>
                  <w:r>
                    <w:rPr>
                      <w:rFonts w:ascii="Times New Roman"/>
                      <w:sz w:val="21"/>
                      <w:u w:val="single"/>
                    </w:rPr>
                    <w:t>0.8536</w:t>
                  </w:r>
                </w:p>
              </w:tc>
              <w:tc>
                <w:tcPr>
                  <w:tcW w:w="1203" w:type="dxa"/>
                </w:tcPr>
                <w:p>
                  <w:pPr>
                    <w:pStyle w:val="62"/>
                    <w:spacing w:before="48"/>
                    <w:ind w:left="80" w:right="73"/>
                    <w:jc w:val="center"/>
                    <w:rPr>
                      <w:rFonts w:ascii="Times New Roman"/>
                      <w:sz w:val="21"/>
                      <w:u w:val="single"/>
                    </w:rPr>
                  </w:pPr>
                  <w:r>
                    <w:rPr>
                      <w:rFonts w:ascii="Times New Roman"/>
                      <w:sz w:val="21"/>
                      <w:u w:val="single"/>
                    </w:rPr>
                    <w:t>1.4355</w:t>
                  </w:r>
                </w:p>
              </w:tc>
            </w:tr>
          </w:tbl>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sz w:val="24"/>
                <w:szCs w:val="24"/>
                <w:u w:val="single"/>
              </w:rPr>
            </w:pPr>
            <w:r>
              <w:rPr>
                <w:sz w:val="24"/>
                <w:szCs w:val="24"/>
                <w:u w:val="single"/>
              </w:rPr>
              <w:t>由此可见，在同样路面清洁程度条件下，车速越快，扬尘量越大；而在同样车速情况下，路面越脏，扬尘量越大。因此限速行驶及保持路面的清洁是减少汽车扬尘的有效办法。</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sz w:val="24"/>
                <w:szCs w:val="24"/>
                <w:u w:val="single"/>
              </w:rPr>
            </w:pPr>
            <w:r>
              <w:rPr>
                <w:sz w:val="24"/>
                <w:szCs w:val="24"/>
                <w:u w:val="single"/>
              </w:rPr>
              <w:t>本项目的扬尘主要表现在运输沿线和工地附近，尤其是天气干燥及风速较大时影响更为明显，使该区域及周围地区大气中总悬浮颗粒浓度增大。粉尘的排放量大小直接与施工期的管理措施有关。</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textAlignment w:val="auto"/>
              <w:rPr>
                <w:sz w:val="24"/>
                <w:szCs w:val="24"/>
                <w:u w:val="single"/>
              </w:rPr>
            </w:pPr>
            <w:r>
              <w:rPr>
                <w:sz w:val="24"/>
                <w:szCs w:val="24"/>
                <w:u w:val="single"/>
              </w:rPr>
              <w:t>②施工机械燃油废气和运输车辆尾气</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sz w:val="24"/>
                <w:szCs w:val="24"/>
                <w:u w:val="single"/>
              </w:rPr>
            </w:pPr>
            <w:r>
              <w:rPr>
                <w:sz w:val="24"/>
                <w:szCs w:val="24"/>
                <w:u w:val="single"/>
              </w:rPr>
              <w:t>施工机械和大型建筑材料运输车辆一般都以柴油为燃料。由柴油燃烧产生</w:t>
            </w:r>
            <w:r>
              <w:rPr>
                <w:position w:val="2"/>
                <w:sz w:val="24"/>
                <w:szCs w:val="24"/>
                <w:u w:val="single"/>
              </w:rPr>
              <w:t>的废气中主要污染因子为烯烃类、</w:t>
            </w:r>
            <w:r>
              <w:rPr>
                <w:rFonts w:ascii="Times New Roman" w:hAnsi="Times New Roman" w:eastAsia="Times New Roman"/>
                <w:position w:val="2"/>
                <w:sz w:val="24"/>
                <w:szCs w:val="24"/>
                <w:u w:val="single"/>
              </w:rPr>
              <w:t>CO</w:t>
            </w:r>
            <w:r>
              <w:rPr>
                <w:position w:val="2"/>
                <w:sz w:val="24"/>
                <w:szCs w:val="24"/>
                <w:u w:val="single"/>
              </w:rPr>
              <w:t>和</w:t>
            </w:r>
            <w:r>
              <w:rPr>
                <w:rFonts w:ascii="Times New Roman" w:hAnsi="Times New Roman" w:eastAsia="Times New Roman"/>
                <w:position w:val="2"/>
                <w:sz w:val="24"/>
                <w:szCs w:val="24"/>
                <w:u w:val="single"/>
              </w:rPr>
              <w:t>NO</w:t>
            </w:r>
            <w:r>
              <w:rPr>
                <w:rFonts w:ascii="Times New Roman" w:hAnsi="Times New Roman" w:eastAsia="Times New Roman"/>
                <w:position w:val="2"/>
                <w:sz w:val="24"/>
                <w:szCs w:val="24"/>
                <w:u w:val="single"/>
                <w:vertAlign w:val="subscript"/>
              </w:rPr>
              <w:t>X</w:t>
            </w:r>
            <w:r>
              <w:rPr>
                <w:position w:val="2"/>
                <w:sz w:val="24"/>
                <w:szCs w:val="24"/>
                <w:u w:val="single"/>
                <w:vertAlign w:val="baseline"/>
              </w:rPr>
              <w:t>，产生量主要取决于燃料油种</w:t>
            </w:r>
            <w:r>
              <w:rPr>
                <w:sz w:val="24"/>
                <w:szCs w:val="24"/>
                <w:u w:val="single"/>
                <w:vertAlign w:val="baseline"/>
              </w:rPr>
              <w:t>类、机械性能、作业方式和风力等，其特点是排放量小，且属间断性无组织排放。据调查，一般大型工程车辆废气污染物排放量为：</w:t>
            </w:r>
            <w:r>
              <w:rPr>
                <w:rFonts w:ascii="Times New Roman" w:hAnsi="Times New Roman" w:eastAsia="Times New Roman"/>
                <w:sz w:val="24"/>
                <w:szCs w:val="24"/>
                <w:u w:val="single"/>
                <w:vertAlign w:val="baseline"/>
              </w:rPr>
              <w:t>CO</w:t>
            </w:r>
            <w:r>
              <w:rPr>
                <w:sz w:val="24"/>
                <w:szCs w:val="24"/>
                <w:u w:val="single"/>
                <w:vertAlign w:val="baseline"/>
              </w:rPr>
              <w:t>：</w:t>
            </w:r>
            <w:r>
              <w:rPr>
                <w:rFonts w:ascii="Times New Roman" w:hAnsi="Times New Roman" w:eastAsia="Times New Roman"/>
                <w:sz w:val="24"/>
                <w:szCs w:val="24"/>
                <w:u w:val="single"/>
                <w:vertAlign w:val="baseline"/>
              </w:rPr>
              <w:t>5.25g/</w:t>
            </w:r>
            <w:r>
              <w:rPr>
                <w:sz w:val="24"/>
                <w:szCs w:val="24"/>
                <w:u w:val="single"/>
                <w:vertAlign w:val="baseline"/>
              </w:rPr>
              <w:t>辆</w:t>
            </w:r>
            <w:r>
              <w:rPr>
                <w:rFonts w:ascii="Times New Roman" w:hAnsi="Times New Roman" w:eastAsia="Times New Roman"/>
                <w:sz w:val="24"/>
                <w:szCs w:val="24"/>
                <w:u w:val="single"/>
                <w:vertAlign w:val="baseline"/>
              </w:rPr>
              <w:t>·km</w:t>
            </w:r>
            <w:r>
              <w:rPr>
                <w:sz w:val="24"/>
                <w:szCs w:val="24"/>
                <w:u w:val="single"/>
                <w:vertAlign w:val="baseline"/>
              </w:rPr>
              <w:t>；</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textAlignment w:val="auto"/>
              <w:rPr>
                <w:sz w:val="24"/>
                <w:szCs w:val="24"/>
                <w:u w:val="single"/>
              </w:rPr>
            </w:pPr>
            <w:r>
              <w:rPr>
                <w:rFonts w:ascii="Times New Roman" w:hAnsi="Times New Roman" w:eastAsia="Times New Roman"/>
                <w:sz w:val="24"/>
                <w:szCs w:val="24"/>
                <w:u w:val="single"/>
              </w:rPr>
              <w:t>THC</w:t>
            </w:r>
            <w:r>
              <w:rPr>
                <w:sz w:val="24"/>
                <w:szCs w:val="24"/>
                <w:u w:val="single"/>
              </w:rPr>
              <w:t>：</w:t>
            </w:r>
            <w:r>
              <w:rPr>
                <w:rFonts w:ascii="Times New Roman" w:hAnsi="Times New Roman" w:eastAsia="Times New Roman"/>
                <w:sz w:val="24"/>
                <w:szCs w:val="24"/>
                <w:u w:val="single"/>
              </w:rPr>
              <w:t>2.08g/</w:t>
            </w:r>
            <w:r>
              <w:rPr>
                <w:sz w:val="24"/>
                <w:szCs w:val="24"/>
                <w:u w:val="single"/>
              </w:rPr>
              <w:t>辆</w:t>
            </w:r>
            <w:r>
              <w:rPr>
                <w:rFonts w:ascii="Times New Roman" w:hAnsi="Times New Roman" w:eastAsia="Times New Roman"/>
                <w:sz w:val="24"/>
                <w:szCs w:val="24"/>
                <w:u w:val="single"/>
              </w:rPr>
              <w:t>·km</w:t>
            </w:r>
            <w:r>
              <w:rPr>
                <w:sz w:val="24"/>
                <w:szCs w:val="24"/>
                <w:u w:val="single"/>
              </w:rPr>
              <w:t>；</w:t>
            </w:r>
            <w:r>
              <w:rPr>
                <w:rFonts w:ascii="Times New Roman" w:hAnsi="Times New Roman" w:eastAsia="Times New Roman"/>
                <w:sz w:val="24"/>
                <w:szCs w:val="24"/>
                <w:u w:val="single"/>
              </w:rPr>
              <w:t>NOx</w:t>
            </w:r>
            <w:r>
              <w:rPr>
                <w:sz w:val="24"/>
                <w:szCs w:val="24"/>
                <w:u w:val="single"/>
              </w:rPr>
              <w:t>：</w:t>
            </w:r>
            <w:r>
              <w:rPr>
                <w:rFonts w:ascii="Times New Roman" w:hAnsi="Times New Roman" w:eastAsia="Times New Roman"/>
                <w:sz w:val="24"/>
                <w:szCs w:val="24"/>
                <w:u w:val="single"/>
              </w:rPr>
              <w:t>10.44g/</w:t>
            </w:r>
            <w:r>
              <w:rPr>
                <w:sz w:val="24"/>
                <w:szCs w:val="24"/>
                <w:u w:val="single"/>
              </w:rPr>
              <w:t>辆</w:t>
            </w:r>
            <w:r>
              <w:rPr>
                <w:rFonts w:ascii="Times New Roman" w:hAnsi="Times New Roman" w:eastAsia="Times New Roman"/>
                <w:sz w:val="24"/>
                <w:szCs w:val="24"/>
                <w:u w:val="single"/>
              </w:rPr>
              <w:t>·km</w:t>
            </w:r>
            <w:r>
              <w:rPr>
                <w:sz w:val="24"/>
                <w:szCs w:val="24"/>
                <w:u w:val="single"/>
              </w:rPr>
              <w:t>。</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废气污染物只要合理规划、科学管理，切实按照规定执行，不会明显影响场地周围的环境空气质量，而且随着施工活动的结束，这些污染也将消失。</w:t>
            </w:r>
          </w:p>
          <w:p>
            <w:pPr>
              <w:keepNext w:val="0"/>
              <w:keepLines w:val="0"/>
              <w:widowControl/>
              <w:suppressLineNumbers w:val="0"/>
              <w:jc w:val="left"/>
              <w:rPr>
                <w:u w:val="single"/>
              </w:rPr>
            </w:pPr>
            <w:r>
              <w:rPr>
                <w:rFonts w:hint="eastAsia" w:ascii="Times New Roman" w:hAnsi="Times New Roman" w:cs="Times New Roman"/>
                <w:bCs/>
                <w:color w:val="auto"/>
                <w:spacing w:val="10"/>
                <w:kern w:val="2"/>
                <w:sz w:val="24"/>
                <w:szCs w:val="24"/>
                <w:highlight w:val="none"/>
                <w:u w:val="single" w:color="auto"/>
                <w:lang w:val="en-US" w:eastAsia="zh-CN" w:bidi="ar"/>
              </w:rPr>
              <w:t>按照《关于进一步加强建设工地扬尘污染防治工作的通知》（岳建质安监发〔</w:t>
            </w:r>
            <w:r>
              <w:rPr>
                <w:rFonts w:hint="default" w:ascii="Times New Roman" w:hAnsi="Times New Roman" w:cs="Times New Roman"/>
                <w:bCs/>
                <w:color w:val="auto"/>
                <w:spacing w:val="10"/>
                <w:kern w:val="2"/>
                <w:sz w:val="24"/>
                <w:szCs w:val="24"/>
                <w:highlight w:val="none"/>
                <w:u w:val="single" w:color="auto"/>
                <w:lang w:val="en-US" w:eastAsia="zh-CN" w:bidi="ar"/>
              </w:rPr>
              <w:t>2018</w:t>
            </w:r>
            <w:r>
              <w:rPr>
                <w:rFonts w:hint="eastAsia" w:ascii="Times New Roman" w:hAnsi="Times New Roman" w:cs="Times New Roman"/>
                <w:bCs/>
                <w:color w:val="auto"/>
                <w:spacing w:val="10"/>
                <w:kern w:val="2"/>
                <w:sz w:val="24"/>
                <w:szCs w:val="24"/>
                <w:highlight w:val="none"/>
                <w:u w:val="single" w:color="auto"/>
                <w:lang w:val="en-US" w:eastAsia="zh-CN" w:bidi="ar"/>
              </w:rPr>
              <w:t>〕</w:t>
            </w:r>
            <w:r>
              <w:rPr>
                <w:rFonts w:hint="default" w:ascii="Times New Roman" w:hAnsi="Times New Roman" w:cs="Times New Roman"/>
                <w:bCs/>
                <w:color w:val="auto"/>
                <w:spacing w:val="10"/>
                <w:kern w:val="2"/>
                <w:sz w:val="24"/>
                <w:szCs w:val="24"/>
                <w:highlight w:val="none"/>
                <w:u w:val="single" w:color="auto"/>
                <w:lang w:val="en-US" w:eastAsia="zh-CN" w:bidi="ar"/>
              </w:rPr>
              <w:t xml:space="preserve">18 </w:t>
            </w:r>
            <w:r>
              <w:rPr>
                <w:rFonts w:hint="eastAsia" w:ascii="Times New Roman" w:hAnsi="Times New Roman" w:cs="Times New Roman"/>
                <w:bCs/>
                <w:color w:val="auto"/>
                <w:spacing w:val="10"/>
                <w:kern w:val="2"/>
                <w:sz w:val="24"/>
                <w:szCs w:val="24"/>
                <w:highlight w:val="none"/>
                <w:u w:val="single" w:color="auto"/>
                <w:lang w:val="en-US" w:eastAsia="zh-CN" w:bidi="ar"/>
              </w:rPr>
              <w:t>号）要求</w:t>
            </w:r>
            <w:r>
              <w:rPr>
                <w:rFonts w:hint="eastAsia" w:cs="Times New Roman"/>
                <w:bCs/>
                <w:color w:val="auto"/>
                <w:spacing w:val="10"/>
                <w:kern w:val="2"/>
                <w:sz w:val="24"/>
                <w:szCs w:val="24"/>
                <w:highlight w:val="none"/>
                <w:u w:val="single" w:color="auto"/>
                <w:lang w:val="en-US" w:eastAsia="zh-CN" w:bidi="ar"/>
              </w:rPr>
              <w:t>，</w:t>
            </w:r>
            <w:r>
              <w:rPr>
                <w:rFonts w:hint="eastAsia" w:ascii="宋体" w:hAnsi="宋体" w:eastAsia="宋体" w:cs="宋体"/>
                <w:color w:val="000000"/>
                <w:kern w:val="0"/>
                <w:sz w:val="24"/>
                <w:szCs w:val="24"/>
                <w:u w:val="single"/>
                <w:lang w:val="en-US" w:eastAsia="zh-CN" w:bidi="ar"/>
              </w:rPr>
              <w:t>本环评对建设单位及施工单位提出以下要求：</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① 建设单位是建筑工程施工扬尘污染防治的责任人，明确扬尘污染防治责任并监督落实；将扬尘污染防治费用列入工程安全文明施工措施费，作为不可竞争费用列入工程成本，并在开工前及时足额支付给施工单位。</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②施工现场实行围挡封闭。主要路段施工现场围挡高度不得低于</w:t>
            </w:r>
            <w:r>
              <w:rPr>
                <w:rFonts w:hint="default" w:ascii="Times New Roman" w:hAnsi="Times New Roman" w:eastAsia="宋体" w:cs="Times New Roman"/>
                <w:color w:val="000000"/>
                <w:kern w:val="0"/>
                <w:sz w:val="24"/>
                <w:szCs w:val="24"/>
                <w:u w:val="single"/>
                <w:lang w:val="en-US" w:eastAsia="zh-CN" w:bidi="ar"/>
              </w:rPr>
              <w:t>2.5m</w:t>
            </w:r>
            <w:r>
              <w:rPr>
                <w:rFonts w:hint="eastAsia" w:ascii="宋体" w:hAnsi="宋体" w:eastAsia="宋体" w:cs="宋体"/>
                <w:color w:val="000000"/>
                <w:kern w:val="0"/>
                <w:sz w:val="24"/>
                <w:szCs w:val="24"/>
                <w:u w:val="single"/>
                <w:lang w:val="en-US" w:eastAsia="zh-CN" w:bidi="ar"/>
              </w:rPr>
              <w:t>，一般施工现场围挡高度不得低于</w:t>
            </w:r>
            <w:r>
              <w:rPr>
                <w:rFonts w:hint="default" w:ascii="Times New Roman" w:hAnsi="Times New Roman" w:eastAsia="宋体" w:cs="Times New Roman"/>
                <w:color w:val="000000"/>
                <w:kern w:val="0"/>
                <w:sz w:val="24"/>
                <w:szCs w:val="24"/>
                <w:u w:val="single"/>
                <w:lang w:val="en-US" w:eastAsia="zh-CN" w:bidi="ar"/>
              </w:rPr>
              <w:t>1.8m</w:t>
            </w:r>
            <w:r>
              <w:rPr>
                <w:rFonts w:hint="eastAsia" w:ascii="宋体" w:hAnsi="宋体" w:eastAsia="宋体" w:cs="宋体"/>
                <w:color w:val="000000"/>
                <w:kern w:val="0"/>
                <w:sz w:val="24"/>
                <w:szCs w:val="24"/>
                <w:u w:val="single"/>
                <w:lang w:val="en-US" w:eastAsia="zh-CN" w:bidi="ar"/>
              </w:rPr>
              <w:t>。</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③施工现场出入口道路实施混凝土硬化并配备车辆冲洗设施。对驶出施工现场的机动车辆冲洗干净，方可上路。</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④施工现场内道路、加工区实施混凝土硬化。硬化后的地面，不得有浮土、积土，裸露场地应当采取覆盖或绿化措施。</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⑤施工现场设置洒水降尘设施，安排专人定时洒水降尘。</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⑥渣土等建筑垃圾集中、分类堆放，严密遮盖，采用封闭式或装袋清运，严禁高处</w:t>
            </w:r>
            <w:r>
              <w:rPr>
                <w:rFonts w:hint="eastAsia" w:ascii="宋体" w:hAnsi="宋体" w:cs="宋体"/>
                <w:color w:val="000000"/>
                <w:kern w:val="0"/>
                <w:sz w:val="24"/>
                <w:szCs w:val="24"/>
                <w:u w:val="single"/>
                <w:lang w:val="en-US" w:eastAsia="zh-CN" w:bidi="ar"/>
              </w:rPr>
              <w:t>抛撒</w:t>
            </w:r>
            <w:r>
              <w:rPr>
                <w:rFonts w:hint="eastAsia" w:ascii="宋体" w:hAnsi="宋体" w:eastAsia="宋体" w:cs="宋体"/>
                <w:color w:val="000000"/>
                <w:kern w:val="0"/>
                <w:sz w:val="24"/>
                <w:szCs w:val="24"/>
                <w:u w:val="single"/>
                <w:lang w:val="en-US" w:eastAsia="zh-CN" w:bidi="ar"/>
              </w:rPr>
              <w:t>。需要运输、处理的，按照</w:t>
            </w:r>
            <w:r>
              <w:rPr>
                <w:rFonts w:hint="eastAsia" w:ascii="宋体" w:hAnsi="宋体" w:cs="宋体"/>
                <w:color w:val="000000"/>
                <w:kern w:val="0"/>
                <w:sz w:val="24"/>
                <w:szCs w:val="24"/>
                <w:u w:val="single"/>
                <w:lang w:val="en-US" w:eastAsia="zh-CN" w:bidi="ar"/>
              </w:rPr>
              <w:t>岳阳市</w:t>
            </w:r>
            <w:r>
              <w:rPr>
                <w:rFonts w:hint="eastAsia" w:ascii="宋体" w:hAnsi="宋体" w:eastAsia="宋体" w:cs="宋体"/>
                <w:color w:val="000000"/>
                <w:kern w:val="0"/>
                <w:sz w:val="24"/>
                <w:szCs w:val="24"/>
                <w:u w:val="single"/>
                <w:lang w:val="en-US" w:eastAsia="zh-CN" w:bidi="ar"/>
              </w:rPr>
              <w:t>政府市容环境卫生行政主管部门规定的时间、线路和要求，清运到指定的场所处理。</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⑦施工现场禁止焚烧沥青、油毡、橡胶、塑料、皮革、垃圾以及其他产生有毒有害烟尘和恶臭气体的物质。</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⑧施工现场使用商品混凝土和预拌砂浆，搅拌混凝土和砂浆采取封闭、降尘措施。</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⑨运进或运出工地的土方、砂石、建筑垃圾等易产生扬尘的材料，应采取封闭运输。</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⑩根据《岳阳市重污染天气应急预案》启动</w:t>
            </w:r>
            <w:r>
              <w:rPr>
                <w:rFonts w:hint="default" w:ascii="Times New Roman" w:hAnsi="Times New Roman" w:eastAsia="宋体" w:cs="Times New Roman"/>
                <w:color w:val="000000"/>
                <w:kern w:val="0"/>
                <w:sz w:val="24"/>
                <w:szCs w:val="24"/>
                <w:u w:val="single"/>
                <w:lang w:val="en-US" w:eastAsia="zh-CN" w:bidi="ar"/>
              </w:rPr>
              <w:t>Ⅲ</w:t>
            </w:r>
            <w:r>
              <w:rPr>
                <w:rFonts w:hint="eastAsia" w:ascii="宋体" w:hAnsi="宋体" w:eastAsia="宋体" w:cs="宋体"/>
                <w:color w:val="000000"/>
                <w:kern w:val="0"/>
                <w:sz w:val="24"/>
                <w:szCs w:val="24"/>
                <w:u w:val="single"/>
                <w:lang w:val="en-US" w:eastAsia="zh-CN" w:bidi="ar"/>
              </w:rPr>
              <w:t>级（黄色）预警以上或气象预报风速达到五级以上时，不得进行土方挖填和转运、拆除、道路路面鼓风机吹灰等易产生扬尘的作业。</w:t>
            </w:r>
          </w:p>
          <w:p>
            <w:pPr>
              <w:keepNext w:val="0"/>
              <w:keepLines w:val="0"/>
              <w:widowControl/>
              <w:suppressLineNumbers w:val="0"/>
              <w:jc w:val="left"/>
              <w:rPr>
                <w:u w:val="single"/>
              </w:rPr>
            </w:pPr>
            <w:r>
              <w:rPr>
                <w:rFonts w:hint="eastAsia" w:ascii="宋体" w:hAnsi="宋体" w:eastAsia="宋体" w:cs="宋体"/>
                <w:b/>
                <w:bCs/>
                <w:color w:val="000000"/>
                <w:kern w:val="0"/>
                <w:sz w:val="24"/>
                <w:szCs w:val="24"/>
                <w:u w:val="single"/>
                <w:lang w:val="en-US" w:eastAsia="zh-CN" w:bidi="ar"/>
              </w:rPr>
              <w:t xml:space="preserve">建筑工地扬尘污染“六个百分百” </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根据当前对建筑施工现场扬尘治理的要求，施工现场须做到以下方面：</w:t>
            </w:r>
          </w:p>
          <w:p>
            <w:pPr>
              <w:keepNext w:val="0"/>
              <w:keepLines w:val="0"/>
              <w:widowControl/>
              <w:suppressLineNumbers w:val="0"/>
              <w:jc w:val="left"/>
              <w:rPr>
                <w:u w:val="single"/>
              </w:rPr>
            </w:pPr>
            <w:r>
              <w:rPr>
                <w:rFonts w:hint="default" w:ascii="Times New Roman" w:hAnsi="Times New Roman" w:eastAsia="宋体" w:cs="Times New Roman"/>
                <w:color w:val="000000"/>
                <w:kern w:val="0"/>
                <w:sz w:val="24"/>
                <w:szCs w:val="24"/>
                <w:u w:val="single"/>
                <w:lang w:val="en-US" w:eastAsia="zh-CN" w:bidi="ar"/>
              </w:rPr>
              <w:t>●</w:t>
            </w:r>
            <w:r>
              <w:rPr>
                <w:rFonts w:hint="eastAsia" w:ascii="宋体" w:hAnsi="宋体" w:eastAsia="宋体" w:cs="宋体"/>
                <w:color w:val="000000"/>
                <w:kern w:val="0"/>
                <w:sz w:val="24"/>
                <w:szCs w:val="24"/>
                <w:u w:val="single"/>
                <w:lang w:val="en-US" w:eastAsia="zh-CN" w:bidi="ar"/>
              </w:rPr>
              <w:t>工地周边</w:t>
            </w:r>
            <w:r>
              <w:rPr>
                <w:rFonts w:hint="default" w:ascii="Times New Roman" w:hAnsi="Times New Roman" w:eastAsia="宋体" w:cs="Times New Roman"/>
                <w:color w:val="000000"/>
                <w:kern w:val="0"/>
                <w:sz w:val="24"/>
                <w:szCs w:val="24"/>
                <w:u w:val="single"/>
                <w:lang w:val="en-US" w:eastAsia="zh-CN" w:bidi="ar"/>
              </w:rPr>
              <w:t>100%</w:t>
            </w:r>
            <w:r>
              <w:rPr>
                <w:rFonts w:hint="eastAsia" w:ascii="宋体" w:hAnsi="宋体" w:eastAsia="宋体" w:cs="宋体"/>
                <w:color w:val="000000"/>
                <w:kern w:val="0"/>
                <w:sz w:val="24"/>
                <w:szCs w:val="24"/>
                <w:u w:val="single"/>
                <w:lang w:val="en-US" w:eastAsia="zh-CN" w:bidi="ar"/>
              </w:rPr>
              <w:t xml:space="preserve">围挡 </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 xml:space="preserve">施工现场硬质围挡应连续设置，城区主要路段工地围挡高度不低于 </w:t>
            </w:r>
            <w:r>
              <w:rPr>
                <w:rFonts w:hint="default" w:ascii="Times New Roman" w:hAnsi="Times New Roman" w:eastAsia="宋体" w:cs="Times New Roman"/>
                <w:color w:val="000000"/>
                <w:kern w:val="0"/>
                <w:sz w:val="24"/>
                <w:szCs w:val="24"/>
                <w:u w:val="single"/>
                <w:lang w:val="en-US" w:eastAsia="zh-CN" w:bidi="ar"/>
              </w:rPr>
              <w:t>2.5m</w:t>
            </w:r>
            <w:r>
              <w:rPr>
                <w:rFonts w:hint="eastAsia" w:ascii="宋体" w:hAnsi="宋体" w:eastAsia="宋体" w:cs="宋体"/>
                <w:color w:val="000000"/>
                <w:kern w:val="0"/>
                <w:sz w:val="24"/>
                <w:szCs w:val="24"/>
                <w:u w:val="single"/>
                <w:lang w:val="en-US" w:eastAsia="zh-CN" w:bidi="ar"/>
              </w:rPr>
              <w:t>，一般路段的工地不低于</w:t>
            </w:r>
            <w:r>
              <w:rPr>
                <w:rFonts w:hint="default" w:ascii="Times New Roman" w:hAnsi="Times New Roman" w:eastAsia="宋体" w:cs="Times New Roman"/>
                <w:color w:val="000000"/>
                <w:kern w:val="0"/>
                <w:sz w:val="24"/>
                <w:szCs w:val="24"/>
                <w:u w:val="single"/>
                <w:lang w:val="en-US" w:eastAsia="zh-CN" w:bidi="ar"/>
              </w:rPr>
              <w:t>1.8m</w:t>
            </w:r>
            <w:r>
              <w:rPr>
                <w:rFonts w:hint="eastAsia" w:ascii="宋体" w:hAnsi="宋体" w:eastAsia="宋体" w:cs="宋体"/>
                <w:color w:val="000000"/>
                <w:kern w:val="0"/>
                <w:sz w:val="24"/>
                <w:szCs w:val="24"/>
                <w:u w:val="single"/>
                <w:lang w:val="en-US" w:eastAsia="zh-CN" w:bidi="ar"/>
              </w:rPr>
              <w:t>，做到坚固、平稳、整洁、美观。在建工程外立面应用安全网实现全封闭围护。</w:t>
            </w:r>
          </w:p>
          <w:p>
            <w:pPr>
              <w:keepNext w:val="0"/>
              <w:keepLines w:val="0"/>
              <w:widowControl/>
              <w:suppressLineNumbers w:val="0"/>
              <w:jc w:val="left"/>
              <w:rPr>
                <w:u w:val="single"/>
              </w:rPr>
            </w:pPr>
            <w:r>
              <w:rPr>
                <w:rFonts w:hint="default" w:ascii="Times New Roman" w:hAnsi="Times New Roman" w:eastAsia="宋体" w:cs="Times New Roman"/>
                <w:color w:val="000000"/>
                <w:kern w:val="0"/>
                <w:sz w:val="24"/>
                <w:szCs w:val="24"/>
                <w:u w:val="single"/>
                <w:lang w:val="en-US" w:eastAsia="zh-CN" w:bidi="ar"/>
              </w:rPr>
              <w:t xml:space="preserve">● </w:t>
            </w:r>
            <w:r>
              <w:rPr>
                <w:rFonts w:hint="eastAsia" w:ascii="宋体" w:hAnsi="宋体" w:eastAsia="宋体" w:cs="宋体"/>
                <w:color w:val="000000"/>
                <w:kern w:val="0"/>
                <w:sz w:val="24"/>
                <w:szCs w:val="24"/>
                <w:u w:val="single"/>
                <w:lang w:val="en-US" w:eastAsia="zh-CN" w:bidi="ar"/>
              </w:rPr>
              <w:t>物料堆放</w:t>
            </w:r>
            <w:r>
              <w:rPr>
                <w:rFonts w:hint="default" w:ascii="Times New Roman" w:hAnsi="Times New Roman" w:eastAsia="宋体" w:cs="Times New Roman"/>
                <w:color w:val="000000"/>
                <w:kern w:val="0"/>
                <w:sz w:val="24"/>
                <w:szCs w:val="24"/>
                <w:u w:val="single"/>
                <w:lang w:val="en-US" w:eastAsia="zh-CN" w:bidi="ar"/>
              </w:rPr>
              <w:t>100%</w:t>
            </w:r>
            <w:r>
              <w:rPr>
                <w:rFonts w:hint="eastAsia" w:ascii="宋体" w:hAnsi="宋体" w:eastAsia="宋体" w:cs="宋体"/>
                <w:color w:val="000000"/>
                <w:kern w:val="0"/>
                <w:sz w:val="24"/>
                <w:szCs w:val="24"/>
                <w:u w:val="single"/>
                <w:lang w:val="en-US" w:eastAsia="zh-CN" w:bidi="ar"/>
              </w:rPr>
              <w:t xml:space="preserve">覆盖 </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 xml:space="preserve">易产生扬尘的建筑材料、渣土应采取密闭搬运、存储或采用防尘布苫盖等防尘措施。严禁熔融沥青、焚烧垃圾等有毒有害物质，禁止无牌无证车辆进入施工现场。 </w:t>
            </w:r>
          </w:p>
          <w:p>
            <w:pPr>
              <w:keepNext w:val="0"/>
              <w:keepLines w:val="0"/>
              <w:widowControl/>
              <w:suppressLineNumbers w:val="0"/>
              <w:jc w:val="left"/>
              <w:rPr>
                <w:u w:val="single"/>
              </w:rPr>
            </w:pPr>
            <w:r>
              <w:rPr>
                <w:rFonts w:hint="default" w:ascii="Times New Roman" w:hAnsi="Times New Roman" w:eastAsia="宋体" w:cs="Times New Roman"/>
                <w:color w:val="000000"/>
                <w:kern w:val="0"/>
                <w:sz w:val="24"/>
                <w:szCs w:val="24"/>
                <w:u w:val="single"/>
                <w:lang w:val="en-US" w:eastAsia="zh-CN" w:bidi="ar"/>
              </w:rPr>
              <w:t xml:space="preserve">● </w:t>
            </w:r>
            <w:r>
              <w:rPr>
                <w:rFonts w:hint="eastAsia" w:ascii="宋体" w:hAnsi="宋体" w:eastAsia="宋体" w:cs="宋体"/>
                <w:color w:val="000000"/>
                <w:kern w:val="0"/>
                <w:sz w:val="24"/>
                <w:szCs w:val="24"/>
                <w:u w:val="single"/>
                <w:lang w:val="en-US" w:eastAsia="zh-CN" w:bidi="ar"/>
              </w:rPr>
              <w:t>出入车辆</w:t>
            </w:r>
            <w:r>
              <w:rPr>
                <w:rFonts w:hint="default" w:ascii="Times New Roman" w:hAnsi="Times New Roman" w:eastAsia="宋体" w:cs="Times New Roman"/>
                <w:color w:val="000000"/>
                <w:kern w:val="0"/>
                <w:sz w:val="24"/>
                <w:szCs w:val="24"/>
                <w:u w:val="single"/>
                <w:lang w:val="en-US" w:eastAsia="zh-CN" w:bidi="ar"/>
              </w:rPr>
              <w:t>100%</w:t>
            </w:r>
            <w:r>
              <w:rPr>
                <w:rFonts w:hint="eastAsia" w:ascii="宋体" w:hAnsi="宋体" w:eastAsia="宋体" w:cs="宋体"/>
                <w:color w:val="000000"/>
                <w:kern w:val="0"/>
                <w:sz w:val="24"/>
                <w:szCs w:val="24"/>
                <w:u w:val="single"/>
                <w:lang w:val="en-US" w:eastAsia="zh-CN" w:bidi="ar"/>
              </w:rPr>
              <w:t xml:space="preserve">冲洗 </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施工现场出入口处设置自动车辆冲洗装置和沉淀池，运输车辆底盘和车轮冲洗干净后方可驶离施工现场。</w:t>
            </w:r>
          </w:p>
          <w:p>
            <w:pPr>
              <w:keepNext w:val="0"/>
              <w:keepLines w:val="0"/>
              <w:widowControl/>
              <w:suppressLineNumbers w:val="0"/>
              <w:jc w:val="left"/>
              <w:rPr>
                <w:u w:val="single"/>
              </w:rPr>
            </w:pPr>
            <w:r>
              <w:rPr>
                <w:rFonts w:hint="default" w:ascii="Times New Roman" w:hAnsi="Times New Roman" w:eastAsia="宋体" w:cs="Times New Roman"/>
                <w:color w:val="000000"/>
                <w:kern w:val="0"/>
                <w:sz w:val="24"/>
                <w:szCs w:val="24"/>
                <w:u w:val="single"/>
                <w:lang w:val="en-US" w:eastAsia="zh-CN" w:bidi="ar"/>
              </w:rPr>
              <w:t xml:space="preserve">● </w:t>
            </w:r>
            <w:r>
              <w:rPr>
                <w:rFonts w:hint="eastAsia" w:ascii="宋体" w:hAnsi="宋体" w:eastAsia="宋体" w:cs="宋体"/>
                <w:color w:val="000000"/>
                <w:kern w:val="0"/>
                <w:sz w:val="24"/>
                <w:szCs w:val="24"/>
                <w:u w:val="single"/>
                <w:lang w:val="en-US" w:eastAsia="zh-CN" w:bidi="ar"/>
              </w:rPr>
              <w:t>施工现场地面</w:t>
            </w:r>
            <w:r>
              <w:rPr>
                <w:rFonts w:hint="default" w:ascii="Times New Roman" w:hAnsi="Times New Roman" w:eastAsia="宋体" w:cs="Times New Roman"/>
                <w:color w:val="000000"/>
                <w:kern w:val="0"/>
                <w:sz w:val="24"/>
                <w:szCs w:val="24"/>
                <w:u w:val="single"/>
                <w:lang w:val="en-US" w:eastAsia="zh-CN" w:bidi="ar"/>
              </w:rPr>
              <w:t>100%</w:t>
            </w:r>
            <w:r>
              <w:rPr>
                <w:rFonts w:hint="eastAsia" w:ascii="宋体" w:hAnsi="宋体" w:eastAsia="宋体" w:cs="宋体"/>
                <w:color w:val="000000"/>
                <w:kern w:val="0"/>
                <w:sz w:val="24"/>
                <w:szCs w:val="24"/>
                <w:u w:val="single"/>
                <w:lang w:val="en-US" w:eastAsia="zh-CN" w:bidi="ar"/>
              </w:rPr>
              <w:t>硬化</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 xml:space="preserve">主要通道、进出道路、材料加工区及办公生活区地面进行硬化处理。 </w:t>
            </w:r>
          </w:p>
          <w:p>
            <w:pPr>
              <w:keepNext w:val="0"/>
              <w:keepLines w:val="0"/>
              <w:widowControl/>
              <w:suppressLineNumbers w:val="0"/>
              <w:jc w:val="left"/>
              <w:rPr>
                <w:u w:val="single"/>
              </w:rPr>
            </w:pPr>
            <w:r>
              <w:rPr>
                <w:rFonts w:hint="default" w:ascii="Times New Roman" w:hAnsi="Times New Roman" w:eastAsia="宋体" w:cs="Times New Roman"/>
                <w:color w:val="000000"/>
                <w:kern w:val="0"/>
                <w:sz w:val="24"/>
                <w:szCs w:val="24"/>
                <w:u w:val="single"/>
                <w:lang w:val="en-US" w:eastAsia="zh-CN" w:bidi="ar"/>
              </w:rPr>
              <w:t xml:space="preserve">● </w:t>
            </w:r>
            <w:r>
              <w:rPr>
                <w:rFonts w:hint="eastAsia" w:ascii="宋体" w:hAnsi="宋体" w:eastAsia="宋体" w:cs="宋体"/>
                <w:color w:val="000000"/>
                <w:kern w:val="0"/>
                <w:sz w:val="24"/>
                <w:szCs w:val="24"/>
                <w:u w:val="single"/>
                <w:lang w:val="en-US" w:eastAsia="zh-CN" w:bidi="ar"/>
              </w:rPr>
              <w:t xml:space="preserve">拆迁工地 </w:t>
            </w:r>
            <w:r>
              <w:rPr>
                <w:rFonts w:hint="default" w:ascii="Times New Roman" w:hAnsi="Times New Roman" w:eastAsia="宋体" w:cs="Times New Roman"/>
                <w:color w:val="000000"/>
                <w:kern w:val="0"/>
                <w:sz w:val="24"/>
                <w:szCs w:val="24"/>
                <w:u w:val="single"/>
                <w:lang w:val="en-US" w:eastAsia="zh-CN" w:bidi="ar"/>
              </w:rPr>
              <w:t>100%</w:t>
            </w:r>
            <w:r>
              <w:rPr>
                <w:rFonts w:hint="eastAsia" w:ascii="宋体" w:hAnsi="宋体" w:eastAsia="宋体" w:cs="宋体"/>
                <w:color w:val="000000"/>
                <w:kern w:val="0"/>
                <w:sz w:val="24"/>
                <w:szCs w:val="24"/>
                <w:u w:val="single"/>
                <w:lang w:val="en-US" w:eastAsia="zh-CN" w:bidi="ar"/>
              </w:rPr>
              <w:t xml:space="preserve">湿法作业 </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施工现场设专人负责卫生保洁，每天上午、下午各进行二次洒水降尘，遇到干旱和大风天气时，应增加洒水降尘次数，确保无浮土扬尘。开挖、回填等土方作业时，要辅以洒水压尘等措施。工程竣工后，施工现场的临设、围挡、垃圾等必须及时清理完毕，清理时必须采取有效的降尘措施。</w:t>
            </w:r>
          </w:p>
          <w:p>
            <w:pPr>
              <w:keepNext w:val="0"/>
              <w:keepLines w:val="0"/>
              <w:widowControl/>
              <w:suppressLineNumbers w:val="0"/>
              <w:jc w:val="left"/>
              <w:rPr>
                <w:u w:val="single"/>
              </w:rPr>
            </w:pPr>
            <w:r>
              <w:rPr>
                <w:rFonts w:hint="default" w:ascii="Times New Roman" w:hAnsi="Times New Roman" w:eastAsia="宋体" w:cs="Times New Roman"/>
                <w:color w:val="000000"/>
                <w:kern w:val="0"/>
                <w:sz w:val="24"/>
                <w:szCs w:val="24"/>
                <w:u w:val="single"/>
                <w:lang w:val="en-US" w:eastAsia="zh-CN" w:bidi="ar"/>
              </w:rPr>
              <w:t xml:space="preserve">● </w:t>
            </w:r>
            <w:r>
              <w:rPr>
                <w:rFonts w:hint="eastAsia" w:ascii="宋体" w:hAnsi="宋体" w:eastAsia="宋体" w:cs="宋体"/>
                <w:color w:val="000000"/>
                <w:kern w:val="0"/>
                <w:sz w:val="24"/>
                <w:szCs w:val="24"/>
                <w:u w:val="single"/>
                <w:lang w:val="en-US" w:eastAsia="zh-CN" w:bidi="ar"/>
              </w:rPr>
              <w:t>渣土车辆</w:t>
            </w:r>
            <w:r>
              <w:rPr>
                <w:rFonts w:hint="default" w:ascii="Times New Roman" w:hAnsi="Times New Roman" w:eastAsia="宋体" w:cs="Times New Roman"/>
                <w:color w:val="000000"/>
                <w:kern w:val="0"/>
                <w:sz w:val="24"/>
                <w:szCs w:val="24"/>
                <w:u w:val="single"/>
                <w:lang w:val="en-US" w:eastAsia="zh-CN" w:bidi="ar"/>
              </w:rPr>
              <w:t>100%</w:t>
            </w:r>
            <w:r>
              <w:rPr>
                <w:rFonts w:hint="eastAsia" w:ascii="宋体" w:hAnsi="宋体" w:eastAsia="宋体" w:cs="宋体"/>
                <w:color w:val="000000"/>
                <w:kern w:val="0"/>
                <w:sz w:val="24"/>
                <w:szCs w:val="24"/>
                <w:u w:val="single"/>
                <w:lang w:val="en-US" w:eastAsia="zh-CN" w:bidi="ar"/>
              </w:rPr>
              <w:t>密闭运输</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施工现场内裸露的场地和集中堆放的土方应采取覆盖、固化或绿化等防尘措施</w:t>
            </w:r>
            <w:r>
              <w:rPr>
                <w:rFonts w:hint="eastAsia" w:ascii="宋体" w:hAnsi="宋体" w:cs="宋体"/>
                <w:color w:val="000000"/>
                <w:kern w:val="0"/>
                <w:sz w:val="24"/>
                <w:szCs w:val="24"/>
                <w:u w:val="single"/>
                <w:lang w:val="en-US" w:eastAsia="zh-CN" w:bidi="ar"/>
              </w:rPr>
              <w:t>，</w:t>
            </w:r>
            <w:r>
              <w:rPr>
                <w:rFonts w:hint="eastAsia" w:ascii="宋体" w:hAnsi="宋体" w:eastAsia="宋体" w:cs="宋体"/>
                <w:color w:val="000000"/>
                <w:kern w:val="0"/>
                <w:sz w:val="24"/>
                <w:szCs w:val="24"/>
                <w:u w:val="single"/>
                <w:lang w:val="en-US" w:eastAsia="zh-CN" w:bidi="ar"/>
              </w:rPr>
              <w:t>易产生扬尘的物料要</w:t>
            </w:r>
            <w:r>
              <w:rPr>
                <w:rFonts w:hint="eastAsia" w:ascii="宋体" w:hAnsi="宋体" w:cs="宋体"/>
                <w:color w:val="000000"/>
                <w:kern w:val="0"/>
                <w:sz w:val="24"/>
                <w:szCs w:val="24"/>
                <w:u w:val="single"/>
                <w:lang w:val="en-US" w:eastAsia="zh-CN" w:bidi="ar"/>
              </w:rPr>
              <w:t>苫盖</w:t>
            </w:r>
            <w:r>
              <w:rPr>
                <w:rFonts w:hint="eastAsia" w:ascii="宋体" w:hAnsi="宋体" w:eastAsia="宋体" w:cs="宋体"/>
                <w:color w:val="000000"/>
                <w:kern w:val="0"/>
                <w:sz w:val="24"/>
                <w:szCs w:val="24"/>
                <w:u w:val="single"/>
                <w:lang w:val="en-US" w:eastAsia="zh-CN" w:bidi="ar"/>
              </w:rPr>
              <w:t>。</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采用上述防治措施后，拟建项目施工期废气对周边环境的影响将有效减小。</w:t>
            </w:r>
          </w:p>
          <w:p>
            <w:pPr>
              <w:keepNext w:val="0"/>
              <w:keepLines w:val="0"/>
              <w:widowControl/>
              <w:suppressLineNumbers w:val="0"/>
              <w:jc w:val="left"/>
              <w:rPr>
                <w:u w:val="single"/>
              </w:rPr>
            </w:pPr>
            <w:r>
              <w:rPr>
                <w:rFonts w:hint="default" w:ascii="Times New Roman" w:hAnsi="Times New Roman" w:eastAsia="宋体" w:cs="Times New Roman"/>
                <w:b/>
                <w:bCs/>
                <w:color w:val="000000"/>
                <w:kern w:val="0"/>
                <w:sz w:val="24"/>
                <w:szCs w:val="24"/>
                <w:u w:val="single"/>
                <w:lang w:val="en-US" w:eastAsia="zh-CN" w:bidi="ar"/>
              </w:rPr>
              <w:t>2</w:t>
            </w:r>
            <w:r>
              <w:rPr>
                <w:rFonts w:hint="eastAsia" w:ascii="宋体" w:hAnsi="宋体" w:eastAsia="宋体" w:cs="宋体"/>
                <w:b/>
                <w:bCs/>
                <w:color w:val="000000"/>
                <w:kern w:val="0"/>
                <w:sz w:val="24"/>
                <w:szCs w:val="24"/>
                <w:u w:val="single"/>
                <w:lang w:val="en-US" w:eastAsia="zh-CN" w:bidi="ar"/>
              </w:rPr>
              <w:t>、水环境影响</w:t>
            </w:r>
            <w:r>
              <w:rPr>
                <w:rFonts w:hint="eastAsia" w:ascii="宋体" w:hAnsi="宋体" w:cs="宋体"/>
                <w:b/>
                <w:bCs/>
                <w:color w:val="000000"/>
                <w:kern w:val="0"/>
                <w:sz w:val="24"/>
                <w:szCs w:val="24"/>
                <w:u w:val="single"/>
                <w:lang w:val="en-US" w:eastAsia="zh-CN" w:bidi="ar"/>
              </w:rPr>
              <w:t>及</w:t>
            </w:r>
            <w:r>
              <w:rPr>
                <w:rFonts w:hint="eastAsia" w:ascii="宋体" w:hAnsi="宋体" w:eastAsia="宋体" w:cs="宋体"/>
                <w:b/>
                <w:bCs/>
                <w:color w:val="000000"/>
                <w:kern w:val="0"/>
                <w:sz w:val="24"/>
                <w:szCs w:val="24"/>
                <w:u w:val="single"/>
                <w:lang w:val="en-US" w:eastAsia="zh-CN" w:bidi="ar"/>
              </w:rPr>
              <w:t xml:space="preserve">措施 </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sz w:val="24"/>
                <w:szCs w:val="24"/>
                <w:u w:val="single"/>
              </w:rPr>
            </w:pPr>
            <w:r>
              <w:rPr>
                <w:sz w:val="24"/>
                <w:szCs w:val="24"/>
                <w:u w:val="single"/>
              </w:rPr>
              <w:t>施工期废水主要是来自施工废水、施工人员生活污水及暴雨地表径流。施工废水包括开挖和钻孔产生的泥浆水、机械设备运转的冷却水和洗涤水；生活污水包括施工人员的盥洗水、食堂含油污水和厕所冲刷水；暴雨地表径流冲刷浮土、建筑砂石、垃圾、弃土、不但会夹带大量泥沙，而且会携带油类、水泥和化学品等各种类污染物。</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sz w:val="24"/>
                <w:szCs w:val="24"/>
                <w:u w:val="single"/>
              </w:rPr>
            </w:pPr>
            <w:r>
              <w:rPr>
                <w:spacing w:val="-4"/>
                <w:sz w:val="24"/>
                <w:szCs w:val="24"/>
                <w:u w:val="single"/>
              </w:rPr>
              <w:t>施工废水含有的污染物主要是</w:t>
            </w:r>
            <w:r>
              <w:rPr>
                <w:rFonts w:ascii="Times New Roman" w:eastAsia="Times New Roman"/>
                <w:sz w:val="24"/>
                <w:szCs w:val="24"/>
                <w:u w:val="single"/>
              </w:rPr>
              <w:t>SS</w:t>
            </w:r>
            <w:r>
              <w:rPr>
                <w:sz w:val="24"/>
                <w:szCs w:val="24"/>
                <w:u w:val="single"/>
              </w:rPr>
              <w:t>和石油类等。这些废水可经沉砂池沉淀后用作施工、绿化或降尘用水，不外排。</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sz w:val="24"/>
                <w:szCs w:val="24"/>
                <w:u w:val="single"/>
              </w:rPr>
            </w:pPr>
            <w:r>
              <w:rPr>
                <w:spacing w:val="-5"/>
                <w:sz w:val="24"/>
                <w:szCs w:val="24"/>
                <w:u w:val="single"/>
              </w:rPr>
              <w:t>本项目施工高峰期人员约</w:t>
            </w:r>
            <w:r>
              <w:rPr>
                <w:rFonts w:ascii="Times New Roman" w:eastAsia="Times New Roman"/>
                <w:sz w:val="24"/>
                <w:szCs w:val="24"/>
                <w:u w:val="single"/>
              </w:rPr>
              <w:t>50</w:t>
            </w:r>
            <w:r>
              <w:rPr>
                <w:spacing w:val="-6"/>
                <w:sz w:val="24"/>
                <w:szCs w:val="24"/>
                <w:u w:val="single"/>
              </w:rPr>
              <w:t>人，人均日用水定额以</w:t>
            </w:r>
            <w:r>
              <w:rPr>
                <w:rFonts w:ascii="Times New Roman" w:eastAsia="Times New Roman"/>
                <w:sz w:val="24"/>
                <w:szCs w:val="24"/>
                <w:u w:val="single"/>
              </w:rPr>
              <w:t>0.15m</w:t>
            </w:r>
            <w:r>
              <w:rPr>
                <w:rFonts w:ascii="Times New Roman" w:eastAsia="Times New Roman"/>
                <w:position w:val="8"/>
                <w:sz w:val="24"/>
                <w:szCs w:val="24"/>
                <w:u w:val="single"/>
              </w:rPr>
              <w:t>3</w:t>
            </w:r>
            <w:r>
              <w:rPr>
                <w:rFonts w:ascii="Times New Roman" w:eastAsia="Times New Roman"/>
                <w:sz w:val="24"/>
                <w:szCs w:val="24"/>
                <w:u w:val="single"/>
              </w:rPr>
              <w:t xml:space="preserve">/d </w:t>
            </w:r>
            <w:r>
              <w:rPr>
                <w:sz w:val="24"/>
                <w:szCs w:val="24"/>
                <w:u w:val="single"/>
              </w:rPr>
              <w:t>计，污水产生</w:t>
            </w:r>
            <w:r>
              <w:rPr>
                <w:spacing w:val="-14"/>
                <w:sz w:val="24"/>
                <w:szCs w:val="24"/>
                <w:u w:val="single"/>
              </w:rPr>
              <w:t>系数</w:t>
            </w:r>
            <w:r>
              <w:rPr>
                <w:rFonts w:ascii="Times New Roman" w:eastAsia="Times New Roman"/>
                <w:sz w:val="24"/>
                <w:szCs w:val="24"/>
                <w:u w:val="single"/>
              </w:rPr>
              <w:t xml:space="preserve">0.8 </w:t>
            </w:r>
            <w:r>
              <w:rPr>
                <w:spacing w:val="-2"/>
                <w:sz w:val="24"/>
                <w:szCs w:val="24"/>
                <w:u w:val="single"/>
              </w:rPr>
              <w:t>计，则施工高峰期施工人员生活污水产生量为</w:t>
            </w:r>
            <w:r>
              <w:rPr>
                <w:rFonts w:ascii="Times New Roman" w:eastAsia="Times New Roman"/>
                <w:sz w:val="24"/>
                <w:szCs w:val="24"/>
                <w:u w:val="single"/>
              </w:rPr>
              <w:t>6m</w:t>
            </w:r>
            <w:r>
              <w:rPr>
                <w:rFonts w:ascii="Times New Roman" w:eastAsia="Times New Roman"/>
                <w:position w:val="8"/>
                <w:sz w:val="24"/>
                <w:szCs w:val="24"/>
                <w:u w:val="single"/>
              </w:rPr>
              <w:t>3</w:t>
            </w:r>
            <w:r>
              <w:rPr>
                <w:rFonts w:ascii="Times New Roman" w:eastAsia="Times New Roman"/>
                <w:sz w:val="24"/>
                <w:szCs w:val="24"/>
                <w:u w:val="single"/>
              </w:rPr>
              <w:t>/d</w:t>
            </w:r>
            <w:r>
              <w:rPr>
                <w:sz w:val="24"/>
                <w:szCs w:val="24"/>
                <w:u w:val="single"/>
              </w:rPr>
              <w:t>。生活污水中主要</w:t>
            </w:r>
            <w:r>
              <w:rPr>
                <w:spacing w:val="-11"/>
                <w:position w:val="2"/>
                <w:sz w:val="24"/>
                <w:szCs w:val="24"/>
                <w:u w:val="single"/>
              </w:rPr>
              <w:t>污染物为</w:t>
            </w:r>
            <w:r>
              <w:rPr>
                <w:rFonts w:ascii="Times New Roman" w:eastAsia="Times New Roman"/>
                <w:position w:val="2"/>
                <w:sz w:val="24"/>
                <w:szCs w:val="24"/>
                <w:u w:val="single"/>
              </w:rPr>
              <w:t>COD</w:t>
            </w:r>
            <w:r>
              <w:rPr>
                <w:rFonts w:ascii="Times New Roman" w:eastAsia="Times New Roman"/>
                <w:position w:val="2"/>
                <w:sz w:val="24"/>
                <w:szCs w:val="24"/>
                <w:u w:val="single"/>
                <w:vertAlign w:val="subscript"/>
              </w:rPr>
              <w:t>Cr</w:t>
            </w:r>
            <w:r>
              <w:rPr>
                <w:position w:val="2"/>
                <w:sz w:val="24"/>
                <w:szCs w:val="24"/>
                <w:u w:val="single"/>
                <w:vertAlign w:val="baseline"/>
              </w:rPr>
              <w:t>、</w:t>
            </w:r>
            <w:r>
              <w:rPr>
                <w:rFonts w:ascii="Times New Roman" w:eastAsia="Times New Roman"/>
                <w:position w:val="2"/>
                <w:sz w:val="24"/>
                <w:szCs w:val="24"/>
                <w:u w:val="single"/>
                <w:vertAlign w:val="baseline"/>
              </w:rPr>
              <w:t>BOD</w:t>
            </w:r>
            <w:r>
              <w:rPr>
                <w:rFonts w:ascii="Times New Roman" w:eastAsia="Times New Roman"/>
                <w:position w:val="2"/>
                <w:sz w:val="24"/>
                <w:szCs w:val="24"/>
                <w:u w:val="single"/>
                <w:vertAlign w:val="subscript"/>
              </w:rPr>
              <w:t>5</w:t>
            </w:r>
            <w:r>
              <w:rPr>
                <w:position w:val="2"/>
                <w:sz w:val="24"/>
                <w:szCs w:val="24"/>
                <w:u w:val="single"/>
                <w:vertAlign w:val="baseline"/>
              </w:rPr>
              <w:t>、</w:t>
            </w:r>
            <w:r>
              <w:rPr>
                <w:rFonts w:ascii="Times New Roman" w:eastAsia="Times New Roman"/>
                <w:position w:val="2"/>
                <w:sz w:val="24"/>
                <w:szCs w:val="24"/>
                <w:u w:val="single"/>
                <w:vertAlign w:val="baseline"/>
              </w:rPr>
              <w:t>SS</w:t>
            </w:r>
            <w:r>
              <w:rPr>
                <w:position w:val="2"/>
                <w:sz w:val="24"/>
                <w:szCs w:val="24"/>
                <w:u w:val="single"/>
                <w:vertAlign w:val="baseline"/>
              </w:rPr>
              <w:t>、氨氮、动植物油。生活污水经收集处理后回用于</w:t>
            </w:r>
            <w:r>
              <w:rPr>
                <w:spacing w:val="10"/>
                <w:sz w:val="24"/>
                <w:szCs w:val="24"/>
                <w:u w:val="single"/>
                <w:vertAlign w:val="baseline"/>
              </w:rPr>
              <w:t>周边</w:t>
            </w:r>
            <w:r>
              <w:rPr>
                <w:rFonts w:hint="eastAsia"/>
                <w:spacing w:val="10"/>
                <w:sz w:val="24"/>
                <w:szCs w:val="24"/>
                <w:u w:val="single"/>
                <w:vertAlign w:val="baseline"/>
                <w:lang w:val="en-US" w:eastAsia="zh-CN"/>
              </w:rPr>
              <w:t>菜地</w:t>
            </w:r>
            <w:r>
              <w:rPr>
                <w:spacing w:val="10"/>
                <w:sz w:val="24"/>
                <w:szCs w:val="24"/>
                <w:u w:val="single"/>
                <w:vertAlign w:val="baseline"/>
              </w:rPr>
              <w:t>灌溉，不外排。施工人员生活污水中主要污染物及其水质浓度如下表。</w:t>
            </w:r>
          </w:p>
          <w:p>
            <w:pPr>
              <w:spacing w:before="3" w:after="4"/>
              <w:ind w:left="2420" w:right="0" w:firstLine="0"/>
              <w:jc w:val="left"/>
              <w:rPr>
                <w:b/>
                <w:sz w:val="21"/>
                <w:u w:val="single"/>
              </w:rPr>
            </w:pPr>
            <w:r>
              <w:rPr>
                <w:b/>
                <w:sz w:val="21"/>
                <w:u w:val="single"/>
              </w:rPr>
              <w:t>表</w:t>
            </w:r>
            <w:r>
              <w:rPr>
                <w:rFonts w:hint="eastAsia" w:eastAsia="宋体"/>
                <w:b/>
                <w:sz w:val="21"/>
                <w:u w:val="single"/>
                <w:lang w:val="en-US" w:eastAsia="zh-CN"/>
              </w:rPr>
              <w:t>4-3</w:t>
            </w:r>
            <w:r>
              <w:rPr>
                <w:rFonts w:ascii="Times New Roman" w:eastAsia="Times New Roman"/>
                <w:b/>
                <w:sz w:val="21"/>
                <w:u w:val="single"/>
              </w:rPr>
              <w:t xml:space="preserve"> </w:t>
            </w:r>
            <w:r>
              <w:rPr>
                <w:b/>
                <w:sz w:val="21"/>
                <w:u w:val="single"/>
              </w:rPr>
              <w:t>施工人员生活污水污染物产生情况</w:t>
            </w:r>
          </w:p>
          <w:tbl>
            <w:tblPr>
              <w:tblStyle w:val="24"/>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54"/>
              <w:gridCol w:w="1424"/>
              <w:gridCol w:w="1426"/>
              <w:gridCol w:w="1426"/>
              <w:gridCol w:w="1426"/>
              <w:gridCol w:w="14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31" w:type="pct"/>
                </w:tcPr>
                <w:p>
                  <w:pPr>
                    <w:pStyle w:val="62"/>
                    <w:spacing w:before="63"/>
                    <w:ind w:left="165" w:right="159"/>
                    <w:jc w:val="center"/>
                    <w:rPr>
                      <w:b/>
                      <w:sz w:val="21"/>
                      <w:u w:val="single"/>
                    </w:rPr>
                  </w:pPr>
                  <w:r>
                    <w:rPr>
                      <w:b/>
                      <w:sz w:val="21"/>
                      <w:u w:val="single"/>
                    </w:rPr>
                    <w:t>项目</w:t>
                  </w:r>
                </w:p>
              </w:tc>
              <w:tc>
                <w:tcPr>
                  <w:tcW w:w="792" w:type="pct"/>
                </w:tcPr>
                <w:p>
                  <w:pPr>
                    <w:pStyle w:val="62"/>
                    <w:spacing w:before="74"/>
                    <w:ind w:left="350" w:right="340"/>
                    <w:jc w:val="center"/>
                    <w:rPr>
                      <w:rFonts w:ascii="Times New Roman"/>
                      <w:b/>
                      <w:sz w:val="21"/>
                      <w:u w:val="single"/>
                    </w:rPr>
                  </w:pPr>
                  <w:r>
                    <w:rPr>
                      <w:rFonts w:ascii="Times New Roman"/>
                      <w:b/>
                      <w:position w:val="2"/>
                      <w:sz w:val="21"/>
                      <w:u w:val="single"/>
                    </w:rPr>
                    <w:t>COD</w:t>
                  </w:r>
                  <w:r>
                    <w:rPr>
                      <w:rFonts w:ascii="Times New Roman"/>
                      <w:b/>
                      <w:position w:val="2"/>
                      <w:sz w:val="21"/>
                      <w:u w:val="single"/>
                      <w:vertAlign w:val="subscript"/>
                    </w:rPr>
                    <w:t>Cr</w:t>
                  </w:r>
                </w:p>
              </w:tc>
              <w:tc>
                <w:tcPr>
                  <w:tcW w:w="793" w:type="pct"/>
                </w:tcPr>
                <w:p>
                  <w:pPr>
                    <w:pStyle w:val="62"/>
                    <w:spacing w:before="74"/>
                    <w:ind w:left="401" w:right="392"/>
                    <w:jc w:val="center"/>
                    <w:rPr>
                      <w:rFonts w:ascii="Times New Roman"/>
                      <w:b/>
                      <w:sz w:val="21"/>
                      <w:u w:val="single"/>
                    </w:rPr>
                  </w:pPr>
                  <w:r>
                    <w:rPr>
                      <w:rFonts w:ascii="Times New Roman"/>
                      <w:b/>
                      <w:position w:val="2"/>
                      <w:sz w:val="21"/>
                      <w:u w:val="single"/>
                    </w:rPr>
                    <w:t>BOD</w:t>
                  </w:r>
                  <w:r>
                    <w:rPr>
                      <w:rFonts w:ascii="Times New Roman"/>
                      <w:b/>
                      <w:position w:val="2"/>
                      <w:sz w:val="21"/>
                      <w:u w:val="single"/>
                      <w:vertAlign w:val="subscript"/>
                    </w:rPr>
                    <w:t>5</w:t>
                  </w:r>
                </w:p>
              </w:tc>
              <w:tc>
                <w:tcPr>
                  <w:tcW w:w="793" w:type="pct"/>
                </w:tcPr>
                <w:p>
                  <w:pPr>
                    <w:pStyle w:val="62"/>
                    <w:spacing w:before="77"/>
                    <w:ind w:right="557"/>
                    <w:jc w:val="right"/>
                    <w:rPr>
                      <w:rFonts w:ascii="Times New Roman"/>
                      <w:b/>
                      <w:sz w:val="21"/>
                      <w:u w:val="single"/>
                    </w:rPr>
                  </w:pPr>
                  <w:r>
                    <w:rPr>
                      <w:rFonts w:ascii="Times New Roman"/>
                      <w:b/>
                      <w:w w:val="95"/>
                      <w:sz w:val="21"/>
                      <w:u w:val="single"/>
                    </w:rPr>
                    <w:t>SS</w:t>
                  </w:r>
                </w:p>
              </w:tc>
              <w:tc>
                <w:tcPr>
                  <w:tcW w:w="793" w:type="pct"/>
                </w:tcPr>
                <w:p>
                  <w:pPr>
                    <w:pStyle w:val="62"/>
                    <w:spacing w:before="63"/>
                    <w:ind w:left="396" w:right="392"/>
                    <w:jc w:val="center"/>
                    <w:rPr>
                      <w:b/>
                      <w:sz w:val="21"/>
                      <w:u w:val="single"/>
                    </w:rPr>
                  </w:pPr>
                  <w:r>
                    <w:rPr>
                      <w:b/>
                      <w:sz w:val="21"/>
                      <w:u w:val="single"/>
                    </w:rPr>
                    <w:t>氨氮</w:t>
                  </w:r>
                </w:p>
              </w:tc>
              <w:tc>
                <w:tcPr>
                  <w:tcW w:w="796" w:type="pct"/>
                </w:tcPr>
                <w:p>
                  <w:pPr>
                    <w:pStyle w:val="62"/>
                    <w:spacing w:before="63"/>
                    <w:ind w:left="36" w:right="26"/>
                    <w:jc w:val="center"/>
                    <w:rPr>
                      <w:b/>
                      <w:sz w:val="21"/>
                      <w:u w:val="single"/>
                    </w:rPr>
                  </w:pPr>
                  <w:r>
                    <w:rPr>
                      <w:b/>
                      <w:sz w:val="21"/>
                      <w:u w:val="single"/>
                    </w:rPr>
                    <w:t>动植物油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31" w:type="pct"/>
                </w:tcPr>
                <w:p>
                  <w:pPr>
                    <w:pStyle w:val="62"/>
                    <w:spacing w:before="62"/>
                    <w:ind w:left="168" w:right="159"/>
                    <w:jc w:val="center"/>
                    <w:rPr>
                      <w:rFonts w:ascii="Times New Roman" w:eastAsia="Times New Roman"/>
                      <w:sz w:val="21"/>
                      <w:u w:val="single"/>
                    </w:rPr>
                  </w:pPr>
                  <w:r>
                    <w:rPr>
                      <w:sz w:val="21"/>
                      <w:u w:val="single"/>
                    </w:rPr>
                    <w:t xml:space="preserve">产生浓度 </w:t>
                  </w:r>
                  <w:r>
                    <w:rPr>
                      <w:rFonts w:ascii="Times New Roman" w:eastAsia="Times New Roman"/>
                      <w:sz w:val="21"/>
                      <w:u w:val="single"/>
                    </w:rPr>
                    <w:t>mg/L</w:t>
                  </w:r>
                </w:p>
              </w:tc>
              <w:tc>
                <w:tcPr>
                  <w:tcW w:w="792" w:type="pct"/>
                </w:tcPr>
                <w:p>
                  <w:pPr>
                    <w:pStyle w:val="62"/>
                    <w:spacing w:before="75"/>
                    <w:ind w:left="348" w:right="340"/>
                    <w:jc w:val="center"/>
                    <w:rPr>
                      <w:rFonts w:ascii="Times New Roman"/>
                      <w:sz w:val="21"/>
                      <w:u w:val="single"/>
                    </w:rPr>
                  </w:pPr>
                  <w:r>
                    <w:rPr>
                      <w:rFonts w:ascii="Times New Roman"/>
                      <w:sz w:val="21"/>
                      <w:u w:val="single"/>
                    </w:rPr>
                    <w:t>350</w:t>
                  </w:r>
                </w:p>
              </w:tc>
              <w:tc>
                <w:tcPr>
                  <w:tcW w:w="793" w:type="pct"/>
                </w:tcPr>
                <w:p>
                  <w:pPr>
                    <w:pStyle w:val="62"/>
                    <w:spacing w:before="75"/>
                    <w:ind w:left="401" w:right="390"/>
                    <w:jc w:val="center"/>
                    <w:rPr>
                      <w:rFonts w:ascii="Times New Roman"/>
                      <w:sz w:val="21"/>
                      <w:u w:val="single"/>
                    </w:rPr>
                  </w:pPr>
                  <w:r>
                    <w:rPr>
                      <w:rFonts w:ascii="Times New Roman"/>
                      <w:sz w:val="21"/>
                      <w:u w:val="single"/>
                    </w:rPr>
                    <w:t>200</w:t>
                  </w:r>
                </w:p>
              </w:tc>
              <w:tc>
                <w:tcPr>
                  <w:tcW w:w="793" w:type="pct"/>
                </w:tcPr>
                <w:p>
                  <w:pPr>
                    <w:pStyle w:val="62"/>
                    <w:spacing w:before="75"/>
                    <w:ind w:right="514"/>
                    <w:jc w:val="right"/>
                    <w:rPr>
                      <w:rFonts w:ascii="Times New Roman"/>
                      <w:sz w:val="21"/>
                      <w:u w:val="single"/>
                    </w:rPr>
                  </w:pPr>
                  <w:r>
                    <w:rPr>
                      <w:rFonts w:ascii="Times New Roman"/>
                      <w:sz w:val="21"/>
                      <w:u w:val="single"/>
                    </w:rPr>
                    <w:t>220</w:t>
                  </w:r>
                </w:p>
              </w:tc>
              <w:tc>
                <w:tcPr>
                  <w:tcW w:w="793" w:type="pct"/>
                </w:tcPr>
                <w:p>
                  <w:pPr>
                    <w:pStyle w:val="62"/>
                    <w:spacing w:before="75"/>
                    <w:ind w:left="401" w:right="391"/>
                    <w:jc w:val="center"/>
                    <w:rPr>
                      <w:rFonts w:ascii="Times New Roman"/>
                      <w:sz w:val="21"/>
                      <w:u w:val="single"/>
                    </w:rPr>
                  </w:pPr>
                  <w:r>
                    <w:rPr>
                      <w:rFonts w:ascii="Times New Roman"/>
                      <w:sz w:val="21"/>
                      <w:u w:val="single"/>
                    </w:rPr>
                    <w:t>30</w:t>
                  </w:r>
                </w:p>
              </w:tc>
              <w:tc>
                <w:tcPr>
                  <w:tcW w:w="796" w:type="pct"/>
                </w:tcPr>
                <w:p>
                  <w:pPr>
                    <w:pStyle w:val="62"/>
                    <w:spacing w:before="75"/>
                    <w:ind w:left="36" w:right="30"/>
                    <w:jc w:val="center"/>
                    <w:rPr>
                      <w:rFonts w:ascii="Times New Roman"/>
                      <w:sz w:val="21"/>
                      <w:u w:val="single"/>
                    </w:rPr>
                  </w:pPr>
                  <w:r>
                    <w:rPr>
                      <w:rFonts w:ascii="Times New Roman"/>
                      <w:sz w:val="21"/>
                      <w:u w:val="single"/>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031" w:type="pct"/>
                </w:tcPr>
                <w:p>
                  <w:pPr>
                    <w:pStyle w:val="62"/>
                    <w:spacing w:before="62"/>
                    <w:ind w:left="164" w:right="159"/>
                    <w:jc w:val="center"/>
                    <w:rPr>
                      <w:rFonts w:ascii="Times New Roman" w:eastAsia="Times New Roman"/>
                      <w:sz w:val="21"/>
                      <w:u w:val="single"/>
                    </w:rPr>
                  </w:pPr>
                  <w:r>
                    <w:rPr>
                      <w:sz w:val="21"/>
                      <w:u w:val="single"/>
                    </w:rPr>
                    <w:t xml:space="preserve">产生量 </w:t>
                  </w:r>
                  <w:r>
                    <w:rPr>
                      <w:rFonts w:ascii="Times New Roman" w:eastAsia="Times New Roman"/>
                      <w:sz w:val="21"/>
                      <w:u w:val="single"/>
                    </w:rPr>
                    <w:t>kg/d</w:t>
                  </w:r>
                </w:p>
              </w:tc>
              <w:tc>
                <w:tcPr>
                  <w:tcW w:w="792" w:type="pct"/>
                </w:tcPr>
                <w:p>
                  <w:pPr>
                    <w:pStyle w:val="62"/>
                    <w:spacing w:before="76"/>
                    <w:ind w:left="348" w:right="340"/>
                    <w:jc w:val="center"/>
                    <w:rPr>
                      <w:rFonts w:ascii="Times New Roman"/>
                      <w:sz w:val="21"/>
                      <w:u w:val="single"/>
                    </w:rPr>
                  </w:pPr>
                  <w:r>
                    <w:rPr>
                      <w:rFonts w:ascii="Times New Roman"/>
                      <w:sz w:val="21"/>
                      <w:u w:val="single"/>
                    </w:rPr>
                    <w:t>2.1</w:t>
                  </w:r>
                </w:p>
              </w:tc>
              <w:tc>
                <w:tcPr>
                  <w:tcW w:w="793" w:type="pct"/>
                </w:tcPr>
                <w:p>
                  <w:pPr>
                    <w:pStyle w:val="62"/>
                    <w:spacing w:before="76"/>
                    <w:ind w:left="401" w:right="390"/>
                    <w:jc w:val="center"/>
                    <w:rPr>
                      <w:rFonts w:ascii="Times New Roman"/>
                      <w:sz w:val="21"/>
                      <w:u w:val="single"/>
                    </w:rPr>
                  </w:pPr>
                  <w:r>
                    <w:rPr>
                      <w:rFonts w:ascii="Times New Roman"/>
                      <w:sz w:val="21"/>
                      <w:u w:val="single"/>
                    </w:rPr>
                    <w:t>1.2</w:t>
                  </w:r>
                </w:p>
              </w:tc>
              <w:tc>
                <w:tcPr>
                  <w:tcW w:w="793" w:type="pct"/>
                </w:tcPr>
                <w:p>
                  <w:pPr>
                    <w:pStyle w:val="62"/>
                    <w:spacing w:before="76"/>
                    <w:ind w:right="487"/>
                    <w:jc w:val="right"/>
                    <w:rPr>
                      <w:rFonts w:ascii="Times New Roman"/>
                      <w:sz w:val="21"/>
                      <w:u w:val="single"/>
                    </w:rPr>
                  </w:pPr>
                  <w:r>
                    <w:rPr>
                      <w:rFonts w:ascii="Times New Roman"/>
                      <w:sz w:val="21"/>
                      <w:u w:val="single"/>
                    </w:rPr>
                    <w:t>1.32</w:t>
                  </w:r>
                </w:p>
              </w:tc>
              <w:tc>
                <w:tcPr>
                  <w:tcW w:w="793" w:type="pct"/>
                </w:tcPr>
                <w:p>
                  <w:pPr>
                    <w:pStyle w:val="62"/>
                    <w:spacing w:before="76"/>
                    <w:ind w:left="401" w:right="391"/>
                    <w:jc w:val="center"/>
                    <w:rPr>
                      <w:rFonts w:ascii="Times New Roman"/>
                      <w:sz w:val="21"/>
                      <w:u w:val="single"/>
                    </w:rPr>
                  </w:pPr>
                  <w:r>
                    <w:rPr>
                      <w:rFonts w:ascii="Times New Roman"/>
                      <w:sz w:val="21"/>
                      <w:u w:val="single"/>
                    </w:rPr>
                    <w:t>0.18</w:t>
                  </w:r>
                </w:p>
              </w:tc>
              <w:tc>
                <w:tcPr>
                  <w:tcW w:w="796" w:type="pct"/>
                </w:tcPr>
                <w:p>
                  <w:pPr>
                    <w:pStyle w:val="62"/>
                    <w:spacing w:before="76"/>
                    <w:ind w:left="36" w:right="30"/>
                    <w:jc w:val="center"/>
                    <w:rPr>
                      <w:rFonts w:ascii="Times New Roman"/>
                      <w:sz w:val="21"/>
                      <w:u w:val="single"/>
                    </w:rPr>
                  </w:pPr>
                  <w:r>
                    <w:rPr>
                      <w:rFonts w:ascii="Times New Roman"/>
                      <w:sz w:val="21"/>
                      <w:u w:val="single"/>
                    </w:rPr>
                    <w:t>0.24</w:t>
                  </w:r>
                </w:p>
              </w:tc>
            </w:tr>
          </w:tbl>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eastAsia="宋体"/>
                <w:spacing w:val="-5"/>
                <w:sz w:val="24"/>
                <w:szCs w:val="24"/>
                <w:u w:val="single"/>
              </w:rPr>
            </w:pPr>
            <w:r>
              <w:rPr>
                <w:rFonts w:eastAsia="宋体"/>
                <w:spacing w:val="-5"/>
                <w:sz w:val="24"/>
                <w:szCs w:val="24"/>
                <w:u w:val="single"/>
              </w:rPr>
              <w:t>暴雨地表径流冲刷浮土、建筑砂石、垃圾、弃土等，径流中包含各种污染物。建议建设单位应设置沉淀池对暴雨期的排水进行收集，充分沉淀处理后再外排。</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eastAsia="宋体"/>
                <w:spacing w:val="-5"/>
                <w:sz w:val="24"/>
                <w:szCs w:val="24"/>
                <w:u w:val="single"/>
              </w:rPr>
            </w:pPr>
            <w:r>
              <w:rPr>
                <w:rFonts w:eastAsia="宋体"/>
                <w:spacing w:val="-5"/>
                <w:sz w:val="24"/>
                <w:szCs w:val="24"/>
                <w:u w:val="single"/>
              </w:rPr>
              <w:t>为了防止建筑施工对周围水体产生的污染，建设单位应要求本项目的建筑施工单位严格采用以下措施，减少污染现象的发生。</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eastAsia="宋体"/>
                <w:spacing w:val="-5"/>
                <w:sz w:val="24"/>
                <w:szCs w:val="24"/>
                <w:u w:val="single"/>
              </w:rPr>
            </w:pPr>
            <w:r>
              <w:rPr>
                <w:rFonts w:eastAsia="宋体"/>
                <w:spacing w:val="-5"/>
                <w:sz w:val="24"/>
                <w:szCs w:val="24"/>
                <w:u w:val="single"/>
              </w:rPr>
              <w:t>①建设导流沟</w:t>
            </w:r>
            <w:r>
              <w:rPr>
                <w:rFonts w:hint="eastAsia"/>
                <w:spacing w:val="-5"/>
                <w:sz w:val="24"/>
                <w:szCs w:val="24"/>
                <w:u w:val="single"/>
                <w:lang w:eastAsia="zh-CN"/>
              </w:rPr>
              <w:t>：</w:t>
            </w:r>
            <w:r>
              <w:rPr>
                <w:rFonts w:eastAsia="宋体"/>
                <w:spacing w:val="-5"/>
                <w:sz w:val="24"/>
                <w:szCs w:val="24"/>
                <w:u w:val="single"/>
              </w:rPr>
              <w:t>在施工场地建设临时导流沟，将暴雨径流引至导流沟排放，避免雨水横流现象。</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eastAsia="宋体"/>
                <w:spacing w:val="-5"/>
                <w:sz w:val="24"/>
                <w:szCs w:val="24"/>
                <w:u w:val="single"/>
              </w:rPr>
            </w:pPr>
            <w:r>
              <w:rPr>
                <w:rFonts w:eastAsia="宋体"/>
                <w:spacing w:val="-5"/>
                <w:sz w:val="24"/>
                <w:szCs w:val="24"/>
                <w:u w:val="single"/>
              </w:rPr>
              <w:t>②雨天施工要注意防止水土流失，堆积土方时适当采取覆盖措施，防止於塞下水系统，汛期及暴雨天要停止施工。</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eastAsia="宋体"/>
                <w:spacing w:val="-5"/>
                <w:sz w:val="24"/>
                <w:szCs w:val="24"/>
                <w:u w:val="single"/>
              </w:rPr>
            </w:pPr>
            <w:r>
              <w:rPr>
                <w:rFonts w:eastAsia="宋体"/>
                <w:spacing w:val="-5"/>
                <w:sz w:val="24"/>
                <w:szCs w:val="24"/>
                <w:u w:val="single"/>
              </w:rPr>
              <w:t>③车辆、设备冲洗水循环使用</w:t>
            </w:r>
            <w:r>
              <w:rPr>
                <w:rFonts w:hint="eastAsia"/>
                <w:spacing w:val="-5"/>
                <w:sz w:val="24"/>
                <w:szCs w:val="24"/>
                <w:u w:val="single"/>
                <w:lang w:eastAsia="zh-CN"/>
              </w:rPr>
              <w:t>：</w:t>
            </w:r>
            <w:r>
              <w:rPr>
                <w:rFonts w:eastAsia="宋体"/>
                <w:spacing w:val="-5"/>
                <w:sz w:val="24"/>
                <w:szCs w:val="24"/>
                <w:u w:val="single"/>
              </w:rPr>
              <w:t>设置沉淀池，将设备、车辆洗涤水简单处理后循环使用，禁止此类废水直接外排。</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eastAsia="宋体"/>
                <w:spacing w:val="-5"/>
                <w:sz w:val="24"/>
                <w:szCs w:val="24"/>
                <w:u w:val="single"/>
              </w:rPr>
            </w:pPr>
            <w:r>
              <w:rPr>
                <w:rFonts w:eastAsia="宋体"/>
                <w:spacing w:val="-5"/>
                <w:sz w:val="24"/>
                <w:szCs w:val="24"/>
                <w:u w:val="single"/>
              </w:rPr>
              <w:t>④施工场地局部应进行硬化处理，避免施工期因水土流失造成下区域水环境污染。</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eastAsia="宋体"/>
                <w:spacing w:val="-5"/>
                <w:sz w:val="24"/>
                <w:szCs w:val="24"/>
                <w:u w:val="single"/>
              </w:rPr>
            </w:pPr>
            <w:r>
              <w:rPr>
                <w:rFonts w:eastAsia="宋体"/>
                <w:spacing w:val="-5"/>
                <w:sz w:val="24"/>
                <w:szCs w:val="24"/>
                <w:u w:val="single"/>
              </w:rPr>
              <w:t>⑤施工人员产生的生活污水</w:t>
            </w:r>
            <w:r>
              <w:rPr>
                <w:position w:val="2"/>
                <w:sz w:val="24"/>
                <w:szCs w:val="24"/>
                <w:u w:val="single"/>
                <w:vertAlign w:val="baseline"/>
              </w:rPr>
              <w:t>经收集处理后回用于</w:t>
            </w:r>
            <w:r>
              <w:rPr>
                <w:spacing w:val="10"/>
                <w:sz w:val="24"/>
                <w:szCs w:val="24"/>
                <w:u w:val="single"/>
                <w:vertAlign w:val="baseline"/>
              </w:rPr>
              <w:t>周边</w:t>
            </w:r>
            <w:r>
              <w:rPr>
                <w:rFonts w:hint="eastAsia"/>
                <w:spacing w:val="10"/>
                <w:sz w:val="24"/>
                <w:szCs w:val="24"/>
                <w:u w:val="single"/>
                <w:vertAlign w:val="baseline"/>
                <w:lang w:val="en-US" w:eastAsia="zh-CN"/>
              </w:rPr>
              <w:t>菜地</w:t>
            </w:r>
            <w:r>
              <w:rPr>
                <w:spacing w:val="10"/>
                <w:sz w:val="24"/>
                <w:szCs w:val="24"/>
                <w:u w:val="single"/>
                <w:vertAlign w:val="baseline"/>
              </w:rPr>
              <w:t>灌溉，不外排</w:t>
            </w:r>
            <w:r>
              <w:rPr>
                <w:rFonts w:eastAsia="宋体"/>
                <w:spacing w:val="-5"/>
                <w:sz w:val="24"/>
                <w:szCs w:val="24"/>
                <w:u w:val="single"/>
              </w:rPr>
              <w:t>。</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eastAsia="宋体"/>
                <w:spacing w:val="-5"/>
                <w:sz w:val="24"/>
                <w:szCs w:val="24"/>
                <w:u w:val="single"/>
              </w:rPr>
            </w:pPr>
            <w:r>
              <w:rPr>
                <w:rFonts w:eastAsia="宋体"/>
                <w:spacing w:val="-5"/>
                <w:sz w:val="24"/>
                <w:szCs w:val="24"/>
                <w:u w:val="single"/>
              </w:rPr>
              <w:t>⑥禁止向水体排放、倾倒施工废渣、生活垃圾和其他废弃物。</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eastAsia="宋体"/>
                <w:spacing w:val="-5"/>
                <w:sz w:val="24"/>
                <w:szCs w:val="24"/>
                <w:u w:val="single"/>
              </w:rPr>
            </w:pPr>
            <w:r>
              <w:rPr>
                <w:rFonts w:eastAsia="宋体"/>
                <w:spacing w:val="-5"/>
                <w:sz w:val="24"/>
                <w:szCs w:val="24"/>
                <w:u w:val="single"/>
              </w:rPr>
              <w:t>⑦基建完工后，及时恢复区域绿化和场地硬化，杜绝土壤裸露和水土流失。</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eastAsia="宋体"/>
                <w:spacing w:val="-5"/>
                <w:sz w:val="24"/>
                <w:szCs w:val="24"/>
                <w:u w:val="single"/>
              </w:rPr>
            </w:pPr>
            <w:r>
              <w:rPr>
                <w:rFonts w:eastAsia="宋体"/>
                <w:spacing w:val="-5"/>
                <w:sz w:val="24"/>
                <w:szCs w:val="24"/>
                <w:u w:val="single"/>
              </w:rPr>
              <w:t>采取上述措施后，可以有效地做好施工污水的防治，因此，不会导致施工场地周围水环境的污染。</w:t>
            </w:r>
          </w:p>
          <w:p>
            <w:pPr>
              <w:keepNext w:val="0"/>
              <w:keepLines w:val="0"/>
              <w:widowControl/>
              <w:suppressLineNumbers w:val="0"/>
              <w:jc w:val="left"/>
              <w:rPr>
                <w:u w:val="single"/>
              </w:rPr>
            </w:pPr>
            <w:r>
              <w:rPr>
                <w:rFonts w:hint="default" w:ascii="Times New Roman" w:hAnsi="Times New Roman" w:eastAsia="宋体" w:cs="Times New Roman"/>
                <w:b/>
                <w:bCs/>
                <w:color w:val="000000"/>
                <w:kern w:val="0"/>
                <w:sz w:val="24"/>
                <w:szCs w:val="24"/>
                <w:u w:val="single"/>
                <w:lang w:val="en-US" w:eastAsia="zh-CN" w:bidi="ar"/>
              </w:rPr>
              <w:t>3</w:t>
            </w:r>
            <w:r>
              <w:rPr>
                <w:rFonts w:hint="eastAsia" w:ascii="宋体" w:hAnsi="宋体" w:eastAsia="宋体" w:cs="宋体"/>
                <w:b/>
                <w:bCs/>
                <w:color w:val="000000"/>
                <w:kern w:val="0"/>
                <w:sz w:val="24"/>
                <w:szCs w:val="24"/>
                <w:u w:val="single"/>
                <w:lang w:val="en-US" w:eastAsia="zh-CN" w:bidi="ar"/>
              </w:rPr>
              <w:t xml:space="preserve">、噪声环境影响措施 </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eastAsia="宋体"/>
                <w:spacing w:val="-5"/>
                <w:sz w:val="24"/>
                <w:szCs w:val="24"/>
                <w:u w:val="single"/>
              </w:rPr>
            </w:pPr>
            <w:r>
              <w:rPr>
                <w:rFonts w:eastAsia="宋体"/>
                <w:spacing w:val="-5"/>
                <w:sz w:val="24"/>
                <w:szCs w:val="24"/>
                <w:u w:val="single"/>
              </w:rPr>
              <w:t>施工噪声主要来自施工机械和运输车辆，施工机械和运输车辆的单体声级一般均在 80dB（A）以上，其中声级最大的是打桩机，声级达105dB（A），施工机械和运输车辆的噪声将影响施工场地周围区域声环境质量。</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eastAsia="宋体"/>
                <w:spacing w:val="-5"/>
                <w:sz w:val="24"/>
                <w:szCs w:val="24"/>
                <w:u w:val="single"/>
              </w:rPr>
            </w:pPr>
            <w:r>
              <w:rPr>
                <w:rFonts w:eastAsia="宋体"/>
                <w:spacing w:val="-5"/>
                <w:sz w:val="24"/>
                <w:szCs w:val="24"/>
                <w:u w:val="single"/>
              </w:rPr>
              <w:t>①施工机械噪声</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eastAsia="宋体"/>
                <w:spacing w:val="-5"/>
                <w:sz w:val="24"/>
                <w:szCs w:val="24"/>
                <w:u w:val="single"/>
              </w:rPr>
            </w:pPr>
            <w:r>
              <w:rPr>
                <w:rFonts w:eastAsia="宋体"/>
                <w:spacing w:val="-5"/>
                <w:sz w:val="24"/>
                <w:szCs w:val="24"/>
                <w:u w:val="single"/>
              </w:rPr>
              <w:t>施工设备中噪声级较高的机械设备有挖掘机、装载机、振捣棒、吊车等， 其噪声级详见下表。</w:t>
            </w:r>
          </w:p>
          <w:p>
            <w:pPr>
              <w:spacing w:before="4" w:after="3"/>
              <w:ind w:left="262" w:right="319" w:firstLine="0"/>
              <w:jc w:val="center"/>
              <w:rPr>
                <w:rFonts w:ascii="Times New Roman" w:eastAsia="Times New Roman"/>
                <w:b/>
                <w:sz w:val="21"/>
                <w:u w:val="single"/>
              </w:rPr>
            </w:pPr>
            <w:r>
              <w:rPr>
                <w:b/>
                <w:sz w:val="21"/>
                <w:u w:val="single"/>
              </w:rPr>
              <w:t>表</w:t>
            </w:r>
            <w:r>
              <w:rPr>
                <w:rFonts w:hint="eastAsia" w:eastAsia="宋体"/>
                <w:b/>
                <w:sz w:val="21"/>
                <w:u w:val="single"/>
                <w:lang w:val="en-US" w:eastAsia="zh-CN"/>
              </w:rPr>
              <w:t>4-4</w:t>
            </w:r>
            <w:r>
              <w:rPr>
                <w:rFonts w:ascii="Times New Roman" w:eastAsia="Times New Roman"/>
                <w:b/>
                <w:sz w:val="21"/>
                <w:u w:val="single"/>
              </w:rPr>
              <w:t xml:space="preserve"> </w:t>
            </w:r>
            <w:r>
              <w:rPr>
                <w:b/>
                <w:sz w:val="21"/>
                <w:u w:val="single"/>
              </w:rPr>
              <w:t>各种施工机械设备的噪声值 单位：</w:t>
            </w:r>
            <w:r>
              <w:rPr>
                <w:rFonts w:ascii="Times New Roman" w:eastAsia="Times New Roman"/>
                <w:b/>
                <w:sz w:val="21"/>
                <w:u w:val="single"/>
              </w:rPr>
              <w:t>dB(A)</w:t>
            </w:r>
          </w:p>
          <w:tbl>
            <w:tblPr>
              <w:tblStyle w:val="24"/>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98"/>
              <w:gridCol w:w="1491"/>
              <w:gridCol w:w="1505"/>
              <w:gridCol w:w="1298"/>
              <w:gridCol w:w="1689"/>
              <w:gridCol w:w="15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833"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b/>
                      <w:sz w:val="21"/>
                      <w:u w:val="single"/>
                    </w:rPr>
                  </w:pPr>
                  <w:r>
                    <w:rPr>
                      <w:b/>
                      <w:sz w:val="21"/>
                      <w:u w:val="single"/>
                    </w:rPr>
                    <w:t>施工阶段</w:t>
                  </w:r>
                </w:p>
              </w:tc>
              <w:tc>
                <w:tcPr>
                  <w:tcW w:w="829"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b/>
                      <w:sz w:val="21"/>
                      <w:u w:val="single"/>
                    </w:rPr>
                  </w:pPr>
                  <w:r>
                    <w:rPr>
                      <w:b/>
                      <w:sz w:val="21"/>
                      <w:u w:val="single"/>
                    </w:rPr>
                    <w:t>主要施工机</w:t>
                  </w:r>
                </w:p>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b/>
                      <w:sz w:val="21"/>
                      <w:u w:val="single"/>
                    </w:rPr>
                  </w:pPr>
                  <w:r>
                    <w:rPr>
                      <w:b/>
                      <w:w w:val="99"/>
                      <w:sz w:val="21"/>
                      <w:u w:val="single"/>
                    </w:rPr>
                    <w:t>械</w:t>
                  </w:r>
                </w:p>
              </w:tc>
              <w:tc>
                <w:tcPr>
                  <w:tcW w:w="837"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eastAsia="Times New Roman"/>
                      <w:b/>
                      <w:sz w:val="21"/>
                      <w:u w:val="single"/>
                    </w:rPr>
                  </w:pPr>
                  <w:r>
                    <w:rPr>
                      <w:b/>
                      <w:sz w:val="21"/>
                      <w:u w:val="single"/>
                    </w:rPr>
                    <w:t xml:space="preserve">距声源 </w:t>
                  </w:r>
                  <w:r>
                    <w:rPr>
                      <w:rFonts w:ascii="Times New Roman" w:eastAsia="Times New Roman"/>
                      <w:b/>
                      <w:sz w:val="21"/>
                      <w:u w:val="single"/>
                    </w:rPr>
                    <w:t>1m</w:t>
                  </w:r>
                </w:p>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b/>
                      <w:sz w:val="21"/>
                      <w:u w:val="single"/>
                    </w:rPr>
                  </w:pPr>
                  <w:r>
                    <w:rPr>
                      <w:b/>
                      <w:sz w:val="21"/>
                      <w:u w:val="single"/>
                    </w:rPr>
                    <w:t>处噪声级</w:t>
                  </w:r>
                </w:p>
              </w:tc>
              <w:tc>
                <w:tcPr>
                  <w:tcW w:w="722"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b/>
                      <w:sz w:val="21"/>
                      <w:u w:val="single"/>
                    </w:rPr>
                  </w:pPr>
                  <w:r>
                    <w:rPr>
                      <w:b/>
                      <w:sz w:val="21"/>
                      <w:u w:val="single"/>
                    </w:rPr>
                    <w:t>施工阶段</w:t>
                  </w:r>
                </w:p>
              </w:tc>
              <w:tc>
                <w:tcPr>
                  <w:tcW w:w="939"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b/>
                      <w:sz w:val="21"/>
                      <w:u w:val="single"/>
                    </w:rPr>
                  </w:pPr>
                  <w:r>
                    <w:rPr>
                      <w:b/>
                      <w:sz w:val="21"/>
                      <w:u w:val="single"/>
                    </w:rPr>
                    <w:t>主要施工机械</w:t>
                  </w:r>
                </w:p>
              </w:tc>
              <w:tc>
                <w:tcPr>
                  <w:tcW w:w="837"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eastAsia="Times New Roman"/>
                      <w:b/>
                      <w:sz w:val="21"/>
                      <w:u w:val="single"/>
                    </w:rPr>
                  </w:pPr>
                  <w:r>
                    <w:rPr>
                      <w:b/>
                      <w:sz w:val="21"/>
                      <w:u w:val="single"/>
                    </w:rPr>
                    <w:t xml:space="preserve">距声源 </w:t>
                  </w:r>
                  <w:r>
                    <w:rPr>
                      <w:rFonts w:ascii="Times New Roman" w:eastAsia="Times New Roman"/>
                      <w:b/>
                      <w:sz w:val="21"/>
                      <w:u w:val="single"/>
                    </w:rPr>
                    <w:t>1m</w:t>
                  </w:r>
                </w:p>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b/>
                      <w:sz w:val="21"/>
                      <w:u w:val="single"/>
                    </w:rPr>
                  </w:pPr>
                  <w:r>
                    <w:rPr>
                      <w:b/>
                      <w:sz w:val="21"/>
                      <w:u w:val="single"/>
                    </w:rPr>
                    <w:t>处噪声级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33" w:type="pct"/>
                  <w:vMerge w:val="restar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sz w:val="21"/>
                      <w:u w:val="single"/>
                    </w:rPr>
                  </w:pPr>
                  <w:r>
                    <w:rPr>
                      <w:sz w:val="21"/>
                      <w:u w:val="single"/>
                    </w:rPr>
                    <w:t>土石方</w:t>
                  </w:r>
                </w:p>
              </w:tc>
              <w:tc>
                <w:tcPr>
                  <w:tcW w:w="829"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sz w:val="21"/>
                      <w:u w:val="single"/>
                    </w:rPr>
                  </w:pPr>
                  <w:r>
                    <w:rPr>
                      <w:sz w:val="21"/>
                      <w:u w:val="single"/>
                    </w:rPr>
                    <w:t>推土机</w:t>
                  </w:r>
                </w:p>
              </w:tc>
              <w:tc>
                <w:tcPr>
                  <w:tcW w:w="837"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sz w:val="21"/>
                      <w:u w:val="single"/>
                    </w:rPr>
                  </w:pPr>
                  <w:r>
                    <w:rPr>
                      <w:rFonts w:ascii="Times New Roman"/>
                      <w:sz w:val="21"/>
                      <w:u w:val="single"/>
                    </w:rPr>
                    <w:t>100</w:t>
                  </w:r>
                </w:p>
              </w:tc>
              <w:tc>
                <w:tcPr>
                  <w:tcW w:w="722" w:type="pct"/>
                  <w:vMerge w:val="restar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sz w:val="21"/>
                      <w:u w:val="single"/>
                    </w:rPr>
                  </w:pPr>
                  <w:r>
                    <w:rPr>
                      <w:sz w:val="21"/>
                      <w:u w:val="single"/>
                    </w:rPr>
                    <w:t>结构</w:t>
                  </w:r>
                </w:p>
              </w:tc>
              <w:tc>
                <w:tcPr>
                  <w:tcW w:w="939"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sz w:val="21"/>
                      <w:u w:val="single"/>
                    </w:rPr>
                  </w:pPr>
                  <w:r>
                    <w:rPr>
                      <w:sz w:val="21"/>
                      <w:u w:val="single"/>
                    </w:rPr>
                    <w:t>振捣棒</w:t>
                  </w:r>
                </w:p>
              </w:tc>
              <w:tc>
                <w:tcPr>
                  <w:tcW w:w="837"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sz w:val="21"/>
                      <w:u w:val="single"/>
                    </w:rPr>
                  </w:pPr>
                  <w:r>
                    <w:rPr>
                      <w:rFonts w:ascii="Times New Roman"/>
                      <w:sz w:val="21"/>
                      <w:u w:val="single"/>
                    </w:rPr>
                    <w:t>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833" w:type="pct"/>
                  <w:vMerge w:val="continue"/>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sz w:val="2"/>
                      <w:szCs w:val="2"/>
                      <w:u w:val="single"/>
                    </w:rPr>
                  </w:pPr>
                </w:p>
              </w:tc>
              <w:tc>
                <w:tcPr>
                  <w:tcW w:w="829"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sz w:val="21"/>
                      <w:u w:val="single"/>
                    </w:rPr>
                  </w:pPr>
                  <w:r>
                    <w:rPr>
                      <w:sz w:val="21"/>
                      <w:u w:val="single"/>
                    </w:rPr>
                    <w:t>挖掘机</w:t>
                  </w:r>
                </w:p>
              </w:tc>
              <w:tc>
                <w:tcPr>
                  <w:tcW w:w="837"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sz w:val="21"/>
                      <w:u w:val="single"/>
                    </w:rPr>
                  </w:pPr>
                  <w:r>
                    <w:rPr>
                      <w:rFonts w:ascii="Times New Roman"/>
                      <w:sz w:val="21"/>
                      <w:u w:val="single"/>
                    </w:rPr>
                    <w:t>100</w:t>
                  </w:r>
                </w:p>
              </w:tc>
              <w:tc>
                <w:tcPr>
                  <w:tcW w:w="722" w:type="pct"/>
                  <w:vMerge w:val="continue"/>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sz w:val="2"/>
                      <w:szCs w:val="2"/>
                      <w:u w:val="single"/>
                    </w:rPr>
                  </w:pPr>
                </w:p>
              </w:tc>
              <w:tc>
                <w:tcPr>
                  <w:tcW w:w="939"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sz w:val="21"/>
                      <w:u w:val="single"/>
                    </w:rPr>
                  </w:pPr>
                  <w:r>
                    <w:rPr>
                      <w:sz w:val="21"/>
                      <w:u w:val="single"/>
                    </w:rPr>
                    <w:t>搅拌机</w:t>
                  </w:r>
                </w:p>
              </w:tc>
              <w:tc>
                <w:tcPr>
                  <w:tcW w:w="837"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sz w:val="21"/>
                      <w:u w:val="single"/>
                    </w:rPr>
                  </w:pPr>
                  <w:r>
                    <w:rPr>
                      <w:rFonts w:ascii="Times New Roman"/>
                      <w:sz w:val="21"/>
                      <w:u w:val="single"/>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33" w:type="pct"/>
                  <w:vMerge w:val="continue"/>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sz w:val="22"/>
                      <w:u w:val="single"/>
                    </w:rPr>
                  </w:pPr>
                </w:p>
              </w:tc>
              <w:tc>
                <w:tcPr>
                  <w:tcW w:w="829"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sz w:val="21"/>
                      <w:u w:val="single"/>
                    </w:rPr>
                  </w:pPr>
                  <w:r>
                    <w:rPr>
                      <w:sz w:val="21"/>
                      <w:u w:val="single"/>
                    </w:rPr>
                    <w:t>载重机</w:t>
                  </w:r>
                </w:p>
              </w:tc>
              <w:tc>
                <w:tcPr>
                  <w:tcW w:w="837"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sz w:val="21"/>
                      <w:u w:val="single"/>
                    </w:rPr>
                  </w:pPr>
                  <w:r>
                    <w:rPr>
                      <w:rFonts w:ascii="Times New Roman"/>
                      <w:sz w:val="21"/>
                      <w:u w:val="single"/>
                    </w:rPr>
                    <w:t>89</w:t>
                  </w:r>
                </w:p>
              </w:tc>
              <w:tc>
                <w:tcPr>
                  <w:tcW w:w="722" w:type="pct"/>
                  <w:vMerge w:val="continue"/>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sz w:val="22"/>
                      <w:u w:val="single"/>
                    </w:rPr>
                  </w:pPr>
                </w:p>
              </w:tc>
              <w:tc>
                <w:tcPr>
                  <w:tcW w:w="939"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sz w:val="21"/>
                      <w:u w:val="single"/>
                    </w:rPr>
                  </w:pPr>
                  <w:r>
                    <w:rPr>
                      <w:sz w:val="21"/>
                      <w:u w:val="single"/>
                    </w:rPr>
                    <w:t>电锯</w:t>
                  </w:r>
                </w:p>
              </w:tc>
              <w:tc>
                <w:tcPr>
                  <w:tcW w:w="837"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sz w:val="21"/>
                      <w:u w:val="single"/>
                    </w:rPr>
                  </w:pPr>
                  <w:r>
                    <w:rPr>
                      <w:rFonts w:ascii="Times New Roman"/>
                      <w:sz w:val="21"/>
                      <w:u w:val="single"/>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33" w:type="pct"/>
                  <w:vMerge w:val="continue"/>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sz w:val="2"/>
                      <w:szCs w:val="2"/>
                      <w:u w:val="single"/>
                    </w:rPr>
                  </w:pPr>
                </w:p>
              </w:tc>
              <w:tc>
                <w:tcPr>
                  <w:tcW w:w="829"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sz w:val="21"/>
                      <w:u w:val="single"/>
                    </w:rPr>
                  </w:pPr>
                  <w:r>
                    <w:rPr>
                      <w:sz w:val="21"/>
                      <w:u w:val="single"/>
                    </w:rPr>
                    <w:t>运输车辆</w:t>
                  </w:r>
                </w:p>
              </w:tc>
              <w:tc>
                <w:tcPr>
                  <w:tcW w:w="837"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sz w:val="21"/>
                      <w:u w:val="single"/>
                    </w:rPr>
                  </w:pPr>
                  <w:r>
                    <w:rPr>
                      <w:rFonts w:ascii="Times New Roman"/>
                      <w:sz w:val="21"/>
                      <w:u w:val="single"/>
                    </w:rPr>
                    <w:t>90</w:t>
                  </w:r>
                </w:p>
              </w:tc>
              <w:tc>
                <w:tcPr>
                  <w:tcW w:w="722" w:type="pct"/>
                  <w:vMerge w:val="continue"/>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sz w:val="2"/>
                      <w:szCs w:val="2"/>
                      <w:u w:val="single"/>
                    </w:rPr>
                  </w:pPr>
                </w:p>
              </w:tc>
              <w:tc>
                <w:tcPr>
                  <w:tcW w:w="939"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sz w:val="21"/>
                      <w:u w:val="single"/>
                    </w:rPr>
                  </w:pPr>
                  <w:r>
                    <w:rPr>
                      <w:sz w:val="21"/>
                      <w:u w:val="single"/>
                    </w:rPr>
                    <w:t>吊车、升降机</w:t>
                  </w:r>
                </w:p>
              </w:tc>
              <w:tc>
                <w:tcPr>
                  <w:tcW w:w="837"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sz w:val="21"/>
                      <w:u w:val="single"/>
                    </w:rPr>
                  </w:pPr>
                  <w:r>
                    <w:rPr>
                      <w:rFonts w:ascii="Times New Roman"/>
                      <w:sz w:val="21"/>
                      <w:u w:val="single"/>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33" w:type="pct"/>
                  <w:vMerge w:val="restar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sz w:val="21"/>
                      <w:u w:val="single"/>
                    </w:rPr>
                  </w:pPr>
                  <w:r>
                    <w:rPr>
                      <w:sz w:val="21"/>
                      <w:u w:val="single"/>
                    </w:rPr>
                    <w:t>基础</w:t>
                  </w:r>
                </w:p>
              </w:tc>
              <w:tc>
                <w:tcPr>
                  <w:tcW w:w="829"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sz w:val="21"/>
                      <w:u w:val="single"/>
                    </w:rPr>
                  </w:pPr>
                  <w:r>
                    <w:rPr>
                      <w:sz w:val="21"/>
                      <w:u w:val="single"/>
                    </w:rPr>
                    <w:t>液压桩</w:t>
                  </w:r>
                </w:p>
              </w:tc>
              <w:tc>
                <w:tcPr>
                  <w:tcW w:w="837"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sz w:val="21"/>
                      <w:u w:val="single"/>
                    </w:rPr>
                  </w:pPr>
                  <w:r>
                    <w:rPr>
                      <w:rFonts w:ascii="Times New Roman"/>
                      <w:sz w:val="21"/>
                      <w:u w:val="single"/>
                    </w:rPr>
                    <w:t>100</w:t>
                  </w:r>
                </w:p>
              </w:tc>
              <w:tc>
                <w:tcPr>
                  <w:tcW w:w="722" w:type="pct"/>
                  <w:vMerge w:val="restar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sz w:val="21"/>
                      <w:u w:val="single"/>
                    </w:rPr>
                  </w:pPr>
                  <w:r>
                    <w:rPr>
                      <w:sz w:val="21"/>
                      <w:u w:val="single"/>
                    </w:rPr>
                    <w:t>装修</w:t>
                  </w:r>
                </w:p>
              </w:tc>
              <w:tc>
                <w:tcPr>
                  <w:tcW w:w="939"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sz w:val="21"/>
                      <w:u w:val="single"/>
                    </w:rPr>
                  </w:pPr>
                  <w:r>
                    <w:rPr>
                      <w:sz w:val="21"/>
                      <w:u w:val="single"/>
                    </w:rPr>
                    <w:t>切割机</w:t>
                  </w:r>
                </w:p>
              </w:tc>
              <w:tc>
                <w:tcPr>
                  <w:tcW w:w="837"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sz w:val="21"/>
                      <w:u w:val="single"/>
                    </w:rPr>
                  </w:pPr>
                  <w:r>
                    <w:rPr>
                      <w:rFonts w:ascii="Times New Roman"/>
                      <w:sz w:val="21"/>
                      <w:u w:val="single"/>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33" w:type="pct"/>
                  <w:vMerge w:val="continue"/>
                  <w:tcBorders>
                    <w:top w:val="nil"/>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sz w:val="2"/>
                      <w:szCs w:val="2"/>
                      <w:u w:val="single"/>
                    </w:rPr>
                  </w:pPr>
                </w:p>
              </w:tc>
              <w:tc>
                <w:tcPr>
                  <w:tcW w:w="829"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sz w:val="21"/>
                      <w:u w:val="single"/>
                    </w:rPr>
                  </w:pPr>
                  <w:r>
                    <w:rPr>
                      <w:sz w:val="21"/>
                      <w:u w:val="single"/>
                    </w:rPr>
                    <w:t>钻孔机</w:t>
                  </w:r>
                </w:p>
              </w:tc>
              <w:tc>
                <w:tcPr>
                  <w:tcW w:w="837"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sz w:val="21"/>
                      <w:u w:val="single"/>
                    </w:rPr>
                  </w:pPr>
                  <w:r>
                    <w:rPr>
                      <w:rFonts w:ascii="Times New Roman"/>
                      <w:sz w:val="21"/>
                      <w:u w:val="single"/>
                    </w:rPr>
                    <w:t>100</w:t>
                  </w:r>
                </w:p>
              </w:tc>
              <w:tc>
                <w:tcPr>
                  <w:tcW w:w="722" w:type="pct"/>
                  <w:vMerge w:val="continue"/>
                  <w:tcBorders>
                    <w:top w:val="nil"/>
                  </w:tcBorders>
                  <w:vAlign w:val="center"/>
                </w:tcPr>
                <w:p>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sz w:val="2"/>
                      <w:szCs w:val="2"/>
                      <w:u w:val="single"/>
                    </w:rPr>
                  </w:pPr>
                </w:p>
              </w:tc>
              <w:tc>
                <w:tcPr>
                  <w:tcW w:w="939"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sz w:val="21"/>
                      <w:u w:val="single"/>
                    </w:rPr>
                  </w:pPr>
                  <w:r>
                    <w:rPr>
                      <w:sz w:val="21"/>
                      <w:u w:val="single"/>
                    </w:rPr>
                    <w:t>冲击钻</w:t>
                  </w:r>
                </w:p>
              </w:tc>
              <w:tc>
                <w:tcPr>
                  <w:tcW w:w="837" w:type="pct"/>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sz w:val="21"/>
                      <w:u w:val="single"/>
                    </w:rPr>
                  </w:pPr>
                  <w:r>
                    <w:rPr>
                      <w:rFonts w:ascii="Times New Roman"/>
                      <w:sz w:val="21"/>
                      <w:u w:val="single"/>
                    </w:rPr>
                    <w:t>90</w:t>
                  </w:r>
                </w:p>
              </w:tc>
            </w:tr>
          </w:tbl>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eastAsia="宋体"/>
                <w:spacing w:val="-5"/>
                <w:sz w:val="24"/>
                <w:szCs w:val="24"/>
                <w:u w:val="single"/>
              </w:rPr>
            </w:pPr>
            <w:r>
              <w:rPr>
                <w:rFonts w:eastAsia="宋体"/>
                <w:spacing w:val="-5"/>
                <w:sz w:val="24"/>
                <w:szCs w:val="24"/>
                <w:u w:val="single"/>
              </w:rPr>
              <w:t>②运输车辆噪声</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eastAsia="宋体"/>
                <w:spacing w:val="-5"/>
                <w:sz w:val="24"/>
                <w:szCs w:val="24"/>
                <w:u w:val="single"/>
              </w:rPr>
            </w:pPr>
            <w:r>
              <w:rPr>
                <w:rFonts w:eastAsia="宋体"/>
                <w:spacing w:val="-5"/>
                <w:sz w:val="24"/>
                <w:szCs w:val="24"/>
                <w:u w:val="single"/>
              </w:rPr>
              <w:t>施工期需要运输大量的原材料，物料运输车流量增加，施工过程中使用的大型货运卡车，其噪声级高达95dB（A），施工期交通运输车辆噪声源强见下表。</w:t>
            </w:r>
          </w:p>
          <w:p>
            <w:pPr>
              <w:spacing w:before="0" w:after="3" w:line="268" w:lineRule="exact"/>
              <w:ind w:left="2166" w:right="0" w:firstLine="0"/>
              <w:jc w:val="left"/>
              <w:rPr>
                <w:b/>
                <w:sz w:val="21"/>
                <w:u w:val="single"/>
              </w:rPr>
            </w:pPr>
            <w:r>
              <w:rPr>
                <w:b/>
                <w:spacing w:val="-28"/>
                <w:sz w:val="21"/>
                <w:u w:val="single"/>
              </w:rPr>
              <w:t xml:space="preserve">表 </w:t>
            </w:r>
            <w:r>
              <w:rPr>
                <w:rFonts w:hint="eastAsia" w:eastAsia="宋体"/>
                <w:b/>
                <w:sz w:val="21"/>
                <w:u w:val="single"/>
                <w:lang w:val="en-US" w:eastAsia="zh-CN"/>
              </w:rPr>
              <w:t>4-5</w:t>
            </w:r>
            <w:r>
              <w:rPr>
                <w:rFonts w:ascii="Times New Roman" w:eastAsia="Times New Roman"/>
                <w:b/>
                <w:spacing w:val="50"/>
                <w:sz w:val="21"/>
                <w:u w:val="single"/>
              </w:rPr>
              <w:t xml:space="preserve"> </w:t>
            </w:r>
            <w:r>
              <w:rPr>
                <w:b/>
                <w:spacing w:val="0"/>
                <w:sz w:val="21"/>
                <w:u w:val="single"/>
              </w:rPr>
              <w:t>施工期运输车辆噪声级 单位：</w:t>
            </w:r>
            <w:r>
              <w:rPr>
                <w:rFonts w:ascii="Times New Roman" w:eastAsia="Times New Roman"/>
                <w:b/>
                <w:sz w:val="21"/>
                <w:u w:val="single"/>
              </w:rPr>
              <w:t>dB</w:t>
            </w:r>
            <w:r>
              <w:rPr>
                <w:b/>
                <w:sz w:val="21"/>
                <w:u w:val="single"/>
              </w:rPr>
              <w:t>（</w:t>
            </w:r>
            <w:r>
              <w:rPr>
                <w:rFonts w:ascii="Times New Roman" w:eastAsia="Times New Roman"/>
                <w:b/>
                <w:sz w:val="21"/>
                <w:u w:val="single"/>
              </w:rPr>
              <w:t>A</w:t>
            </w:r>
            <w:r>
              <w:rPr>
                <w:b/>
                <w:sz w:val="21"/>
                <w:u w:val="single"/>
              </w:rPr>
              <w:t>）</w:t>
            </w:r>
          </w:p>
          <w:tbl>
            <w:tblPr>
              <w:tblStyle w:val="24"/>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94"/>
              <w:gridCol w:w="2062"/>
              <w:gridCol w:w="2644"/>
              <w:gridCol w:w="25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94" w:type="dxa"/>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b/>
                      <w:bCs/>
                      <w:sz w:val="21"/>
                      <w:u w:val="single"/>
                    </w:rPr>
                  </w:pPr>
                  <w:r>
                    <w:rPr>
                      <w:rFonts w:ascii="宋体" w:hAnsi="宋体" w:eastAsia="宋体" w:cs="宋体"/>
                      <w:b/>
                      <w:bCs/>
                      <w:sz w:val="21"/>
                      <w:u w:val="single"/>
                    </w:rPr>
                    <w:t>声源</w:t>
                  </w:r>
                </w:p>
              </w:tc>
              <w:tc>
                <w:tcPr>
                  <w:tcW w:w="2062" w:type="dxa"/>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b/>
                      <w:bCs/>
                      <w:sz w:val="21"/>
                      <w:u w:val="single"/>
                    </w:rPr>
                  </w:pPr>
                  <w:r>
                    <w:rPr>
                      <w:rFonts w:ascii="宋体" w:hAnsi="宋体" w:eastAsia="宋体" w:cs="宋体"/>
                      <w:b/>
                      <w:bCs/>
                      <w:sz w:val="21"/>
                      <w:u w:val="single"/>
                    </w:rPr>
                    <w:t>大型载重车</w:t>
                  </w:r>
                </w:p>
              </w:tc>
              <w:tc>
                <w:tcPr>
                  <w:tcW w:w="2644" w:type="dxa"/>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b/>
                      <w:bCs/>
                      <w:sz w:val="21"/>
                      <w:u w:val="single"/>
                    </w:rPr>
                  </w:pPr>
                  <w:r>
                    <w:rPr>
                      <w:rFonts w:ascii="宋体" w:hAnsi="宋体" w:eastAsia="宋体" w:cs="宋体"/>
                      <w:b/>
                      <w:bCs/>
                      <w:sz w:val="21"/>
                      <w:u w:val="single"/>
                    </w:rPr>
                    <w:t>混凝土罐车、载重车</w:t>
                  </w:r>
                </w:p>
              </w:tc>
              <w:tc>
                <w:tcPr>
                  <w:tcW w:w="2517" w:type="dxa"/>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b/>
                      <w:bCs/>
                      <w:sz w:val="21"/>
                      <w:u w:val="single"/>
                    </w:rPr>
                  </w:pPr>
                  <w:r>
                    <w:rPr>
                      <w:rFonts w:ascii="宋体" w:hAnsi="宋体" w:eastAsia="宋体" w:cs="宋体"/>
                      <w:b/>
                      <w:bCs/>
                      <w:sz w:val="21"/>
                      <w:u w:val="single"/>
                    </w:rPr>
                    <w:t>轻型载重卡车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6" w:hRule="atLeast"/>
              </w:trPr>
              <w:tc>
                <w:tcPr>
                  <w:tcW w:w="1394" w:type="dxa"/>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sz w:val="21"/>
                      <w:u w:val="single"/>
                    </w:rPr>
                  </w:pPr>
                  <w:r>
                    <w:rPr>
                      <w:rFonts w:ascii="宋体" w:hAnsi="宋体" w:eastAsia="宋体" w:cs="宋体"/>
                      <w:sz w:val="21"/>
                      <w:u w:val="single"/>
                    </w:rPr>
                    <w:t>声级 dB(A)</w:t>
                  </w:r>
                </w:p>
              </w:tc>
              <w:tc>
                <w:tcPr>
                  <w:tcW w:w="2062" w:type="dxa"/>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sz w:val="21"/>
                      <w:u w:val="single"/>
                    </w:rPr>
                  </w:pPr>
                  <w:r>
                    <w:rPr>
                      <w:rFonts w:ascii="宋体" w:hAnsi="宋体" w:eastAsia="宋体" w:cs="宋体"/>
                      <w:sz w:val="21"/>
                      <w:u w:val="single"/>
                    </w:rPr>
                    <w:t>95</w:t>
                  </w:r>
                </w:p>
              </w:tc>
              <w:tc>
                <w:tcPr>
                  <w:tcW w:w="2644" w:type="dxa"/>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sz w:val="21"/>
                      <w:u w:val="single"/>
                    </w:rPr>
                  </w:pPr>
                  <w:r>
                    <w:rPr>
                      <w:rFonts w:ascii="宋体" w:hAnsi="宋体" w:eastAsia="宋体" w:cs="宋体"/>
                      <w:sz w:val="21"/>
                      <w:u w:val="single"/>
                    </w:rPr>
                    <w:t>80~85</w:t>
                  </w:r>
                </w:p>
              </w:tc>
              <w:tc>
                <w:tcPr>
                  <w:tcW w:w="2517" w:type="dxa"/>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sz w:val="21"/>
                      <w:u w:val="single"/>
                    </w:rPr>
                  </w:pPr>
                  <w:r>
                    <w:rPr>
                      <w:rFonts w:ascii="宋体" w:hAnsi="宋体" w:eastAsia="宋体" w:cs="宋体"/>
                      <w:sz w:val="21"/>
                      <w:u w:val="single"/>
                    </w:rPr>
                    <w:t>75</w:t>
                  </w:r>
                </w:p>
              </w:tc>
            </w:tr>
          </w:tbl>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u w:val="single"/>
              </w:rPr>
            </w:pPr>
            <w:r>
              <w:rPr>
                <w:rFonts w:eastAsia="宋体"/>
                <w:spacing w:val="-5"/>
                <w:sz w:val="24"/>
                <w:szCs w:val="24"/>
                <w:u w:val="single"/>
              </w:rPr>
              <w:t>建议在本项目的施工过程中，严格控制施工时间，加强施工管理，减轻施工噪声对周围环境的影响。</w:t>
            </w:r>
            <w:r>
              <w:rPr>
                <w:rFonts w:hint="eastAsia" w:eastAsia="宋体"/>
                <w:spacing w:val="-5"/>
                <w:sz w:val="24"/>
                <w:szCs w:val="24"/>
                <w:u w:val="single"/>
                <w:lang w:val="en-US" w:eastAsia="zh-CN"/>
              </w:rPr>
              <w:t>本环评</w:t>
            </w:r>
            <w:r>
              <w:rPr>
                <w:rFonts w:hint="eastAsia" w:ascii="宋体" w:hAnsi="宋体" w:eastAsia="宋体" w:cs="宋体"/>
                <w:color w:val="000000"/>
                <w:kern w:val="0"/>
                <w:sz w:val="24"/>
                <w:szCs w:val="24"/>
                <w:u w:val="single"/>
                <w:lang w:val="en-US" w:eastAsia="zh-CN" w:bidi="ar"/>
              </w:rPr>
              <w:t xml:space="preserve">要求项目施工期间施工单位采取以下防治措施： </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①严禁夜间（</w:t>
            </w:r>
            <w:r>
              <w:rPr>
                <w:rFonts w:hint="default" w:ascii="Times New Roman" w:hAnsi="Times New Roman" w:eastAsia="宋体" w:cs="Times New Roman"/>
                <w:color w:val="000000"/>
                <w:kern w:val="0"/>
                <w:sz w:val="24"/>
                <w:szCs w:val="24"/>
                <w:u w:val="single"/>
                <w:lang w:val="en-US" w:eastAsia="zh-CN" w:bidi="ar"/>
              </w:rPr>
              <w:t>22</w:t>
            </w: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00</w:t>
            </w: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6</w:t>
            </w: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 xml:space="preserve">00 </w:t>
            </w:r>
            <w:r>
              <w:rPr>
                <w:rFonts w:hint="eastAsia" w:ascii="宋体" w:hAnsi="宋体" w:eastAsia="宋体" w:cs="宋体"/>
                <w:color w:val="000000"/>
                <w:kern w:val="0"/>
                <w:sz w:val="24"/>
                <w:szCs w:val="24"/>
                <w:u w:val="single"/>
                <w:lang w:val="en-US" w:eastAsia="zh-CN" w:bidi="ar"/>
              </w:rPr>
              <w:t xml:space="preserve">期间）自由作业，严格控制施工时间，因特殊需要延续施工时间的，必须报有关管理部门批准，才能施工。 </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②选用低噪声的作业机械及施工方法，对产噪较大的设备要进行适当屏蔽，</w:t>
            </w:r>
            <w:r>
              <w:rPr>
                <w:rFonts w:hint="eastAsia" w:ascii="宋体" w:hAnsi="宋体" w:cs="宋体"/>
                <w:color w:val="000000"/>
                <w:kern w:val="0"/>
                <w:sz w:val="24"/>
                <w:szCs w:val="24"/>
                <w:u w:val="single"/>
                <w:lang w:val="en-US" w:eastAsia="zh-CN" w:bidi="ar"/>
              </w:rPr>
              <w:t>做</w:t>
            </w:r>
            <w:r>
              <w:rPr>
                <w:rFonts w:hint="eastAsia" w:ascii="宋体" w:hAnsi="宋体" w:eastAsia="宋体" w:cs="宋体"/>
                <w:color w:val="000000"/>
                <w:kern w:val="0"/>
                <w:sz w:val="24"/>
                <w:szCs w:val="24"/>
                <w:u w:val="single"/>
                <w:lang w:val="en-US" w:eastAsia="zh-CN" w:bidi="ar"/>
              </w:rPr>
              <w:t>临时的隔声、消声和减振等综合治理；</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③为防止建筑工人受噪声侵害，靠近强声源的工人应戴上耳塞和头盔，并限制工作时间；</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 xml:space="preserve">④尽量将施工设备放置在建筑物内部，现场加工须在室内进行，尽量减轻对周围环境敏感目标的影响。 </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综上所述，通过采取上述措施可将施工期间产生的噪声向外界的传播强度控制在</w:t>
            </w:r>
            <w:r>
              <w:rPr>
                <w:rFonts w:hint="eastAsia" w:ascii="宋体" w:hAnsi="宋体" w:cs="宋体"/>
                <w:color w:val="000000"/>
                <w:kern w:val="0"/>
                <w:sz w:val="24"/>
                <w:szCs w:val="24"/>
                <w:u w:val="single"/>
                <w:lang w:val="en-US" w:eastAsia="zh-CN" w:bidi="ar"/>
              </w:rPr>
              <w:t>最低</w:t>
            </w:r>
            <w:r>
              <w:rPr>
                <w:rFonts w:hint="eastAsia" w:ascii="宋体" w:hAnsi="宋体" w:eastAsia="宋体" w:cs="宋体"/>
                <w:color w:val="000000"/>
                <w:kern w:val="0"/>
                <w:sz w:val="24"/>
                <w:szCs w:val="24"/>
                <w:u w:val="single"/>
                <w:lang w:val="en-US" w:eastAsia="zh-CN" w:bidi="ar"/>
              </w:rPr>
              <w:t xml:space="preserve">程度，对周围环境影响较小。 </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综上，建筑施工噪声的污染防治工作，设计、建设、施工单位必须重视，应把该项工作列入工程招标、文明施工、优质工程的考核内容，环保部门要加强管理监督。要尽可能</w:t>
            </w:r>
            <w:r>
              <w:rPr>
                <w:rFonts w:hint="eastAsia" w:ascii="宋体" w:hAnsi="宋体" w:cs="宋体"/>
                <w:color w:val="000000"/>
                <w:kern w:val="0"/>
                <w:sz w:val="24"/>
                <w:szCs w:val="24"/>
                <w:u w:val="single"/>
                <w:lang w:val="en-US" w:eastAsia="zh-CN" w:bidi="ar"/>
              </w:rPr>
              <w:t>地</w:t>
            </w:r>
            <w:r>
              <w:rPr>
                <w:rFonts w:hint="eastAsia" w:ascii="宋体" w:hAnsi="宋体" w:eastAsia="宋体" w:cs="宋体"/>
                <w:color w:val="000000"/>
                <w:kern w:val="0"/>
                <w:sz w:val="24"/>
                <w:szCs w:val="24"/>
                <w:u w:val="single"/>
                <w:lang w:val="en-US" w:eastAsia="zh-CN" w:bidi="ar"/>
              </w:rPr>
              <w:t>减少噪声的影响。对此，在建筑施工期间向周围排放噪声必须按照《中华人民共和国环境噪声污染防治法》及《建筑施工场界环境噪声排放标准》（</w:t>
            </w:r>
            <w:r>
              <w:rPr>
                <w:rFonts w:hint="default" w:ascii="Times New Roman" w:hAnsi="Times New Roman" w:eastAsia="宋体" w:cs="Times New Roman"/>
                <w:color w:val="000000"/>
                <w:kern w:val="0"/>
                <w:sz w:val="24"/>
                <w:szCs w:val="24"/>
                <w:u w:val="single"/>
                <w:lang w:val="en-US" w:eastAsia="zh-CN" w:bidi="ar"/>
              </w:rPr>
              <w:t>GB12523-2011</w:t>
            </w:r>
            <w:r>
              <w:rPr>
                <w:rFonts w:hint="eastAsia" w:ascii="宋体" w:hAnsi="宋体" w:eastAsia="宋体" w:cs="宋体"/>
                <w:color w:val="000000"/>
                <w:kern w:val="0"/>
                <w:sz w:val="24"/>
                <w:szCs w:val="24"/>
                <w:u w:val="single"/>
                <w:lang w:val="en-US" w:eastAsia="zh-CN" w:bidi="ar"/>
              </w:rPr>
              <w:t>）进行控制。施工期高噪声设备合理安排施工时间，夜间禁止使用高噪声机械设备，杜绝深夜施工噪声扰民，另外，对施工场地平面布局时将施工机械产噪设备尽量置于场地</w:t>
            </w:r>
            <w:r>
              <w:rPr>
                <w:rFonts w:hint="eastAsia" w:ascii="宋体" w:hAnsi="宋体" w:cs="宋体"/>
                <w:color w:val="000000"/>
                <w:kern w:val="0"/>
                <w:sz w:val="24"/>
                <w:szCs w:val="24"/>
                <w:u w:val="single"/>
                <w:lang w:val="en-US" w:eastAsia="zh-CN" w:bidi="ar"/>
              </w:rPr>
              <w:t>南侧原理居民住宅</w:t>
            </w:r>
            <w:r>
              <w:rPr>
                <w:rFonts w:hint="eastAsia" w:ascii="宋体" w:hAnsi="宋体" w:eastAsia="宋体" w:cs="宋体"/>
                <w:color w:val="000000"/>
                <w:kern w:val="0"/>
                <w:sz w:val="24"/>
                <w:szCs w:val="24"/>
                <w:u w:val="single"/>
                <w:lang w:val="en-US" w:eastAsia="zh-CN" w:bidi="ar"/>
              </w:rPr>
              <w:t>，进行合理布设，尽量减少施工噪声对周边民众的污染影响。</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经采取措施后，项目施工期噪声对周围环境影响较小。</w:t>
            </w:r>
          </w:p>
          <w:p>
            <w:pPr>
              <w:keepNext w:val="0"/>
              <w:keepLines w:val="0"/>
              <w:widowControl/>
              <w:suppressLineNumbers w:val="0"/>
              <w:jc w:val="left"/>
              <w:rPr>
                <w:u w:val="single"/>
              </w:rPr>
            </w:pPr>
            <w:r>
              <w:rPr>
                <w:rFonts w:hint="default" w:ascii="Times New Roman" w:hAnsi="Times New Roman" w:eastAsia="宋体" w:cs="Times New Roman"/>
                <w:b/>
                <w:bCs/>
                <w:color w:val="000000"/>
                <w:kern w:val="0"/>
                <w:sz w:val="24"/>
                <w:szCs w:val="24"/>
                <w:u w:val="single"/>
                <w:lang w:val="en-US" w:eastAsia="zh-CN" w:bidi="ar"/>
              </w:rPr>
              <w:t>4</w:t>
            </w:r>
            <w:r>
              <w:rPr>
                <w:rFonts w:hint="eastAsia" w:ascii="宋体" w:hAnsi="宋体" w:eastAsia="宋体" w:cs="宋体"/>
                <w:b/>
                <w:bCs/>
                <w:color w:val="000000"/>
                <w:kern w:val="0"/>
                <w:sz w:val="24"/>
                <w:szCs w:val="24"/>
                <w:u w:val="single"/>
                <w:lang w:val="en-US" w:eastAsia="zh-CN" w:bidi="ar"/>
              </w:rPr>
              <w:t xml:space="preserve">、固体废物环境措施 </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施工期固体废物主要包括废弃土石方、建筑垃圾、施工人员生活垃圾。</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①废弃土石方</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土石方工程：</w:t>
            </w:r>
            <w:r>
              <w:rPr>
                <w:rFonts w:hint="eastAsia" w:ascii="宋体" w:hAnsi="宋体" w:cs="宋体"/>
                <w:color w:val="000000"/>
                <w:kern w:val="0"/>
                <w:sz w:val="24"/>
                <w:szCs w:val="24"/>
                <w:u w:val="single"/>
                <w:lang w:val="en-US" w:eastAsia="zh-CN" w:bidi="ar"/>
              </w:rPr>
              <w:t>环评现勘时，项目场地已完成三通一平，</w:t>
            </w:r>
            <w:r>
              <w:rPr>
                <w:rFonts w:hint="eastAsia" w:ascii="宋体" w:hAnsi="宋体" w:eastAsia="宋体" w:cs="宋体"/>
                <w:color w:val="000000"/>
                <w:kern w:val="0"/>
                <w:sz w:val="24"/>
                <w:szCs w:val="24"/>
                <w:u w:val="single"/>
                <w:lang w:val="en-US" w:eastAsia="zh-CN" w:bidi="ar"/>
              </w:rPr>
              <w:t>本项目施工期</w:t>
            </w:r>
            <w:r>
              <w:rPr>
                <w:rFonts w:hint="eastAsia" w:ascii="宋体" w:hAnsi="宋体" w:cs="宋体"/>
                <w:color w:val="000000"/>
                <w:kern w:val="0"/>
                <w:sz w:val="24"/>
                <w:szCs w:val="24"/>
                <w:u w:val="single"/>
                <w:lang w:val="en-US" w:eastAsia="zh-CN" w:bidi="ar"/>
              </w:rPr>
              <w:t>无需另外取土，</w:t>
            </w:r>
            <w:r>
              <w:rPr>
                <w:rFonts w:hint="eastAsia" w:ascii="宋体" w:hAnsi="宋体" w:eastAsia="宋体" w:cs="宋体"/>
                <w:color w:val="000000"/>
                <w:kern w:val="0"/>
                <w:sz w:val="24"/>
                <w:szCs w:val="24"/>
                <w:u w:val="single"/>
                <w:lang w:val="en-US" w:eastAsia="zh-CN" w:bidi="ar"/>
              </w:rPr>
              <w:t>开挖</w:t>
            </w:r>
            <w:r>
              <w:rPr>
                <w:rFonts w:hint="eastAsia" w:ascii="宋体" w:hAnsi="宋体" w:cs="宋体"/>
                <w:color w:val="000000"/>
                <w:kern w:val="0"/>
                <w:sz w:val="24"/>
                <w:szCs w:val="24"/>
                <w:u w:val="single"/>
                <w:lang w:val="en-US" w:eastAsia="zh-CN" w:bidi="ar"/>
              </w:rPr>
              <w:t>土方主要为房屋地基及地下室及池体设施建设。</w:t>
            </w:r>
            <w:r>
              <w:rPr>
                <w:rFonts w:hint="eastAsia" w:ascii="宋体" w:hAnsi="宋体" w:eastAsia="宋体" w:cs="宋体"/>
                <w:color w:val="000000"/>
                <w:kern w:val="0"/>
                <w:sz w:val="24"/>
                <w:szCs w:val="24"/>
                <w:u w:val="single"/>
                <w:lang w:val="en-US" w:eastAsia="zh-CN" w:bidi="ar"/>
              </w:rPr>
              <w:t>根据工程设计，</w:t>
            </w:r>
            <w:r>
              <w:rPr>
                <w:rFonts w:hint="eastAsia" w:ascii="宋体" w:hAnsi="宋体" w:cs="宋体"/>
                <w:color w:val="000000"/>
                <w:kern w:val="0"/>
                <w:sz w:val="24"/>
                <w:szCs w:val="24"/>
                <w:u w:val="single"/>
                <w:lang w:val="en-US" w:eastAsia="zh-CN" w:bidi="ar"/>
              </w:rPr>
              <w:t>本项目</w:t>
            </w:r>
            <w:r>
              <w:rPr>
                <w:rFonts w:hint="eastAsia" w:ascii="宋体" w:hAnsi="宋体" w:eastAsia="宋体" w:cs="宋体"/>
                <w:color w:val="000000"/>
                <w:kern w:val="0"/>
                <w:sz w:val="24"/>
                <w:szCs w:val="24"/>
                <w:u w:val="single"/>
                <w:lang w:val="en-US" w:eastAsia="zh-CN" w:bidi="ar"/>
              </w:rPr>
              <w:t>弃土方约为</w:t>
            </w:r>
            <w:r>
              <w:rPr>
                <w:rFonts w:hint="eastAsia" w:ascii="宋体" w:hAnsi="宋体" w:cs="宋体"/>
                <w:color w:val="000000"/>
                <w:kern w:val="0"/>
                <w:sz w:val="24"/>
                <w:szCs w:val="24"/>
                <w:u w:val="single"/>
                <w:lang w:val="en-US" w:eastAsia="zh-CN" w:bidi="ar"/>
              </w:rPr>
              <w:t>8</w:t>
            </w:r>
            <w:r>
              <w:rPr>
                <w:rFonts w:hint="eastAsia" w:ascii="宋体" w:hAnsi="宋体" w:eastAsia="宋体" w:cs="宋体"/>
                <w:color w:val="000000"/>
                <w:kern w:val="0"/>
                <w:sz w:val="24"/>
                <w:szCs w:val="24"/>
                <w:u w:val="single"/>
                <w:lang w:val="en-US" w:eastAsia="zh-CN" w:bidi="ar"/>
              </w:rPr>
              <w:t>40.25m</w:t>
            </w:r>
            <w:r>
              <w:rPr>
                <w:rFonts w:hint="eastAsia" w:ascii="宋体" w:hAnsi="宋体" w:eastAsia="宋体" w:cs="宋体"/>
                <w:color w:val="000000"/>
                <w:kern w:val="0"/>
                <w:sz w:val="24"/>
                <w:szCs w:val="24"/>
                <w:u w:val="single"/>
                <w:vertAlign w:val="superscript"/>
                <w:lang w:val="en-US" w:eastAsia="zh-CN" w:bidi="ar"/>
              </w:rPr>
              <w:t>3</w:t>
            </w:r>
            <w:r>
              <w:rPr>
                <w:rFonts w:hint="eastAsia" w:ascii="宋体" w:hAnsi="宋体" w:eastAsia="宋体" w:cs="宋体"/>
                <w:color w:val="000000"/>
                <w:kern w:val="0"/>
                <w:sz w:val="24"/>
                <w:szCs w:val="24"/>
                <w:u w:val="single"/>
                <w:lang w:val="en-US" w:eastAsia="zh-CN" w:bidi="ar"/>
              </w:rPr>
              <w:t>，本项目不自行设置弃土场，弃土运至市政土方平衡堆存场地，实现区域取弃土平衡。</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②建筑垃圾</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建筑过程中建筑垃圾的产生量与施工水平、建筑类型等多种因素有关，数据之间相差较大。在施工建筑的不同阶段，所产生的垃圾种类和数量有较大差别。</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本项目不同阶段产生的固体废物如下：</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a、基础工程阶段：包括打桩、砌筑基础等。这个阶段产生的建筑垃圾主要是弃土、混凝土碎块、废弃钢筋。</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b、结构工程阶段：包括钢筋、混凝土工程、钢木工程、砌体工程等。这个阶段产生的建筑垃圾主要有弃土砖瓦、混凝土碎块、废弃钢筋、施工下脚料等。</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c、装修阶段：这个阶段产生的建筑垃圾主要有废砖头、砂、水泥、木屑以及废涂料等。</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③生活垃圾</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施工期生活垃圾，生活垃圾经建设单位集中收集，由环卫部门统一清运处理。</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预测本项目建设施工期固体废物产生情况见下表。</w:t>
            </w:r>
          </w:p>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b/>
                <w:sz w:val="21"/>
                <w:u w:val="single"/>
              </w:rPr>
            </w:pPr>
            <w:r>
              <w:rPr>
                <w:b/>
                <w:sz w:val="21"/>
                <w:u w:val="single"/>
              </w:rPr>
              <w:t>表</w:t>
            </w:r>
            <w:r>
              <w:rPr>
                <w:rFonts w:hint="eastAsia" w:eastAsia="宋体"/>
                <w:b/>
                <w:sz w:val="21"/>
                <w:u w:val="single"/>
                <w:lang w:val="en-US" w:eastAsia="zh-CN"/>
              </w:rPr>
              <w:t>4-6</w:t>
            </w:r>
            <w:r>
              <w:rPr>
                <w:rFonts w:ascii="Times New Roman" w:eastAsia="Times New Roman"/>
                <w:b/>
                <w:sz w:val="21"/>
                <w:u w:val="single"/>
              </w:rPr>
              <w:t xml:space="preserve"> </w:t>
            </w:r>
            <w:r>
              <w:rPr>
                <w:b/>
                <w:sz w:val="21"/>
                <w:u w:val="single"/>
              </w:rPr>
              <w:t>施工期固体废物产生情况</w:t>
            </w:r>
          </w:p>
          <w:tbl>
            <w:tblPr>
              <w:tblStyle w:val="24"/>
              <w:tblW w:w="0" w:type="auto"/>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15"/>
              <w:gridCol w:w="699"/>
              <w:gridCol w:w="1352"/>
              <w:gridCol w:w="1446"/>
              <w:gridCol w:w="1132"/>
              <w:gridCol w:w="33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515" w:type="dxa"/>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b/>
                      <w:bCs/>
                      <w:sz w:val="21"/>
                      <w:u w:val="single"/>
                    </w:rPr>
                  </w:pPr>
                  <w:r>
                    <w:rPr>
                      <w:rFonts w:ascii="宋体" w:hAnsi="宋体" w:eastAsia="宋体" w:cs="宋体"/>
                      <w:b/>
                      <w:bCs/>
                      <w:sz w:val="21"/>
                      <w:u w:val="single"/>
                    </w:rPr>
                    <w:t>序</w:t>
                  </w:r>
                </w:p>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b/>
                      <w:bCs/>
                      <w:sz w:val="21"/>
                      <w:u w:val="single"/>
                    </w:rPr>
                  </w:pPr>
                  <w:r>
                    <w:rPr>
                      <w:rFonts w:ascii="宋体" w:hAnsi="宋体" w:eastAsia="宋体" w:cs="宋体"/>
                      <w:b/>
                      <w:bCs/>
                      <w:sz w:val="21"/>
                      <w:u w:val="single"/>
                    </w:rPr>
                    <w:t>号</w:t>
                  </w:r>
                </w:p>
              </w:tc>
              <w:tc>
                <w:tcPr>
                  <w:tcW w:w="699" w:type="dxa"/>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b/>
                      <w:bCs/>
                      <w:sz w:val="21"/>
                      <w:u w:val="single"/>
                    </w:rPr>
                  </w:pPr>
                  <w:r>
                    <w:rPr>
                      <w:rFonts w:ascii="宋体" w:hAnsi="宋体" w:eastAsia="宋体" w:cs="宋体"/>
                      <w:b/>
                      <w:bCs/>
                      <w:sz w:val="21"/>
                      <w:u w:val="single"/>
                    </w:rPr>
                    <w:t>固废类别</w:t>
                  </w:r>
                </w:p>
              </w:tc>
              <w:tc>
                <w:tcPr>
                  <w:tcW w:w="1352" w:type="dxa"/>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b/>
                      <w:bCs/>
                      <w:sz w:val="21"/>
                      <w:u w:val="single"/>
                    </w:rPr>
                  </w:pPr>
                  <w:r>
                    <w:rPr>
                      <w:rFonts w:ascii="宋体" w:hAnsi="宋体" w:eastAsia="宋体" w:cs="宋体"/>
                      <w:b/>
                      <w:bCs/>
                      <w:sz w:val="21"/>
                      <w:u w:val="single"/>
                    </w:rPr>
                    <w:t>产生系数</w:t>
                  </w:r>
                </w:p>
              </w:tc>
              <w:tc>
                <w:tcPr>
                  <w:tcW w:w="1446" w:type="dxa"/>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b/>
                      <w:bCs/>
                      <w:sz w:val="21"/>
                      <w:u w:val="single"/>
                    </w:rPr>
                  </w:pPr>
                  <w:r>
                    <w:rPr>
                      <w:rFonts w:ascii="宋体" w:hAnsi="宋体" w:eastAsia="宋体" w:cs="宋体"/>
                      <w:b/>
                      <w:bCs/>
                      <w:sz w:val="21"/>
                      <w:u w:val="single"/>
                    </w:rPr>
                    <w:t>数量</w:t>
                  </w:r>
                </w:p>
              </w:tc>
              <w:tc>
                <w:tcPr>
                  <w:tcW w:w="1132" w:type="dxa"/>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b/>
                      <w:bCs/>
                      <w:sz w:val="21"/>
                      <w:u w:val="single"/>
                    </w:rPr>
                  </w:pPr>
                  <w:r>
                    <w:rPr>
                      <w:rFonts w:ascii="宋体" w:hAnsi="宋体" w:eastAsia="宋体" w:cs="宋体"/>
                      <w:b/>
                      <w:bCs/>
                      <w:sz w:val="21"/>
                      <w:u w:val="single"/>
                    </w:rPr>
                    <w:t>固废产生量</w:t>
                  </w:r>
                </w:p>
              </w:tc>
              <w:tc>
                <w:tcPr>
                  <w:tcW w:w="3375" w:type="dxa"/>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b/>
                      <w:bCs/>
                      <w:sz w:val="21"/>
                      <w:u w:val="single"/>
                    </w:rPr>
                  </w:pPr>
                  <w:r>
                    <w:rPr>
                      <w:rFonts w:ascii="宋体" w:hAnsi="宋体" w:eastAsia="宋体" w:cs="宋体"/>
                      <w:b/>
                      <w:bCs/>
                      <w:sz w:val="21"/>
                      <w:u w:val="single"/>
                    </w:rPr>
                    <w:t>建议处理措施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515" w:type="dxa"/>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sz w:val="21"/>
                      <w:u w:val="single"/>
                    </w:rPr>
                  </w:pPr>
                  <w:r>
                    <w:rPr>
                      <w:rFonts w:ascii="宋体" w:hAnsi="宋体" w:eastAsia="宋体" w:cs="宋体"/>
                      <w:sz w:val="21"/>
                      <w:u w:val="single"/>
                    </w:rPr>
                    <w:t>1</w:t>
                  </w:r>
                </w:p>
              </w:tc>
              <w:tc>
                <w:tcPr>
                  <w:tcW w:w="699" w:type="dxa"/>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sz w:val="21"/>
                      <w:u w:val="single"/>
                    </w:rPr>
                  </w:pPr>
                  <w:r>
                    <w:rPr>
                      <w:rFonts w:ascii="宋体" w:hAnsi="宋体" w:eastAsia="宋体" w:cs="宋体"/>
                      <w:sz w:val="21"/>
                      <w:u w:val="single"/>
                    </w:rPr>
                    <w:t>生活垃圾</w:t>
                  </w:r>
                </w:p>
              </w:tc>
              <w:tc>
                <w:tcPr>
                  <w:tcW w:w="1352" w:type="dxa"/>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sz w:val="21"/>
                      <w:u w:val="single"/>
                    </w:rPr>
                  </w:pPr>
                  <w:r>
                    <w:rPr>
                      <w:rFonts w:ascii="宋体" w:hAnsi="宋体" w:eastAsia="宋体" w:cs="宋体"/>
                      <w:sz w:val="21"/>
                      <w:u w:val="single"/>
                    </w:rPr>
                    <w:t>1kg/人·d</w:t>
                  </w:r>
                </w:p>
              </w:tc>
              <w:tc>
                <w:tcPr>
                  <w:tcW w:w="1446" w:type="dxa"/>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sz w:val="21"/>
                      <w:u w:val="single"/>
                    </w:rPr>
                  </w:pPr>
                  <w:r>
                    <w:rPr>
                      <w:rFonts w:ascii="宋体" w:hAnsi="宋体" w:eastAsia="宋体" w:cs="宋体"/>
                      <w:sz w:val="21"/>
                      <w:u w:val="single"/>
                    </w:rPr>
                    <w:t>施工期按50人计</w:t>
                  </w:r>
                </w:p>
              </w:tc>
              <w:tc>
                <w:tcPr>
                  <w:tcW w:w="1132" w:type="dxa"/>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sz w:val="21"/>
                      <w:u w:val="single"/>
                    </w:rPr>
                  </w:pPr>
                  <w:r>
                    <w:rPr>
                      <w:rFonts w:ascii="宋体" w:hAnsi="宋体" w:eastAsia="宋体" w:cs="宋体"/>
                      <w:sz w:val="21"/>
                      <w:u w:val="single"/>
                    </w:rPr>
                    <w:t>50kg/d</w:t>
                  </w:r>
                </w:p>
              </w:tc>
              <w:tc>
                <w:tcPr>
                  <w:tcW w:w="3375" w:type="dxa"/>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sz w:val="21"/>
                      <w:u w:val="single"/>
                    </w:rPr>
                  </w:pPr>
                  <w:r>
                    <w:rPr>
                      <w:rFonts w:ascii="宋体" w:hAnsi="宋体" w:eastAsia="宋体" w:cs="宋体"/>
                      <w:sz w:val="21"/>
                      <w:u w:val="single"/>
                    </w:rPr>
                    <w:t>收集后交环卫部门处理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515" w:type="dxa"/>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sz w:val="21"/>
                      <w:u w:val="single"/>
                    </w:rPr>
                  </w:pPr>
                  <w:r>
                    <w:rPr>
                      <w:rFonts w:ascii="宋体" w:hAnsi="宋体" w:eastAsia="宋体" w:cs="宋体"/>
                      <w:sz w:val="21"/>
                      <w:u w:val="single"/>
                    </w:rPr>
                    <w:t>2</w:t>
                  </w:r>
                </w:p>
              </w:tc>
              <w:tc>
                <w:tcPr>
                  <w:tcW w:w="699" w:type="dxa"/>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sz w:val="21"/>
                      <w:u w:val="single"/>
                    </w:rPr>
                  </w:pPr>
                  <w:r>
                    <w:rPr>
                      <w:rFonts w:ascii="宋体" w:hAnsi="宋体" w:eastAsia="宋体" w:cs="宋体"/>
                      <w:sz w:val="21"/>
                      <w:u w:val="single"/>
                    </w:rPr>
                    <w:t>建筑垃圾</w:t>
                  </w:r>
                </w:p>
              </w:tc>
              <w:tc>
                <w:tcPr>
                  <w:tcW w:w="1352" w:type="dxa"/>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sz w:val="21"/>
                      <w:u w:val="single"/>
                    </w:rPr>
                  </w:pPr>
                  <w:r>
                    <w:rPr>
                      <w:rFonts w:ascii="宋体" w:hAnsi="宋体" w:eastAsia="宋体" w:cs="宋体"/>
                      <w:sz w:val="21"/>
                      <w:u w:val="single"/>
                    </w:rPr>
                    <w:t>1.5kg/m</w:t>
                  </w:r>
                  <w:r>
                    <w:rPr>
                      <w:rFonts w:ascii="宋体" w:hAnsi="宋体" w:eastAsia="宋体" w:cs="宋体"/>
                      <w:sz w:val="21"/>
                      <w:u w:val="single"/>
                      <w:vertAlign w:val="superscript"/>
                    </w:rPr>
                    <w:t>2</w:t>
                  </w:r>
                  <w:r>
                    <w:rPr>
                      <w:rFonts w:ascii="宋体" w:hAnsi="宋体" w:eastAsia="宋体" w:cs="宋体"/>
                      <w:sz w:val="21"/>
                      <w:u w:val="single"/>
                    </w:rPr>
                    <w:t>建筑面积</w:t>
                  </w:r>
                </w:p>
              </w:tc>
              <w:tc>
                <w:tcPr>
                  <w:tcW w:w="1446" w:type="dxa"/>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sz w:val="21"/>
                      <w:u w:val="single"/>
                    </w:rPr>
                  </w:pPr>
                  <w:r>
                    <w:rPr>
                      <w:rFonts w:ascii="宋体" w:hAnsi="宋体" w:eastAsia="宋体" w:cs="宋体"/>
                      <w:sz w:val="21"/>
                      <w:u w:val="single"/>
                    </w:rPr>
                    <w:t>总建筑面积</w:t>
                  </w:r>
                  <w:r>
                    <w:rPr>
                      <w:rFonts w:hint="default" w:ascii="宋体" w:hAnsi="宋体" w:eastAsia="宋体" w:cs="宋体"/>
                      <w:sz w:val="21"/>
                      <w:u w:val="single"/>
                    </w:rPr>
                    <w:t>62860</w:t>
                  </w:r>
                  <w:r>
                    <w:rPr>
                      <w:rFonts w:ascii="宋体" w:hAnsi="宋体" w:eastAsia="宋体" w:cs="宋体"/>
                      <w:sz w:val="21"/>
                      <w:u w:val="single"/>
                    </w:rPr>
                    <w:t>m</w:t>
                  </w:r>
                  <w:r>
                    <w:rPr>
                      <w:rFonts w:ascii="宋体" w:hAnsi="宋体" w:eastAsia="宋体" w:cs="宋体"/>
                      <w:sz w:val="21"/>
                      <w:u w:val="single"/>
                      <w:vertAlign w:val="superscript"/>
                    </w:rPr>
                    <w:t>2</w:t>
                  </w:r>
                </w:p>
              </w:tc>
              <w:tc>
                <w:tcPr>
                  <w:tcW w:w="1132" w:type="dxa"/>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sz w:val="21"/>
                      <w:u w:val="single"/>
                    </w:rPr>
                  </w:pPr>
                  <w:r>
                    <w:rPr>
                      <w:rFonts w:hint="eastAsia" w:ascii="宋体" w:hAnsi="宋体" w:eastAsia="宋体" w:cs="宋体"/>
                      <w:sz w:val="21"/>
                      <w:u w:val="single"/>
                      <w:lang w:val="en-US" w:eastAsia="zh-CN"/>
                    </w:rPr>
                    <w:t>94.29</w:t>
                  </w:r>
                  <w:r>
                    <w:rPr>
                      <w:rFonts w:ascii="宋体" w:hAnsi="宋体" w:eastAsia="宋体" w:cs="宋体"/>
                      <w:sz w:val="21"/>
                      <w:u w:val="single"/>
                    </w:rPr>
                    <w:t>t</w:t>
                  </w:r>
                </w:p>
              </w:tc>
              <w:tc>
                <w:tcPr>
                  <w:tcW w:w="3375" w:type="dxa"/>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sz w:val="21"/>
                      <w:u w:val="single"/>
                    </w:rPr>
                  </w:pPr>
                  <w:r>
                    <w:rPr>
                      <w:rFonts w:ascii="宋体" w:hAnsi="宋体" w:eastAsia="宋体" w:cs="宋体"/>
                      <w:sz w:val="21"/>
                      <w:u w:val="single"/>
                    </w:rPr>
                    <w:t>集中后外运并按规定处理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5" w:hRule="atLeast"/>
              </w:trPr>
              <w:tc>
                <w:tcPr>
                  <w:tcW w:w="515" w:type="dxa"/>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sz w:val="21"/>
                      <w:u w:val="single"/>
                    </w:rPr>
                  </w:pPr>
                  <w:r>
                    <w:rPr>
                      <w:rFonts w:ascii="宋体" w:hAnsi="宋体" w:eastAsia="宋体" w:cs="宋体"/>
                      <w:sz w:val="21"/>
                      <w:u w:val="single"/>
                    </w:rPr>
                    <w:t>3</w:t>
                  </w:r>
                </w:p>
              </w:tc>
              <w:tc>
                <w:tcPr>
                  <w:tcW w:w="699" w:type="dxa"/>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sz w:val="21"/>
                      <w:u w:val="single"/>
                    </w:rPr>
                  </w:pPr>
                  <w:r>
                    <w:rPr>
                      <w:rFonts w:ascii="宋体" w:hAnsi="宋体" w:eastAsia="宋体" w:cs="宋体"/>
                      <w:sz w:val="21"/>
                      <w:u w:val="single"/>
                    </w:rPr>
                    <w:t>弃方</w:t>
                  </w:r>
                </w:p>
              </w:tc>
              <w:tc>
                <w:tcPr>
                  <w:tcW w:w="1352" w:type="dxa"/>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sz w:val="21"/>
                      <w:u w:val="single"/>
                    </w:rPr>
                  </w:pPr>
                  <w:r>
                    <w:rPr>
                      <w:rFonts w:ascii="宋体" w:hAnsi="宋体" w:eastAsia="宋体" w:cs="宋体"/>
                      <w:sz w:val="21"/>
                      <w:u w:val="single"/>
                    </w:rPr>
                    <w:t>/</w:t>
                  </w:r>
                </w:p>
              </w:tc>
              <w:tc>
                <w:tcPr>
                  <w:tcW w:w="1446" w:type="dxa"/>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sz w:val="21"/>
                      <w:u w:val="single"/>
                    </w:rPr>
                  </w:pPr>
                  <w:r>
                    <w:rPr>
                      <w:rFonts w:ascii="宋体" w:hAnsi="宋体" w:eastAsia="宋体" w:cs="宋体"/>
                      <w:sz w:val="21"/>
                      <w:u w:val="single"/>
                    </w:rPr>
                    <w:t>/</w:t>
                  </w:r>
                </w:p>
              </w:tc>
              <w:tc>
                <w:tcPr>
                  <w:tcW w:w="1132" w:type="dxa"/>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sz w:val="21"/>
                      <w:u w:val="single"/>
                    </w:rPr>
                  </w:pPr>
                  <w:r>
                    <w:rPr>
                      <w:rFonts w:hint="eastAsia" w:ascii="宋体" w:hAnsi="宋体" w:eastAsia="宋体" w:cs="宋体"/>
                      <w:sz w:val="21"/>
                      <w:u w:val="single"/>
                      <w:lang w:val="en-US" w:eastAsia="zh-CN"/>
                    </w:rPr>
                    <w:t>840.25</w:t>
                  </w:r>
                  <w:r>
                    <w:rPr>
                      <w:rFonts w:ascii="宋体" w:hAnsi="宋体" w:eastAsia="宋体" w:cs="宋体"/>
                      <w:sz w:val="21"/>
                      <w:u w:val="single"/>
                    </w:rPr>
                    <w:t>m</w:t>
                  </w:r>
                  <w:r>
                    <w:rPr>
                      <w:rFonts w:ascii="宋体" w:hAnsi="宋体" w:eastAsia="宋体" w:cs="宋体"/>
                      <w:sz w:val="21"/>
                      <w:u w:val="single"/>
                      <w:vertAlign w:val="superscript"/>
                    </w:rPr>
                    <w:t>3</w:t>
                  </w:r>
                </w:p>
              </w:tc>
              <w:tc>
                <w:tcPr>
                  <w:tcW w:w="3375" w:type="dxa"/>
                  <w:vAlign w:val="center"/>
                </w:tcPr>
                <w:p>
                  <w:pPr>
                    <w:pStyle w:val="62"/>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宋体" w:hAnsi="宋体" w:eastAsia="宋体" w:cs="宋体"/>
                      <w:sz w:val="21"/>
                      <w:u w:val="single"/>
                    </w:rPr>
                  </w:pPr>
                  <w:r>
                    <w:rPr>
                      <w:rFonts w:ascii="宋体" w:hAnsi="宋体" w:eastAsia="宋体" w:cs="宋体"/>
                      <w:sz w:val="21"/>
                      <w:u w:val="single"/>
                    </w:rPr>
                    <w:t>不设弃土场，定期运至市政土方平衡堆存场地，实现区域取弃土平衡</w:t>
                  </w:r>
                </w:p>
              </w:tc>
            </w:tr>
          </w:tbl>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为防止固体废物污染，应采取以下措施：</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1</w:t>
            </w:r>
            <w:r>
              <w:rPr>
                <w:rFonts w:hint="eastAsia" w:ascii="宋体" w:hAnsi="宋体" w:eastAsia="宋体" w:cs="宋体"/>
                <w:color w:val="000000"/>
                <w:kern w:val="0"/>
                <w:sz w:val="24"/>
                <w:szCs w:val="24"/>
                <w:u w:val="single"/>
                <w:lang w:val="en-US" w:eastAsia="zh-CN" w:bidi="ar"/>
              </w:rPr>
              <w:t>）现场搅拌砂浆时应按用量进行配料，尽量做到不洒、不漏、不剩、不倒。废弃的钢筋、木材等尽量做到回收循环利用。</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2</w:t>
            </w:r>
            <w:r>
              <w:rPr>
                <w:rFonts w:hint="eastAsia" w:ascii="宋体" w:hAnsi="宋体" w:eastAsia="宋体" w:cs="宋体"/>
                <w:color w:val="000000"/>
                <w:kern w:val="0"/>
                <w:sz w:val="24"/>
                <w:szCs w:val="24"/>
                <w:u w:val="single"/>
                <w:lang w:val="en-US" w:eastAsia="zh-CN" w:bidi="ar"/>
              </w:rPr>
              <w:t>）生活垃圾应集中收集，委托环卫部门处理，以免滋生蚊蝇。</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3</w:t>
            </w:r>
            <w:r>
              <w:rPr>
                <w:rFonts w:hint="eastAsia" w:ascii="宋体" w:hAnsi="宋体" w:eastAsia="宋体" w:cs="宋体"/>
                <w:color w:val="000000"/>
                <w:kern w:val="0"/>
                <w:sz w:val="24"/>
                <w:szCs w:val="24"/>
                <w:u w:val="single"/>
                <w:lang w:val="en-US" w:eastAsia="zh-CN" w:bidi="ar"/>
              </w:rPr>
              <w:t>）项目场地挖掘产生的土方应切实按照规划要求少量用于厂区绿化的抬高层及绿地铺设，其余大部分要外运处理，不造成对自然和环境的影响。</w:t>
            </w:r>
          </w:p>
          <w:p>
            <w:pPr>
              <w:keepNext w:val="0"/>
              <w:keepLines w:val="0"/>
              <w:widowControl/>
              <w:suppressLineNumbers w:val="0"/>
              <w:jc w:val="left"/>
              <w:rPr>
                <w:u w:val="single"/>
              </w:rPr>
            </w:pPr>
            <w:r>
              <w:rPr>
                <w:rFonts w:hint="default" w:ascii="Times New Roman" w:hAnsi="Times New Roman" w:eastAsia="宋体" w:cs="Times New Roman"/>
                <w:b/>
                <w:bCs/>
                <w:color w:val="000000"/>
                <w:kern w:val="0"/>
                <w:sz w:val="24"/>
                <w:szCs w:val="24"/>
                <w:u w:val="single"/>
                <w:lang w:val="en-US" w:eastAsia="zh-CN" w:bidi="ar"/>
              </w:rPr>
              <w:t>5</w:t>
            </w:r>
            <w:r>
              <w:rPr>
                <w:rFonts w:hint="eastAsia" w:ascii="宋体" w:hAnsi="宋体" w:eastAsia="宋体" w:cs="宋体"/>
                <w:b/>
                <w:bCs/>
                <w:color w:val="000000"/>
                <w:kern w:val="0"/>
                <w:sz w:val="24"/>
                <w:szCs w:val="24"/>
                <w:u w:val="single"/>
                <w:lang w:val="en-US" w:eastAsia="zh-CN" w:bidi="ar"/>
              </w:rPr>
              <w:t xml:space="preserve">、水土流失影响措施 </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项目建设占用土地会破坏地表植被，产生一定的生态影响。随着土地和道路的平整建设，原有的生态结构在性质上发生了实质性的变化。工程在挖土、填土后裸露表面被雨水冲刷后将造成水土流失，影响陆地生态系统及其稳定性。</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施工期导致水土流失的主要原因是地表开挖、弃土堆放及暴雨。项目土建施工是引起水土流失的工程因素，在施工过程中，土壤暴露在雨、风和其它干扰之下，另外，土方填挖，陡坡、边坡的形成和整理、弃土的堆放等，会使土壤暴露情况加剧，土壤结构会受到破坏，土壤抵抗侵蚀的能力将会大大减弱，项目所在地夏季暴雨较集中，降雨大，降雨时间长，在暴雨中由降雨所产生的土壤侵蚀，将会造成项目建设施工过程中的水土流失。</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在工程建设过程中，将造成大面积的土地裸露，导致不同程度的土壤侵蚀，水土流失现象。从而对地表植被、水体、土壤结构等产生潜在的危害。这种土壤侵蚀、水土流失现象，尤其是在梅雨季节和强降水季节会变得更为突出。本次评价采用经验公式（无明显侵蚀地区）计算水土流失量：</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水土流失量=土壤侵蚀模数×侵蚀面积×影响时段</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根据《土壤侵蚀分类分级标准》（SL190-2007）提出的全国土壤侵蚀类型区划，项目建设所在区域属于南方红壤丘陵区。经过类比同区域建设项目建设期侵蚀模数，确定本项目建设期侵蚀模数为4500t/km</w:t>
            </w:r>
            <w:r>
              <w:rPr>
                <w:rFonts w:hint="eastAsia" w:ascii="宋体" w:hAnsi="宋体" w:eastAsia="宋体" w:cs="宋体"/>
                <w:color w:val="000000"/>
                <w:kern w:val="0"/>
                <w:sz w:val="24"/>
                <w:szCs w:val="24"/>
                <w:u w:val="single"/>
                <w:vertAlign w:val="superscript"/>
                <w:lang w:val="en-US" w:eastAsia="zh-CN" w:bidi="ar"/>
              </w:rPr>
              <w:t>2</w:t>
            </w:r>
            <w:r>
              <w:rPr>
                <w:rFonts w:hint="eastAsia" w:ascii="宋体" w:hAnsi="宋体" w:eastAsia="宋体" w:cs="宋体"/>
                <w:color w:val="000000"/>
                <w:kern w:val="0"/>
                <w:sz w:val="24"/>
                <w:szCs w:val="24"/>
                <w:u w:val="single"/>
                <w:lang w:val="en-US" w:eastAsia="zh-CN" w:bidi="ar"/>
              </w:rPr>
              <w:t>.a。本项目建设期约为12个月，</w:t>
            </w:r>
            <w:r>
              <w:rPr>
                <w:rFonts w:hint="default" w:ascii="Times New Roman" w:hAnsi="Times New Roman" w:eastAsia="宋体" w:cs="Times New Roman"/>
                <w:color w:val="auto"/>
                <w:u w:val="single"/>
              </w:rPr>
              <w:t>项目总用地面积73333.70m</w:t>
            </w:r>
            <w:r>
              <w:rPr>
                <w:rFonts w:hint="default" w:ascii="Times New Roman" w:hAnsi="Times New Roman" w:eastAsia="宋体" w:cs="Times New Roman"/>
                <w:color w:val="auto"/>
                <w:u w:val="single"/>
                <w:vertAlign w:val="superscript"/>
                <w:lang w:val="en-US" w:eastAsia="zh-CN"/>
              </w:rPr>
              <w:t>2</w:t>
            </w:r>
            <w:r>
              <w:rPr>
                <w:rFonts w:hint="default" w:ascii="Times New Roman" w:hAnsi="Times New Roman" w:eastAsia="宋体" w:cs="Times New Roman"/>
                <w:color w:val="auto"/>
                <w:u w:val="single"/>
              </w:rPr>
              <w:t>(约</w:t>
            </w:r>
            <w:r>
              <w:rPr>
                <w:rFonts w:hint="eastAsia" w:eastAsia="宋体" w:cs="Times New Roman"/>
                <w:color w:val="auto"/>
                <w:u w:val="single"/>
                <w:lang w:val="en-US" w:eastAsia="zh-CN"/>
              </w:rPr>
              <w:t>0.0733</w:t>
            </w:r>
            <w:r>
              <w:rPr>
                <w:rFonts w:hint="eastAsia" w:ascii="宋体" w:hAnsi="宋体" w:eastAsia="宋体" w:cs="宋体"/>
                <w:color w:val="000000"/>
                <w:kern w:val="0"/>
                <w:sz w:val="24"/>
                <w:szCs w:val="24"/>
                <w:u w:val="single"/>
                <w:lang w:val="en-US" w:eastAsia="zh-CN" w:bidi="ar"/>
              </w:rPr>
              <w:t>km</w:t>
            </w:r>
            <w:r>
              <w:rPr>
                <w:rFonts w:hint="eastAsia" w:ascii="宋体" w:hAnsi="宋体" w:eastAsia="宋体" w:cs="宋体"/>
                <w:color w:val="000000"/>
                <w:kern w:val="0"/>
                <w:sz w:val="24"/>
                <w:szCs w:val="24"/>
                <w:u w:val="single"/>
                <w:vertAlign w:val="superscript"/>
                <w:lang w:val="en-US" w:eastAsia="zh-CN" w:bidi="ar"/>
              </w:rPr>
              <w:t>2</w:t>
            </w:r>
            <w:r>
              <w:rPr>
                <w:rFonts w:hint="default" w:ascii="Times New Roman" w:hAnsi="Times New Roman" w:eastAsia="宋体" w:cs="Times New Roman"/>
                <w:color w:val="auto"/>
                <w:u w:val="single"/>
              </w:rPr>
              <w:t>)</w:t>
            </w:r>
            <w:r>
              <w:rPr>
                <w:rFonts w:hint="eastAsia" w:eastAsia="宋体" w:cs="Times New Roman"/>
                <w:color w:val="auto"/>
                <w:u w:val="single"/>
                <w:lang w:eastAsia="zh-CN"/>
              </w:rPr>
              <w:t>，</w:t>
            </w:r>
            <w:r>
              <w:rPr>
                <w:rFonts w:hint="eastAsia" w:ascii="宋体" w:hAnsi="宋体" w:eastAsia="宋体" w:cs="宋体"/>
                <w:color w:val="000000"/>
                <w:kern w:val="0"/>
                <w:sz w:val="24"/>
                <w:szCs w:val="24"/>
                <w:u w:val="single"/>
                <w:lang w:val="en-US" w:eastAsia="zh-CN" w:bidi="ar"/>
              </w:rPr>
              <w:t>因此本项目建设期间的水土流失新增量为329.85t。</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项目土建施工是引起水土流失的工程因素，在施工过程中，土壤暴露在雨、风和其它干扰之中，另外，施工期中土方填挖会施工过程中，使土壤暴露情况加剧。在施工过程中必将形成新的开挖面，经开挖处或者清理的植被，由于土体结构的扰动，破坏了原来的地貌和地表植被，使土壤的抗侵蚀能力大大减弱，会导致不同程度的水土流失；特别是降雨期，在径流的冲刷作用下，施工场地的水土流失量将会大量增加，污染附近水体，其后果是水变浑浊，透明度降低。为减小水土流失量应采取下列防治措施：</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①施工上做好各项排水、截水、防止水土流失的设计。</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②在施工中，应合理安排施工计划、施工程序，协调好各个施工步骤，在降雨时，还应采取应急措施，尽量用覆盖物覆盖新开挖的边坡，防止冲刷和塌崩。</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③在场区以及道路施工场地，争取做到土料随填随压，不留松土。同时， 要开边沟，边坡要用石块铺砌。</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④运土、运砂石卡车要保持完好，运输时装载不宜太满，保证运载过程不散落。</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采取上述措施后，施工期水土流失程度将得到较大的改善，且土建工程结束后，水土流失便得到控制，因土建工程施工期较短，施工期不在雨季，对环境影响不大。</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通过进行合理施工布置，精心组织施工管理，严格将工程施工区控制在最小范围内；施工后进行地貌、植被恢复，以植被护土，防止或减轻水土流失；做好现场施工人员的宣传、教育、管理工作；在施工过程中，尽量减少开挖量，回填应按原有的土层顺序进行等生态保护措施后，可最大程度的降低和减轻本项目建设对生态环境的影响和破坏。</w:t>
            </w:r>
          </w:p>
          <w:p>
            <w:pPr>
              <w:adjustRightInd w:val="0"/>
              <w:snapToGrid w:val="0"/>
              <w:ind w:left="0" w:leftChars="0" w:firstLine="0" w:firstLineChars="0"/>
              <w:rPr>
                <w:u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4" w:hRule="atLeast"/>
          <w:jc w:val="center"/>
        </w:trPr>
        <w:tc>
          <w:tcPr>
            <w:tcW w:w="164" w:type="pct"/>
            <w:tcMar>
              <w:left w:w="28" w:type="dxa"/>
              <w:right w:w="28" w:type="dxa"/>
            </w:tcMar>
            <w:vAlign w:val="center"/>
          </w:tcPr>
          <w:p>
            <w:pPr>
              <w:adjustRightInd w:val="0"/>
              <w:snapToGrid w:val="0"/>
              <w:ind w:firstLine="0" w:firstLineChars="0"/>
              <w:jc w:val="center"/>
              <w:rPr>
                <w:rFonts w:ascii="宋体" w:hAnsi="宋体" w:cs="宋体"/>
                <w:bCs/>
                <w:szCs w:val="21"/>
                <w:u w:val="none"/>
              </w:rPr>
            </w:pPr>
            <w:r>
              <w:rPr>
                <w:rFonts w:hint="eastAsia" w:ascii="宋体" w:hAnsi="宋体" w:cs="宋体"/>
                <w:bCs/>
                <w:szCs w:val="21"/>
                <w:u w:val="none"/>
              </w:rPr>
              <w:t>运营期环境影响和保护措施</w:t>
            </w:r>
          </w:p>
        </w:tc>
        <w:tc>
          <w:tcPr>
            <w:tcW w:w="4835" w:type="pct"/>
            <w:tcBorders>
              <w:right w:val="single" w:color="auto" w:sz="4" w:space="0"/>
            </w:tcBorders>
            <w:vAlign w:val="center"/>
          </w:tcPr>
          <w:p>
            <w:pPr>
              <w:adjustRightInd w:val="0"/>
              <w:snapToGrid w:val="0"/>
              <w:ind w:firstLine="480"/>
              <w:rPr>
                <w:rFonts w:hint="eastAsia"/>
                <w:u w:val="single"/>
              </w:rPr>
            </w:pPr>
            <w:r>
              <w:rPr>
                <w:rFonts w:hint="eastAsia" w:ascii="宋体" w:hAnsi="宋体" w:cs="宋体"/>
                <w:b/>
                <w:bCs/>
                <w:color w:val="000000"/>
                <w:kern w:val="0"/>
                <w:sz w:val="24"/>
                <w:szCs w:val="24"/>
                <w:u w:val="single"/>
                <w:lang w:val="en-US" w:eastAsia="zh-CN" w:bidi="ar"/>
              </w:rPr>
              <w:t>二</w:t>
            </w:r>
            <w:r>
              <w:rPr>
                <w:rFonts w:hint="eastAsia" w:ascii="宋体" w:hAnsi="宋体" w:eastAsia="宋体" w:cs="宋体"/>
                <w:b/>
                <w:bCs/>
                <w:color w:val="000000"/>
                <w:kern w:val="0"/>
                <w:sz w:val="24"/>
                <w:szCs w:val="24"/>
                <w:u w:val="single"/>
                <w:lang w:val="en-US" w:eastAsia="zh-CN" w:bidi="ar"/>
              </w:rPr>
              <w:t>、</w:t>
            </w:r>
            <w:r>
              <w:rPr>
                <w:rFonts w:hint="eastAsia" w:ascii="宋体" w:hAnsi="宋体" w:cs="宋体"/>
                <w:b/>
                <w:bCs/>
                <w:color w:val="000000"/>
                <w:kern w:val="0"/>
                <w:sz w:val="24"/>
                <w:szCs w:val="24"/>
                <w:u w:val="single"/>
                <w:lang w:val="en-US" w:eastAsia="zh-CN" w:bidi="ar"/>
              </w:rPr>
              <w:t>营运</w:t>
            </w:r>
            <w:r>
              <w:rPr>
                <w:rFonts w:hint="eastAsia" w:ascii="宋体" w:hAnsi="宋体" w:eastAsia="宋体" w:cs="宋体"/>
                <w:b/>
                <w:bCs/>
                <w:color w:val="000000"/>
                <w:kern w:val="0"/>
                <w:sz w:val="24"/>
                <w:szCs w:val="24"/>
                <w:u w:val="single"/>
                <w:lang w:val="en-US" w:eastAsia="zh-CN" w:bidi="ar"/>
              </w:rPr>
              <w:t>期环境影响措施：</w:t>
            </w:r>
          </w:p>
          <w:p>
            <w:pPr>
              <w:adjustRightInd w:val="0"/>
              <w:snapToGrid w:val="0"/>
              <w:ind w:firstLine="480"/>
              <w:rPr>
                <w:u w:val="single"/>
              </w:rPr>
            </w:pPr>
            <w:r>
              <w:rPr>
                <w:rFonts w:hint="eastAsia"/>
                <w:u w:val="single"/>
              </w:rPr>
              <w:t>1、废气</w:t>
            </w:r>
          </w:p>
          <w:p>
            <w:pPr>
              <w:adjustRightInd w:val="0"/>
              <w:snapToGrid w:val="0"/>
              <w:ind w:firstLine="480"/>
              <w:rPr>
                <w:u w:val="single"/>
              </w:rPr>
            </w:pPr>
            <w:r>
              <w:rPr>
                <w:rFonts w:hint="eastAsia"/>
                <w:u w:val="single"/>
              </w:rPr>
              <w:t>1.1废气污染物产排情况</w:t>
            </w:r>
          </w:p>
          <w:p>
            <w:pPr>
              <w:adjustRightInd w:val="0"/>
              <w:snapToGrid w:val="0"/>
              <w:ind w:firstLine="480"/>
              <w:rPr>
                <w:u w:val="single"/>
              </w:rPr>
            </w:pPr>
            <w:r>
              <w:rPr>
                <w:rFonts w:hint="eastAsia"/>
                <w:u w:val="single"/>
              </w:rPr>
              <w:t>（1）锅炉废气</w:t>
            </w:r>
          </w:p>
          <w:p>
            <w:pPr>
              <w:adjustRightInd w:val="0"/>
              <w:snapToGrid w:val="0"/>
              <w:ind w:firstLine="480"/>
              <w:rPr>
                <w:rFonts w:hint="default"/>
                <w:u w:val="single"/>
                <w:lang w:val="en-US" w:eastAsia="zh-CN"/>
              </w:rPr>
            </w:pPr>
            <w:r>
              <w:rPr>
                <w:rFonts w:hint="eastAsia"/>
                <w:u w:val="single"/>
              </w:rPr>
              <w:t>①</w:t>
            </w:r>
            <w:r>
              <w:rPr>
                <w:rFonts w:hint="eastAsia"/>
                <w:u w:val="single"/>
                <w:lang w:val="en-US" w:eastAsia="zh-CN"/>
              </w:rPr>
              <w:t>正常排放</w:t>
            </w:r>
          </w:p>
          <w:p>
            <w:pPr>
              <w:adjustRightInd w:val="0"/>
              <w:snapToGrid w:val="0"/>
              <w:ind w:firstLine="480"/>
              <w:rPr>
                <w:rFonts w:hint="eastAsia"/>
                <w:u w:val="single"/>
              </w:rPr>
            </w:pPr>
            <w:r>
              <w:rPr>
                <w:rFonts w:hint="eastAsia"/>
                <w:u w:val="single"/>
                <w:lang w:val="en-US" w:eastAsia="zh-CN"/>
              </w:rPr>
              <w:t xml:space="preserve">生物质燃烧产生的烟气量、二氧化硫、氮氧化物和颗粒物产生情况计算如下： </w:t>
            </w:r>
          </w:p>
          <w:p>
            <w:pPr>
              <w:adjustRightInd w:val="0"/>
              <w:snapToGrid w:val="0"/>
              <w:ind w:firstLine="480"/>
              <w:rPr>
                <w:rFonts w:hint="eastAsia"/>
                <w:u w:val="single"/>
              </w:rPr>
            </w:pPr>
            <w:r>
              <w:rPr>
                <w:rFonts w:hint="eastAsia"/>
                <w:u w:val="single"/>
                <w:lang w:val="en-US" w:eastAsia="zh-CN"/>
              </w:rPr>
              <w:t>①烟气量</w:t>
            </w:r>
          </w:p>
          <w:p>
            <w:pPr>
              <w:adjustRightInd w:val="0"/>
              <w:snapToGrid w:val="0"/>
              <w:ind w:firstLine="480"/>
              <w:rPr>
                <w:rFonts w:hint="eastAsia"/>
                <w:u w:val="single"/>
              </w:rPr>
            </w:pPr>
            <w:r>
              <w:rPr>
                <w:rFonts w:hint="eastAsia"/>
                <w:u w:val="single"/>
                <w:lang w:val="en-US" w:eastAsia="zh-CN"/>
              </w:rPr>
              <w:t>项目生物质颗粒燃烧产生的烟气量参照《排污许可证申请与核发技术规范锅炉》（</w:t>
            </w:r>
            <w:r>
              <w:rPr>
                <w:rFonts w:hint="default"/>
                <w:u w:val="single"/>
                <w:lang w:val="en-US" w:eastAsia="zh-CN"/>
              </w:rPr>
              <w:t>HJ953-2018</w:t>
            </w:r>
            <w:r>
              <w:rPr>
                <w:rFonts w:hint="eastAsia"/>
                <w:u w:val="single"/>
                <w:lang w:val="en-US" w:eastAsia="zh-CN"/>
              </w:rPr>
              <w:t>）表</w:t>
            </w:r>
            <w:r>
              <w:rPr>
                <w:rFonts w:hint="default"/>
                <w:u w:val="single"/>
                <w:lang w:val="en-US" w:eastAsia="zh-CN"/>
              </w:rPr>
              <w:t>5</w:t>
            </w:r>
            <w:r>
              <w:rPr>
                <w:rFonts w:hint="eastAsia"/>
                <w:u w:val="single"/>
                <w:lang w:val="en-US" w:eastAsia="zh-CN"/>
              </w:rPr>
              <w:t>中的燃生物质锅炉基准烟气量取值表中计算公式计算，若无燃料元素分析数据或气体组成成分分析数据，可根据燃料低位发热量计算基准烟气量。</w:t>
            </w:r>
          </w:p>
          <w:p>
            <w:pPr>
              <w:adjustRightInd w:val="0"/>
              <w:snapToGrid w:val="0"/>
              <w:ind w:firstLine="480"/>
              <w:rPr>
                <w:rFonts w:hint="eastAsia"/>
                <w:u w:val="single"/>
              </w:rPr>
            </w:pPr>
            <w:r>
              <w:rPr>
                <w:rFonts w:hint="eastAsia"/>
                <w:u w:val="single"/>
                <w:lang w:val="en-US" w:eastAsia="zh-CN"/>
              </w:rPr>
              <w:t>具体基准烟气量计算公式如下：</w:t>
            </w:r>
          </w:p>
          <w:p>
            <w:pPr>
              <w:adjustRightInd w:val="0"/>
              <w:snapToGrid w:val="0"/>
              <w:ind w:firstLine="480"/>
              <w:rPr>
                <w:rFonts w:hint="eastAsia"/>
                <w:u w:val="single"/>
              </w:rPr>
            </w:pPr>
            <w:r>
              <w:rPr>
                <w:rFonts w:hint="default"/>
                <w:u w:val="single"/>
                <w:lang w:val="en-US" w:eastAsia="zh-CN"/>
              </w:rPr>
              <w:t>Vgy=0.393Qnet,ar+0.876</w:t>
            </w:r>
          </w:p>
          <w:p>
            <w:pPr>
              <w:adjustRightInd w:val="0"/>
              <w:snapToGrid w:val="0"/>
              <w:ind w:firstLine="480"/>
              <w:rPr>
                <w:rFonts w:hint="eastAsia"/>
                <w:u w:val="single"/>
              </w:rPr>
            </w:pPr>
            <w:r>
              <w:rPr>
                <w:rFonts w:hint="eastAsia"/>
                <w:u w:val="single"/>
                <w:lang w:val="en-US" w:eastAsia="zh-CN"/>
              </w:rPr>
              <w:t>式中：</w:t>
            </w:r>
            <w:r>
              <w:rPr>
                <w:rFonts w:hint="default"/>
                <w:u w:val="single"/>
                <w:lang w:val="en-US" w:eastAsia="zh-CN"/>
              </w:rPr>
              <w:t>Vgy——</w:t>
            </w:r>
            <w:r>
              <w:rPr>
                <w:rFonts w:hint="eastAsia"/>
                <w:u w:val="single"/>
                <w:lang w:val="en-US" w:eastAsia="zh-CN"/>
              </w:rPr>
              <w:t>基准烟气量，</w:t>
            </w:r>
            <w:r>
              <w:rPr>
                <w:rFonts w:hint="default"/>
                <w:u w:val="single"/>
                <w:lang w:val="en-US" w:eastAsia="zh-CN"/>
              </w:rPr>
              <w:t>Nm</w:t>
            </w:r>
            <w:r>
              <w:rPr>
                <w:rFonts w:hint="default"/>
                <w:u w:val="single"/>
                <w:vertAlign w:val="superscript"/>
                <w:lang w:val="en-US" w:eastAsia="zh-CN"/>
              </w:rPr>
              <w:t>3</w:t>
            </w:r>
            <w:r>
              <w:rPr>
                <w:rFonts w:hint="default"/>
                <w:u w:val="single"/>
                <w:lang w:val="en-US" w:eastAsia="zh-CN"/>
              </w:rPr>
              <w:t>/kg</w:t>
            </w:r>
            <w:r>
              <w:rPr>
                <w:rFonts w:hint="eastAsia"/>
                <w:u w:val="single"/>
                <w:lang w:val="en-US" w:eastAsia="zh-CN"/>
              </w:rPr>
              <w:t>；</w:t>
            </w:r>
          </w:p>
          <w:p>
            <w:pPr>
              <w:adjustRightInd w:val="0"/>
              <w:snapToGrid w:val="0"/>
              <w:ind w:firstLine="480"/>
              <w:rPr>
                <w:rFonts w:hint="eastAsia"/>
                <w:u w:val="single"/>
              </w:rPr>
            </w:pPr>
            <w:r>
              <w:rPr>
                <w:rFonts w:hint="default"/>
                <w:u w:val="single"/>
                <w:lang w:val="en-US" w:eastAsia="zh-CN"/>
              </w:rPr>
              <w:t>Qnet,ar——</w:t>
            </w:r>
            <w:r>
              <w:rPr>
                <w:rFonts w:hint="eastAsia"/>
                <w:u w:val="single"/>
                <w:lang w:val="en-US" w:eastAsia="zh-CN"/>
              </w:rPr>
              <w:t>固体</w:t>
            </w:r>
            <w:r>
              <w:rPr>
                <w:rFonts w:hint="default"/>
                <w:u w:val="single"/>
                <w:lang w:val="en-US" w:eastAsia="zh-CN"/>
              </w:rPr>
              <w:t>/</w:t>
            </w:r>
            <w:r>
              <w:rPr>
                <w:rFonts w:hint="eastAsia"/>
                <w:u w:val="single"/>
                <w:lang w:val="en-US" w:eastAsia="zh-CN"/>
              </w:rPr>
              <w:t>液体燃料收到基低位发热量（</w:t>
            </w:r>
            <w:r>
              <w:rPr>
                <w:rFonts w:hint="default"/>
                <w:u w:val="single"/>
                <w:lang w:val="en-US" w:eastAsia="zh-CN"/>
              </w:rPr>
              <w:t>MJ/kg</w:t>
            </w:r>
            <w:r>
              <w:rPr>
                <w:rFonts w:hint="eastAsia"/>
                <w:u w:val="single"/>
                <w:lang w:val="en-US" w:eastAsia="zh-CN"/>
              </w:rPr>
              <w:t>），本项目取16.18；</w:t>
            </w:r>
          </w:p>
          <w:p>
            <w:pPr>
              <w:adjustRightInd w:val="0"/>
              <w:snapToGrid w:val="0"/>
              <w:ind w:firstLine="480"/>
              <w:rPr>
                <w:rFonts w:hint="eastAsia"/>
                <w:u w:val="single"/>
              </w:rPr>
            </w:pPr>
            <w:r>
              <w:rPr>
                <w:rFonts w:hint="eastAsia"/>
                <w:u w:val="single"/>
                <w:lang w:val="en-US" w:eastAsia="zh-CN"/>
              </w:rPr>
              <w:t>经计算，</w:t>
            </w:r>
            <w:r>
              <w:rPr>
                <w:rFonts w:hint="default"/>
                <w:u w:val="single"/>
                <w:lang w:val="en-US" w:eastAsia="zh-CN"/>
              </w:rPr>
              <w:t>Vgy=</w:t>
            </w:r>
            <w:r>
              <w:rPr>
                <w:rFonts w:hint="eastAsia"/>
                <w:u w:val="single"/>
                <w:lang w:val="en-US" w:eastAsia="zh-CN"/>
              </w:rPr>
              <w:t>7.235</w:t>
            </w:r>
            <w:r>
              <w:rPr>
                <w:rFonts w:hint="default"/>
                <w:u w:val="single"/>
                <w:lang w:val="en-US" w:eastAsia="zh-CN"/>
              </w:rPr>
              <w:t>Nm</w:t>
            </w:r>
            <w:r>
              <w:rPr>
                <w:rFonts w:hint="default"/>
                <w:u w:val="single"/>
                <w:vertAlign w:val="superscript"/>
                <w:lang w:val="en-US" w:eastAsia="zh-CN"/>
              </w:rPr>
              <w:t>3</w:t>
            </w:r>
            <w:r>
              <w:rPr>
                <w:rFonts w:hint="default"/>
                <w:u w:val="single"/>
                <w:lang w:val="en-US" w:eastAsia="zh-CN"/>
              </w:rPr>
              <w:t>/kg</w:t>
            </w:r>
          </w:p>
          <w:p>
            <w:pPr>
              <w:adjustRightInd w:val="0"/>
              <w:snapToGrid w:val="0"/>
              <w:ind w:firstLine="480"/>
              <w:rPr>
                <w:rFonts w:hint="eastAsia"/>
                <w:u w:val="single"/>
              </w:rPr>
            </w:pPr>
            <w:r>
              <w:rPr>
                <w:rFonts w:hint="eastAsia"/>
                <w:u w:val="single"/>
                <w:lang w:val="en-US" w:eastAsia="zh-CN"/>
              </w:rPr>
              <w:t>本项目年使用生物质燃料2551.24吨，则锅炉烟气产生量为1845.76万</w:t>
            </w:r>
            <w:r>
              <w:rPr>
                <w:rFonts w:hint="default"/>
                <w:u w:val="single"/>
                <w:lang w:val="en-US" w:eastAsia="zh-CN"/>
              </w:rPr>
              <w:t>m</w:t>
            </w:r>
            <w:r>
              <w:rPr>
                <w:rFonts w:hint="default"/>
                <w:u w:val="single"/>
                <w:vertAlign w:val="superscript"/>
                <w:lang w:val="en-US" w:eastAsia="zh-CN"/>
              </w:rPr>
              <w:t>3</w:t>
            </w:r>
            <w:r>
              <w:rPr>
                <w:rFonts w:hint="default"/>
                <w:u w:val="single"/>
                <w:lang w:val="en-US" w:eastAsia="zh-CN"/>
              </w:rPr>
              <w:t>/a</w:t>
            </w:r>
            <w:r>
              <w:rPr>
                <w:rFonts w:hint="eastAsia"/>
                <w:u w:val="single"/>
                <w:lang w:val="en-US" w:eastAsia="zh-CN"/>
              </w:rPr>
              <w:t>。</w:t>
            </w:r>
          </w:p>
          <w:p>
            <w:pPr>
              <w:adjustRightInd w:val="0"/>
              <w:snapToGrid w:val="0"/>
              <w:ind w:firstLine="480"/>
              <w:rPr>
                <w:rFonts w:hint="eastAsia"/>
                <w:u w:val="single"/>
              </w:rPr>
            </w:pPr>
            <w:r>
              <w:rPr>
                <w:rFonts w:hint="eastAsia"/>
                <w:u w:val="single"/>
                <w:lang w:val="en-US" w:eastAsia="zh-CN"/>
              </w:rPr>
              <w:t xml:space="preserve">②二氧化硫 </w:t>
            </w:r>
          </w:p>
          <w:p>
            <w:pPr>
              <w:adjustRightInd w:val="0"/>
              <w:snapToGrid w:val="0"/>
              <w:ind w:firstLine="480"/>
              <w:rPr>
                <w:rFonts w:hint="eastAsia"/>
                <w:u w:val="single"/>
                <w:lang w:val="en-US" w:eastAsia="zh-CN"/>
              </w:rPr>
            </w:pPr>
            <w:r>
              <w:rPr>
                <w:rFonts w:hint="eastAsia"/>
                <w:u w:val="single"/>
                <w:lang w:val="en-US" w:eastAsia="zh-CN"/>
              </w:rPr>
              <w:t>根据《污染源源强核算技术指南 锅炉》（HJ991-2018）表</w:t>
            </w:r>
            <w:r>
              <w:rPr>
                <w:rFonts w:hint="default"/>
                <w:u w:val="single"/>
                <w:lang w:val="en-US" w:eastAsia="zh-CN"/>
              </w:rPr>
              <w:t>1</w:t>
            </w:r>
            <w:r>
              <w:rPr>
                <w:rFonts w:hint="eastAsia"/>
                <w:u w:val="single"/>
                <w:lang w:val="en-US" w:eastAsia="zh-CN"/>
              </w:rPr>
              <w:t>源强核算方法选取次序表，锅炉烟囱有组织废气（正常工况）新（改、扩）建工程污染源核算方法及选取优先次序：</w:t>
            </w:r>
            <w:r>
              <w:rPr>
                <w:rFonts w:hint="default"/>
                <w:u w:val="single"/>
                <w:lang w:val="en-US" w:eastAsia="zh-CN"/>
              </w:rPr>
              <w:t>1.</w:t>
            </w:r>
            <w:r>
              <w:rPr>
                <w:rFonts w:hint="eastAsia"/>
                <w:u w:val="single"/>
                <w:lang w:val="en-US" w:eastAsia="zh-CN"/>
              </w:rPr>
              <w:t>物料衡算法、</w:t>
            </w:r>
            <w:r>
              <w:rPr>
                <w:rFonts w:hint="default"/>
                <w:u w:val="single"/>
                <w:lang w:val="en-US" w:eastAsia="zh-CN"/>
              </w:rPr>
              <w:t>2.</w:t>
            </w:r>
            <w:r>
              <w:rPr>
                <w:rFonts w:hint="eastAsia"/>
                <w:u w:val="single"/>
                <w:lang w:val="en-US" w:eastAsia="zh-CN"/>
              </w:rPr>
              <w:t>类比法、</w:t>
            </w:r>
            <w:r>
              <w:rPr>
                <w:rFonts w:hint="default"/>
                <w:u w:val="single"/>
                <w:lang w:val="en-US" w:eastAsia="zh-CN"/>
              </w:rPr>
              <w:t>3.</w:t>
            </w:r>
            <w:r>
              <w:rPr>
                <w:rFonts w:hint="eastAsia"/>
                <w:u w:val="single"/>
                <w:lang w:val="en-US" w:eastAsia="zh-CN"/>
              </w:rPr>
              <w:t>产污系数法，则本项目二氧化硫排放源强核算优先采用物料衡算法。根据《污染源源强核算技术指南 锅炉》（</w:t>
            </w:r>
            <w:r>
              <w:rPr>
                <w:rFonts w:hint="default"/>
                <w:u w:val="single"/>
                <w:lang w:val="en-US" w:eastAsia="zh-CN"/>
              </w:rPr>
              <w:t>HJ991-2018</w:t>
            </w:r>
            <w:r>
              <w:rPr>
                <w:rFonts w:hint="eastAsia"/>
                <w:u w:val="single"/>
                <w:lang w:val="en-US" w:eastAsia="zh-CN"/>
              </w:rPr>
              <w:t>）中</w:t>
            </w:r>
            <w:r>
              <w:rPr>
                <w:rFonts w:hint="default"/>
                <w:u w:val="single"/>
                <w:lang w:val="en-US" w:eastAsia="zh-CN"/>
              </w:rPr>
              <w:t>5.1.1</w:t>
            </w:r>
            <w:r>
              <w:rPr>
                <w:rFonts w:hint="eastAsia"/>
                <w:u w:val="single"/>
                <w:lang w:val="en-US" w:eastAsia="zh-CN"/>
              </w:rPr>
              <w:t xml:space="preserve">燃煤、燃生物质锅炉物料衡算法，本项目二氧化硫排放量按下式计算： </w:t>
            </w:r>
          </w:p>
          <w:p>
            <w:pPr>
              <w:keepNext w:val="0"/>
              <w:keepLines w:val="0"/>
              <w:widowControl/>
              <w:suppressLineNumbers w:val="0"/>
              <w:jc w:val="left"/>
              <w:rPr>
                <w:rFonts w:hint="eastAsia" w:ascii="宋体" w:hAnsi="宋体" w:eastAsia="宋体" w:cs="宋体"/>
                <w:color w:val="FF0000"/>
                <w:kern w:val="0"/>
                <w:sz w:val="24"/>
                <w:szCs w:val="24"/>
                <w:u w:val="single"/>
                <w:lang w:val="en-US" w:eastAsia="zh-CN" w:bidi="ar"/>
              </w:rPr>
            </w:pPr>
            <w:r>
              <w:rPr>
                <w:u w:val="single"/>
              </w:rPr>
              <w:drawing>
                <wp:inline distT="0" distB="0" distL="114300" distR="114300">
                  <wp:extent cx="2599055" cy="445135"/>
                  <wp:effectExtent l="0" t="0" r="10795" b="1206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3"/>
                          <a:stretch>
                            <a:fillRect/>
                          </a:stretch>
                        </pic:blipFill>
                        <pic:spPr>
                          <a:xfrm>
                            <a:off x="0" y="0"/>
                            <a:ext cx="2599055" cy="445135"/>
                          </a:xfrm>
                          <a:prstGeom prst="rect">
                            <a:avLst/>
                          </a:prstGeom>
                          <a:noFill/>
                          <a:ln>
                            <a:noFill/>
                          </a:ln>
                        </pic:spPr>
                      </pic:pic>
                    </a:graphicData>
                  </a:graphic>
                </wp:inline>
              </w:drawing>
            </w:r>
          </w:p>
          <w:p>
            <w:pPr>
              <w:adjustRightInd w:val="0"/>
              <w:snapToGrid w:val="0"/>
              <w:ind w:firstLine="480"/>
              <w:rPr>
                <w:rFonts w:hint="eastAsia"/>
                <w:u w:val="single"/>
                <w:lang w:val="en-US" w:eastAsia="zh-CN"/>
              </w:rPr>
            </w:pPr>
            <w:r>
              <w:rPr>
                <w:rFonts w:hint="eastAsia"/>
                <w:u w:val="single"/>
                <w:lang w:val="en-US" w:eastAsia="zh-CN"/>
              </w:rPr>
              <w:t>式中：</w:t>
            </w:r>
            <w:r>
              <w:rPr>
                <w:rFonts w:hint="default"/>
                <w:u w:val="single"/>
                <w:lang w:val="en-US" w:eastAsia="zh-CN"/>
              </w:rPr>
              <w:t>ESO</w:t>
            </w:r>
            <w:r>
              <w:rPr>
                <w:rFonts w:hint="default"/>
                <w:u w:val="single"/>
                <w:vertAlign w:val="subscript"/>
                <w:lang w:val="en-US" w:eastAsia="zh-CN"/>
              </w:rPr>
              <w:t>2</w:t>
            </w:r>
            <w:r>
              <w:rPr>
                <w:rFonts w:hint="eastAsia"/>
                <w:u w:val="single"/>
                <w:lang w:val="en-US" w:eastAsia="zh-CN"/>
              </w:rPr>
              <w:t>——核算时段内二氧化硫排放量，</w:t>
            </w:r>
            <w:r>
              <w:rPr>
                <w:rFonts w:hint="default"/>
                <w:u w:val="single"/>
                <w:lang w:val="en-US" w:eastAsia="zh-CN"/>
              </w:rPr>
              <w:t>t</w:t>
            </w:r>
            <w:r>
              <w:rPr>
                <w:rFonts w:hint="eastAsia"/>
                <w:u w:val="single"/>
                <w:lang w:val="en-US" w:eastAsia="zh-CN"/>
              </w:rPr>
              <w:t>；</w:t>
            </w:r>
          </w:p>
          <w:p>
            <w:pPr>
              <w:adjustRightInd w:val="0"/>
              <w:snapToGrid w:val="0"/>
              <w:ind w:firstLine="480"/>
              <w:rPr>
                <w:rFonts w:hint="eastAsia"/>
                <w:u w:val="single"/>
                <w:lang w:val="en-US" w:eastAsia="zh-CN"/>
              </w:rPr>
            </w:pPr>
            <w:r>
              <w:rPr>
                <w:rFonts w:hint="eastAsia"/>
                <w:u w:val="single"/>
                <w:lang w:val="en-US" w:eastAsia="zh-CN"/>
              </w:rPr>
              <w:t>R——核算时段内锅炉燃料耗量，2551.24</w:t>
            </w:r>
            <w:r>
              <w:rPr>
                <w:rFonts w:hint="default"/>
                <w:u w:val="single"/>
                <w:lang w:val="en-US" w:eastAsia="zh-CN"/>
              </w:rPr>
              <w:t>t/a</w:t>
            </w:r>
            <w:r>
              <w:rPr>
                <w:rFonts w:hint="eastAsia"/>
                <w:u w:val="single"/>
                <w:lang w:val="en-US" w:eastAsia="zh-CN"/>
              </w:rPr>
              <w:t xml:space="preserve">； </w:t>
            </w:r>
          </w:p>
          <w:p>
            <w:pPr>
              <w:adjustRightInd w:val="0"/>
              <w:snapToGrid w:val="0"/>
              <w:ind w:firstLine="480"/>
              <w:rPr>
                <w:rFonts w:hint="eastAsia"/>
                <w:u w:val="single"/>
                <w:lang w:val="en-US" w:eastAsia="zh-CN"/>
              </w:rPr>
            </w:pPr>
            <w:r>
              <w:rPr>
                <w:rFonts w:hint="default"/>
                <w:u w:val="single"/>
                <w:lang w:val="en-US" w:eastAsia="zh-CN"/>
              </w:rPr>
              <w:t>Sar</w:t>
            </w:r>
            <w:r>
              <w:rPr>
                <w:rFonts w:hint="eastAsia"/>
                <w:u w:val="single"/>
                <w:lang w:val="en-US" w:eastAsia="zh-CN"/>
              </w:rPr>
              <w:t>——收到基硫的质量分数，取</w:t>
            </w:r>
            <w:r>
              <w:rPr>
                <w:rFonts w:hint="default"/>
                <w:u w:val="single"/>
                <w:lang w:val="en-US" w:eastAsia="zh-CN"/>
              </w:rPr>
              <w:t>0.</w:t>
            </w:r>
            <w:r>
              <w:rPr>
                <w:rFonts w:hint="eastAsia"/>
                <w:u w:val="single"/>
                <w:lang w:val="en-US" w:eastAsia="zh-CN"/>
              </w:rPr>
              <w:t>11</w:t>
            </w:r>
            <w:r>
              <w:rPr>
                <w:rFonts w:hint="default"/>
                <w:u w:val="single"/>
                <w:lang w:val="en-US" w:eastAsia="zh-CN"/>
              </w:rPr>
              <w:t>%</w:t>
            </w:r>
            <w:r>
              <w:rPr>
                <w:rFonts w:hint="eastAsia"/>
                <w:u w:val="single"/>
                <w:lang w:val="en-US" w:eastAsia="zh-CN"/>
              </w:rPr>
              <w:t>；</w:t>
            </w:r>
          </w:p>
          <w:p>
            <w:pPr>
              <w:adjustRightInd w:val="0"/>
              <w:snapToGrid w:val="0"/>
              <w:ind w:firstLine="480"/>
              <w:rPr>
                <w:rFonts w:hint="eastAsia"/>
                <w:u w:val="single"/>
                <w:lang w:val="en-US" w:eastAsia="zh-CN"/>
              </w:rPr>
            </w:pPr>
            <w:r>
              <w:rPr>
                <w:rFonts w:hint="default"/>
                <w:u w:val="single"/>
                <w:lang w:val="en-US" w:eastAsia="zh-CN"/>
              </w:rPr>
              <w:t>q4</w:t>
            </w:r>
            <w:r>
              <w:rPr>
                <w:rFonts w:hint="eastAsia"/>
                <w:u w:val="single"/>
                <w:lang w:val="en-US" w:eastAsia="zh-CN"/>
              </w:rPr>
              <w:t>——锅炉机械不完全燃烧热损失，参考《污染源源强核算技术指南锅炉》（</w:t>
            </w:r>
            <w:r>
              <w:rPr>
                <w:rFonts w:hint="default"/>
                <w:u w:val="single"/>
                <w:lang w:val="en-US" w:eastAsia="zh-CN"/>
              </w:rPr>
              <w:t>HJ991-2018</w:t>
            </w:r>
            <w:r>
              <w:rPr>
                <w:rFonts w:hint="eastAsia"/>
                <w:u w:val="single"/>
                <w:lang w:val="en-US" w:eastAsia="zh-CN"/>
              </w:rPr>
              <w:t>）附录</w:t>
            </w:r>
            <w:r>
              <w:rPr>
                <w:rFonts w:hint="default"/>
                <w:u w:val="single"/>
                <w:lang w:val="en-US" w:eastAsia="zh-CN"/>
              </w:rPr>
              <w:t>B</w:t>
            </w:r>
            <w:r>
              <w:rPr>
                <w:rFonts w:hint="eastAsia"/>
                <w:u w:val="single"/>
                <w:lang w:val="en-US" w:eastAsia="zh-CN"/>
              </w:rPr>
              <w:t>表</w:t>
            </w:r>
            <w:r>
              <w:rPr>
                <w:rFonts w:hint="default"/>
                <w:u w:val="single"/>
                <w:lang w:val="en-US" w:eastAsia="zh-CN"/>
              </w:rPr>
              <w:t>B.1</w:t>
            </w:r>
            <w:r>
              <w:rPr>
                <w:rFonts w:hint="eastAsia"/>
                <w:u w:val="single"/>
                <w:lang w:val="en-US" w:eastAsia="zh-CN"/>
              </w:rPr>
              <w:t>，燃生物质炉不完全燃烧热损失为</w:t>
            </w:r>
            <w:r>
              <w:rPr>
                <w:rFonts w:hint="default"/>
                <w:u w:val="single"/>
                <w:lang w:val="en-US" w:eastAsia="zh-CN"/>
              </w:rPr>
              <w:t>2%</w:t>
            </w:r>
            <w:r>
              <w:rPr>
                <w:rFonts w:hint="eastAsia"/>
                <w:u w:val="single"/>
                <w:lang w:val="en-US" w:eastAsia="zh-CN"/>
              </w:rPr>
              <w:t>。</w:t>
            </w:r>
          </w:p>
          <w:p>
            <w:pPr>
              <w:adjustRightInd w:val="0"/>
              <w:snapToGrid w:val="0"/>
              <w:ind w:firstLine="480"/>
              <w:rPr>
                <w:rFonts w:hint="eastAsia"/>
                <w:u w:val="single"/>
                <w:lang w:val="en-US" w:eastAsia="zh-CN"/>
              </w:rPr>
            </w:pPr>
            <w:r>
              <w:rPr>
                <w:rFonts w:hint="eastAsia" w:ascii="宋体" w:hAnsi="宋体" w:eastAsia="宋体" w:cs="宋体"/>
                <w:u w:val="single"/>
                <w:lang w:val="en-US" w:eastAsia="zh-CN"/>
              </w:rPr>
              <w:t>η</w:t>
            </w:r>
            <w:r>
              <w:rPr>
                <w:rFonts w:hint="default"/>
                <w:u w:val="single"/>
                <w:lang w:val="en-US" w:eastAsia="zh-CN"/>
              </w:rPr>
              <w:t>s</w:t>
            </w:r>
            <w:r>
              <w:rPr>
                <w:rFonts w:hint="eastAsia"/>
                <w:u w:val="single"/>
                <w:lang w:val="en-US" w:eastAsia="zh-CN"/>
              </w:rPr>
              <w:t>——脱硫效率，取</w:t>
            </w:r>
            <w:r>
              <w:rPr>
                <w:rFonts w:hint="default"/>
                <w:u w:val="single"/>
                <w:lang w:val="en-US" w:eastAsia="zh-CN"/>
              </w:rPr>
              <w:t>0%</w:t>
            </w:r>
            <w:r>
              <w:rPr>
                <w:rFonts w:hint="eastAsia"/>
                <w:u w:val="single"/>
                <w:lang w:val="en-US" w:eastAsia="zh-CN"/>
              </w:rPr>
              <w:t>；</w:t>
            </w:r>
          </w:p>
          <w:p>
            <w:pPr>
              <w:adjustRightInd w:val="0"/>
              <w:snapToGrid w:val="0"/>
              <w:ind w:firstLine="480"/>
              <w:rPr>
                <w:rFonts w:hint="eastAsia"/>
                <w:u w:val="single"/>
                <w:lang w:val="en-US" w:eastAsia="zh-CN"/>
              </w:rPr>
            </w:pPr>
            <w:r>
              <w:rPr>
                <w:rFonts w:hint="default"/>
                <w:u w:val="single"/>
                <w:lang w:val="en-US" w:eastAsia="zh-CN"/>
              </w:rPr>
              <w:t>K</w:t>
            </w:r>
            <w:r>
              <w:rPr>
                <w:rFonts w:hint="eastAsia"/>
                <w:u w:val="single"/>
                <w:lang w:val="en-US" w:eastAsia="zh-CN"/>
              </w:rPr>
              <w:t>——燃料中的硫燃烧后氧化成二氧化硫的份额，量纲一的量，参考《污染源源强核算技术指南 锅炉》（</w:t>
            </w:r>
            <w:r>
              <w:rPr>
                <w:rFonts w:hint="default"/>
                <w:u w:val="single"/>
                <w:lang w:val="en-US" w:eastAsia="zh-CN"/>
              </w:rPr>
              <w:t>HJ991-2018</w:t>
            </w:r>
            <w:r>
              <w:rPr>
                <w:rFonts w:hint="eastAsia"/>
                <w:u w:val="single"/>
                <w:lang w:val="en-US" w:eastAsia="zh-CN"/>
              </w:rPr>
              <w:t>）附录</w:t>
            </w:r>
            <w:r>
              <w:rPr>
                <w:rFonts w:hint="default"/>
                <w:u w:val="single"/>
                <w:lang w:val="en-US" w:eastAsia="zh-CN"/>
              </w:rPr>
              <w:t>B</w:t>
            </w:r>
            <w:r>
              <w:rPr>
                <w:rFonts w:hint="eastAsia"/>
                <w:u w:val="single"/>
                <w:lang w:val="en-US" w:eastAsia="zh-CN"/>
              </w:rPr>
              <w:t>表</w:t>
            </w:r>
            <w:r>
              <w:rPr>
                <w:rFonts w:hint="default"/>
                <w:u w:val="single"/>
                <w:lang w:val="en-US" w:eastAsia="zh-CN"/>
              </w:rPr>
              <w:t>B.3</w:t>
            </w:r>
            <w:r>
              <w:rPr>
                <w:rFonts w:hint="eastAsia"/>
                <w:u w:val="single"/>
                <w:lang w:val="en-US" w:eastAsia="zh-CN"/>
              </w:rPr>
              <w:t>，燃生物质炉转化率为</w:t>
            </w:r>
            <w:r>
              <w:rPr>
                <w:rFonts w:hint="default"/>
                <w:u w:val="single"/>
                <w:lang w:val="en-US" w:eastAsia="zh-CN"/>
              </w:rPr>
              <w:t>0.3-0.5</w:t>
            </w:r>
            <w:r>
              <w:rPr>
                <w:rFonts w:hint="eastAsia"/>
                <w:u w:val="single"/>
                <w:lang w:val="en-US" w:eastAsia="zh-CN"/>
              </w:rPr>
              <w:t>，本项目取</w:t>
            </w:r>
            <w:r>
              <w:rPr>
                <w:rFonts w:hint="default"/>
                <w:u w:val="single"/>
                <w:lang w:val="en-US" w:eastAsia="zh-CN"/>
              </w:rPr>
              <w:t>0.5</w:t>
            </w:r>
            <w:r>
              <w:rPr>
                <w:rFonts w:hint="eastAsia"/>
                <w:u w:val="single"/>
                <w:lang w:val="en-US" w:eastAsia="zh-CN"/>
              </w:rPr>
              <w:t>。</w:t>
            </w:r>
          </w:p>
          <w:p>
            <w:pPr>
              <w:adjustRightInd w:val="0"/>
              <w:snapToGrid w:val="0"/>
              <w:ind w:firstLine="480"/>
              <w:rPr>
                <w:rFonts w:hint="eastAsia"/>
                <w:u w:val="single"/>
                <w:lang w:val="en-US" w:eastAsia="zh-CN"/>
              </w:rPr>
            </w:pPr>
            <w:r>
              <w:rPr>
                <w:rFonts w:hint="eastAsia"/>
                <w:u w:val="single"/>
                <w:lang w:val="en-US" w:eastAsia="zh-CN"/>
              </w:rPr>
              <w:t>计算得</w:t>
            </w:r>
            <w:r>
              <w:rPr>
                <w:rFonts w:hint="default"/>
                <w:u w:val="single"/>
                <w:lang w:val="en-US" w:eastAsia="zh-CN"/>
              </w:rPr>
              <w:t>E</w:t>
            </w:r>
            <w:r>
              <w:rPr>
                <w:rFonts w:hint="default"/>
                <w:u w:val="single"/>
                <w:vertAlign w:val="subscript"/>
                <w:lang w:val="en-US" w:eastAsia="zh-CN"/>
              </w:rPr>
              <w:t>SO2</w:t>
            </w:r>
            <w:r>
              <w:rPr>
                <w:rFonts w:hint="default"/>
                <w:u w:val="single"/>
                <w:lang w:val="en-US" w:eastAsia="zh-CN"/>
              </w:rPr>
              <w:t>=0</w:t>
            </w:r>
            <w:r>
              <w:rPr>
                <w:rFonts w:hint="eastAsia"/>
                <w:u w:val="single"/>
                <w:lang w:val="en-US" w:eastAsia="zh-CN"/>
              </w:rPr>
              <w:t>.028</w:t>
            </w:r>
            <w:r>
              <w:rPr>
                <w:rFonts w:hint="default"/>
                <w:u w:val="single"/>
                <w:lang w:val="en-US" w:eastAsia="zh-CN"/>
              </w:rPr>
              <w:t>t/a</w:t>
            </w:r>
            <w:r>
              <w:rPr>
                <w:rFonts w:hint="eastAsia"/>
                <w:u w:val="single"/>
                <w:lang w:val="en-US" w:eastAsia="zh-CN"/>
              </w:rPr>
              <w:t>。</w:t>
            </w:r>
          </w:p>
          <w:p>
            <w:pPr>
              <w:adjustRightInd w:val="0"/>
              <w:snapToGrid w:val="0"/>
              <w:ind w:firstLine="480"/>
              <w:rPr>
                <w:rFonts w:hint="eastAsia"/>
                <w:u w:val="single"/>
                <w:lang w:val="en-US" w:eastAsia="zh-CN"/>
              </w:rPr>
            </w:pPr>
            <w:r>
              <w:rPr>
                <w:rFonts w:hint="eastAsia"/>
                <w:u w:val="single"/>
                <w:lang w:val="en-US" w:eastAsia="zh-CN"/>
              </w:rPr>
              <w:t>③氮氧化物</w:t>
            </w:r>
          </w:p>
          <w:p>
            <w:pPr>
              <w:adjustRightInd w:val="0"/>
              <w:snapToGrid w:val="0"/>
              <w:ind w:firstLine="480"/>
              <w:rPr>
                <w:rFonts w:hint="eastAsia"/>
                <w:u w:val="single"/>
                <w:lang w:val="en-US" w:eastAsia="zh-CN"/>
              </w:rPr>
            </w:pPr>
            <w:r>
              <w:rPr>
                <w:rFonts w:hint="eastAsia"/>
                <w:u w:val="single"/>
                <w:lang w:val="en-US" w:eastAsia="zh-CN"/>
              </w:rPr>
              <w:t>根据《污染源源强核算技术指南 锅炉》（</w:t>
            </w:r>
            <w:r>
              <w:rPr>
                <w:rFonts w:hint="default"/>
                <w:u w:val="single"/>
                <w:lang w:val="en-US" w:eastAsia="zh-CN"/>
              </w:rPr>
              <w:t>HJ991-2018</w:t>
            </w:r>
            <w:r>
              <w:rPr>
                <w:rFonts w:hint="eastAsia"/>
                <w:u w:val="single"/>
                <w:lang w:val="en-US" w:eastAsia="zh-CN"/>
              </w:rPr>
              <w:t>），物料衡算法计算氮氧化物产生量需有锅炉炉膛出口氮氧化物质量浓度数据，本项目未收集到第三方生产商提供的氮氧化物控制保证浓度值且未找到符合类比条件的有效实测数据，因此本项目氮氧化物参照生态环境部</w:t>
            </w:r>
            <w:r>
              <w:rPr>
                <w:rFonts w:hint="default"/>
                <w:u w:val="single"/>
                <w:lang w:val="en-US" w:eastAsia="zh-CN"/>
              </w:rPr>
              <w:t>2021</w:t>
            </w:r>
            <w:r>
              <w:rPr>
                <w:rFonts w:hint="eastAsia"/>
                <w:u w:val="single"/>
                <w:lang w:val="en-US" w:eastAsia="zh-CN"/>
              </w:rPr>
              <w:t>年</w:t>
            </w:r>
            <w:r>
              <w:rPr>
                <w:rFonts w:hint="default"/>
                <w:u w:val="single"/>
                <w:lang w:val="en-US" w:eastAsia="zh-CN"/>
              </w:rPr>
              <w:t>6</w:t>
            </w:r>
            <w:r>
              <w:rPr>
                <w:rFonts w:hint="eastAsia"/>
                <w:u w:val="single"/>
                <w:lang w:val="en-US" w:eastAsia="zh-CN"/>
              </w:rPr>
              <w:t>月</w:t>
            </w:r>
            <w:r>
              <w:rPr>
                <w:rFonts w:hint="default"/>
                <w:u w:val="single"/>
                <w:lang w:val="en-US" w:eastAsia="zh-CN"/>
              </w:rPr>
              <w:t>9</w:t>
            </w:r>
            <w:r>
              <w:rPr>
                <w:rFonts w:hint="eastAsia"/>
                <w:u w:val="single"/>
                <w:lang w:val="en-US" w:eastAsia="zh-CN"/>
              </w:rPr>
              <w:t>日发布的《排放源统计调查产排污核算方法和系数手册》中《</w:t>
            </w:r>
            <w:r>
              <w:rPr>
                <w:rFonts w:hint="default"/>
                <w:u w:val="single"/>
                <w:lang w:val="en-US" w:eastAsia="zh-CN"/>
              </w:rPr>
              <w:t>4430</w:t>
            </w:r>
            <w:r>
              <w:rPr>
                <w:rFonts w:hint="eastAsia"/>
                <w:u w:val="single"/>
                <w:lang w:val="en-US" w:eastAsia="zh-CN"/>
              </w:rPr>
              <w:t>工业锅炉（热力供应）行业系数手册》中“</w:t>
            </w:r>
            <w:r>
              <w:rPr>
                <w:rFonts w:hint="default"/>
                <w:u w:val="single"/>
                <w:lang w:val="en-US" w:eastAsia="zh-CN"/>
              </w:rPr>
              <w:t>4430</w:t>
            </w:r>
            <w:r>
              <w:rPr>
                <w:rFonts w:hint="eastAsia"/>
                <w:u w:val="single"/>
                <w:lang w:val="en-US" w:eastAsia="zh-CN"/>
              </w:rPr>
              <w:t>工业锅炉（热力生产和供应行业）产污系数表</w:t>
            </w:r>
            <w:r>
              <w:rPr>
                <w:rFonts w:hint="default"/>
                <w:u w:val="single"/>
                <w:lang w:val="en-US" w:eastAsia="zh-CN"/>
              </w:rPr>
              <w:t>-</w:t>
            </w:r>
            <w:r>
              <w:rPr>
                <w:rFonts w:hint="eastAsia"/>
                <w:u w:val="single"/>
                <w:lang w:val="en-US" w:eastAsia="zh-CN"/>
              </w:rPr>
              <w:t>生物质工业锅炉”中产污系数进行计算，使用生物质燃料的氮氧化物产污系数为</w:t>
            </w:r>
            <w:r>
              <w:rPr>
                <w:rFonts w:hint="default"/>
                <w:u w:val="single"/>
                <w:lang w:val="en-US" w:eastAsia="zh-CN"/>
              </w:rPr>
              <w:t>1.02</w:t>
            </w:r>
            <w:r>
              <w:rPr>
                <w:rFonts w:hint="eastAsia"/>
                <w:u w:val="single"/>
                <w:lang w:val="en-US" w:eastAsia="zh-CN"/>
              </w:rPr>
              <w:t>千克</w:t>
            </w:r>
            <w:r>
              <w:rPr>
                <w:rFonts w:hint="default"/>
                <w:u w:val="single"/>
                <w:lang w:val="en-US" w:eastAsia="zh-CN"/>
              </w:rPr>
              <w:t>/</w:t>
            </w:r>
            <w:r>
              <w:rPr>
                <w:rFonts w:hint="eastAsia"/>
                <w:u w:val="single"/>
                <w:lang w:val="en-US" w:eastAsia="zh-CN"/>
              </w:rPr>
              <w:t>吨</w:t>
            </w:r>
            <w:r>
              <w:rPr>
                <w:rFonts w:hint="default"/>
                <w:u w:val="single"/>
                <w:lang w:val="en-US" w:eastAsia="zh-CN"/>
              </w:rPr>
              <w:t>-</w:t>
            </w:r>
            <w:r>
              <w:rPr>
                <w:rFonts w:hint="eastAsia"/>
                <w:u w:val="single"/>
                <w:lang w:val="en-US" w:eastAsia="zh-CN"/>
              </w:rPr>
              <w:t>原料，则本项目氮氧化物产生量为2.602</w:t>
            </w:r>
            <w:r>
              <w:rPr>
                <w:rFonts w:hint="default"/>
                <w:u w:val="single"/>
                <w:lang w:val="en-US" w:eastAsia="zh-CN"/>
              </w:rPr>
              <w:t>t/a</w:t>
            </w:r>
            <w:r>
              <w:rPr>
                <w:rFonts w:hint="eastAsia"/>
                <w:u w:val="single"/>
                <w:lang w:val="en-US" w:eastAsia="zh-CN"/>
              </w:rPr>
              <w:t>，产生速率为0.329</w:t>
            </w:r>
            <w:r>
              <w:rPr>
                <w:rFonts w:hint="default"/>
                <w:u w:val="single"/>
                <w:lang w:val="en-US" w:eastAsia="zh-CN"/>
              </w:rPr>
              <w:t>kg/h</w:t>
            </w:r>
            <w:r>
              <w:rPr>
                <w:rFonts w:hint="eastAsia"/>
                <w:u w:val="single"/>
                <w:lang w:val="en-US" w:eastAsia="zh-CN"/>
              </w:rPr>
              <w:t>，产生浓度为141</w:t>
            </w:r>
            <w:r>
              <w:rPr>
                <w:rFonts w:hint="default"/>
                <w:u w:val="single"/>
                <w:lang w:val="en-US" w:eastAsia="zh-CN"/>
              </w:rPr>
              <w:t>mg/m</w:t>
            </w:r>
            <w:r>
              <w:rPr>
                <w:rFonts w:hint="default"/>
                <w:u w:val="single"/>
                <w:vertAlign w:val="superscript"/>
                <w:lang w:val="en-US" w:eastAsia="zh-CN"/>
              </w:rPr>
              <w:t>3</w:t>
            </w:r>
            <w:r>
              <w:rPr>
                <w:rFonts w:hint="eastAsia"/>
                <w:u w:val="single"/>
                <w:lang w:val="en-US" w:eastAsia="zh-CN"/>
              </w:rPr>
              <w:t>。</w:t>
            </w:r>
          </w:p>
          <w:p>
            <w:pPr>
              <w:adjustRightInd w:val="0"/>
              <w:snapToGrid w:val="0"/>
              <w:ind w:firstLine="480"/>
              <w:rPr>
                <w:rFonts w:hint="eastAsia"/>
                <w:u w:val="single"/>
                <w:lang w:val="en-US" w:eastAsia="zh-CN"/>
              </w:rPr>
            </w:pPr>
            <w:r>
              <w:rPr>
                <w:rFonts w:hint="eastAsia"/>
                <w:u w:val="single"/>
                <w:lang w:val="en-US" w:eastAsia="zh-CN"/>
              </w:rPr>
              <w:t xml:space="preserve">④颗粒物 </w:t>
            </w:r>
          </w:p>
          <w:p>
            <w:pPr>
              <w:adjustRightInd w:val="0"/>
              <w:snapToGrid w:val="0"/>
              <w:ind w:firstLine="480"/>
              <w:rPr>
                <w:rFonts w:hint="eastAsia"/>
                <w:u w:val="single"/>
                <w:lang w:val="en-US" w:eastAsia="zh-CN"/>
              </w:rPr>
            </w:pPr>
            <w:r>
              <w:rPr>
                <w:rFonts w:hint="eastAsia"/>
                <w:u w:val="single"/>
                <w:lang w:val="en-US" w:eastAsia="zh-CN"/>
              </w:rPr>
              <w:t>根据《污染源源强核算技术指南 锅炉》（</w:t>
            </w:r>
            <w:r>
              <w:rPr>
                <w:rFonts w:hint="default"/>
                <w:u w:val="single"/>
                <w:lang w:val="en-US" w:eastAsia="zh-CN"/>
              </w:rPr>
              <w:t>HJ991-2018</w:t>
            </w:r>
            <w:r>
              <w:rPr>
                <w:rFonts w:hint="eastAsia"/>
                <w:u w:val="single"/>
                <w:lang w:val="en-US" w:eastAsia="zh-CN"/>
              </w:rPr>
              <w:t>），物料衡算法计算颗粒物产生量需要飞灰中的可燃物含量数据，本项目由于暂未生产，因此本项目颗粒物参照生态环境部</w:t>
            </w:r>
            <w:r>
              <w:rPr>
                <w:rFonts w:hint="default"/>
                <w:u w:val="single"/>
                <w:lang w:val="en-US" w:eastAsia="zh-CN"/>
              </w:rPr>
              <w:t>2021</w:t>
            </w:r>
            <w:r>
              <w:rPr>
                <w:rFonts w:hint="eastAsia"/>
                <w:u w:val="single"/>
                <w:lang w:val="en-US" w:eastAsia="zh-CN"/>
              </w:rPr>
              <w:t>年</w:t>
            </w:r>
            <w:r>
              <w:rPr>
                <w:rFonts w:hint="default"/>
                <w:u w:val="single"/>
                <w:lang w:val="en-US" w:eastAsia="zh-CN"/>
              </w:rPr>
              <w:t>6</w:t>
            </w:r>
            <w:r>
              <w:rPr>
                <w:rFonts w:hint="eastAsia"/>
                <w:u w:val="single"/>
                <w:lang w:val="en-US" w:eastAsia="zh-CN"/>
              </w:rPr>
              <w:t>月</w:t>
            </w:r>
            <w:r>
              <w:rPr>
                <w:rFonts w:hint="default"/>
                <w:u w:val="single"/>
                <w:lang w:val="en-US" w:eastAsia="zh-CN"/>
              </w:rPr>
              <w:t>9</w:t>
            </w:r>
            <w:r>
              <w:rPr>
                <w:rFonts w:hint="eastAsia"/>
                <w:u w:val="single"/>
                <w:lang w:val="en-US" w:eastAsia="zh-CN"/>
              </w:rPr>
              <w:t>日发布的《排放源统计调查产排污核算方法和系数手册》中《</w:t>
            </w:r>
            <w:r>
              <w:rPr>
                <w:rFonts w:hint="default"/>
                <w:u w:val="single"/>
                <w:lang w:val="en-US" w:eastAsia="zh-CN"/>
              </w:rPr>
              <w:t xml:space="preserve">4430 </w:t>
            </w:r>
            <w:r>
              <w:rPr>
                <w:rFonts w:hint="eastAsia"/>
                <w:u w:val="single"/>
                <w:lang w:val="en-US" w:eastAsia="zh-CN"/>
              </w:rPr>
              <w:t>工业锅炉（热力供应）行业系数手册》中“</w:t>
            </w:r>
            <w:r>
              <w:rPr>
                <w:rFonts w:hint="default"/>
                <w:u w:val="single"/>
                <w:lang w:val="en-US" w:eastAsia="zh-CN"/>
              </w:rPr>
              <w:t xml:space="preserve">4430 </w:t>
            </w:r>
            <w:r>
              <w:rPr>
                <w:rFonts w:hint="eastAsia"/>
                <w:u w:val="single"/>
                <w:lang w:val="en-US" w:eastAsia="zh-CN"/>
              </w:rPr>
              <w:t>工业锅炉（热力生产和供应行业）产污系数表</w:t>
            </w:r>
            <w:r>
              <w:rPr>
                <w:rFonts w:hint="default"/>
                <w:u w:val="single"/>
                <w:lang w:val="en-US" w:eastAsia="zh-CN"/>
              </w:rPr>
              <w:t>-</w:t>
            </w:r>
            <w:r>
              <w:rPr>
                <w:rFonts w:hint="eastAsia"/>
                <w:u w:val="single"/>
                <w:lang w:val="en-US" w:eastAsia="zh-CN"/>
              </w:rPr>
              <w:t>生物质工业锅炉”中产污系数进行计算，使用生物质燃料的颗粒物产污系数为0.5千克</w:t>
            </w:r>
            <w:r>
              <w:rPr>
                <w:rFonts w:hint="default"/>
                <w:u w:val="single"/>
                <w:lang w:val="en-US" w:eastAsia="zh-CN"/>
              </w:rPr>
              <w:t>/</w:t>
            </w:r>
            <w:r>
              <w:rPr>
                <w:rFonts w:hint="eastAsia"/>
                <w:u w:val="single"/>
                <w:lang w:val="en-US" w:eastAsia="zh-CN"/>
              </w:rPr>
              <w:t>吨</w:t>
            </w:r>
            <w:r>
              <w:rPr>
                <w:rFonts w:hint="default"/>
                <w:u w:val="single"/>
                <w:lang w:val="en-US" w:eastAsia="zh-CN"/>
              </w:rPr>
              <w:t>-</w:t>
            </w:r>
            <w:r>
              <w:rPr>
                <w:rFonts w:hint="eastAsia"/>
                <w:u w:val="single"/>
                <w:lang w:val="en-US" w:eastAsia="zh-CN"/>
              </w:rPr>
              <w:t>原料，则本项目颗粒物产生量为1.276</w:t>
            </w:r>
            <w:r>
              <w:rPr>
                <w:rFonts w:hint="default"/>
                <w:u w:val="single"/>
                <w:lang w:val="en-US" w:eastAsia="zh-CN"/>
              </w:rPr>
              <w:t>t/a</w:t>
            </w:r>
            <w:r>
              <w:rPr>
                <w:rFonts w:hint="eastAsia"/>
                <w:u w:val="single"/>
                <w:lang w:val="en-US" w:eastAsia="zh-CN"/>
              </w:rPr>
              <w:t>（0.161</w:t>
            </w:r>
            <w:r>
              <w:rPr>
                <w:rFonts w:hint="default"/>
                <w:u w:val="single"/>
                <w:lang w:val="en-US" w:eastAsia="zh-CN"/>
              </w:rPr>
              <w:t>kg/h</w:t>
            </w:r>
            <w:r>
              <w:rPr>
                <w:rFonts w:hint="eastAsia"/>
                <w:u w:val="single"/>
                <w:lang w:val="en-US" w:eastAsia="zh-CN"/>
              </w:rPr>
              <w:t>，69.11</w:t>
            </w:r>
            <w:r>
              <w:rPr>
                <w:rFonts w:hint="default"/>
                <w:u w:val="single"/>
                <w:lang w:val="en-US" w:eastAsia="zh-CN"/>
              </w:rPr>
              <w:t>mg/m</w:t>
            </w:r>
            <w:r>
              <w:rPr>
                <w:rFonts w:hint="default"/>
                <w:u w:val="single"/>
                <w:vertAlign w:val="superscript"/>
                <w:lang w:val="en-US" w:eastAsia="zh-CN"/>
              </w:rPr>
              <w:t>3</w:t>
            </w:r>
            <w:r>
              <w:rPr>
                <w:rFonts w:hint="eastAsia"/>
                <w:u w:val="single"/>
                <w:lang w:val="en-US" w:eastAsia="zh-CN"/>
              </w:rPr>
              <w:t>），经多管除尘器及布袋除尘器处理后排放。根据《指南》及《锅炉产排污量核算系数手册》，多管除尘器除尘效率为</w:t>
            </w:r>
            <w:r>
              <w:rPr>
                <w:rFonts w:hint="default"/>
                <w:u w:val="single"/>
                <w:lang w:val="en-US" w:eastAsia="zh-CN"/>
              </w:rPr>
              <w:t>60%</w:t>
            </w:r>
            <w:r>
              <w:rPr>
                <w:rFonts w:hint="eastAsia"/>
                <w:u w:val="single"/>
                <w:lang w:val="en-US" w:eastAsia="zh-CN"/>
              </w:rPr>
              <w:t>，袋式除尘器颗粒物处理效率为95</w:t>
            </w:r>
            <w:r>
              <w:rPr>
                <w:rFonts w:hint="default"/>
                <w:u w:val="single"/>
                <w:lang w:val="en-US" w:eastAsia="zh-CN"/>
              </w:rPr>
              <w:t>%-99.99%</w:t>
            </w:r>
            <w:r>
              <w:rPr>
                <w:rFonts w:hint="eastAsia"/>
                <w:u w:val="single"/>
                <w:lang w:val="en-US" w:eastAsia="zh-CN"/>
              </w:rPr>
              <w:t>，本项目取95</w:t>
            </w:r>
            <w:r>
              <w:rPr>
                <w:rFonts w:hint="default"/>
                <w:u w:val="single"/>
                <w:lang w:val="en-US" w:eastAsia="zh-CN"/>
              </w:rPr>
              <w:t>%</w:t>
            </w:r>
            <w:r>
              <w:rPr>
                <w:rFonts w:hint="eastAsia"/>
                <w:u w:val="single"/>
                <w:lang w:val="en-US" w:eastAsia="zh-CN"/>
              </w:rPr>
              <w:t>，则共计除尘效率为98</w:t>
            </w:r>
            <w:r>
              <w:rPr>
                <w:rFonts w:hint="default"/>
                <w:u w:val="single"/>
                <w:lang w:val="en-US" w:eastAsia="zh-CN"/>
              </w:rPr>
              <w:t>%</w:t>
            </w:r>
            <w:r>
              <w:rPr>
                <w:rFonts w:hint="eastAsia"/>
                <w:u w:val="single"/>
                <w:lang w:val="en-US" w:eastAsia="zh-CN"/>
              </w:rPr>
              <w:t>，则颗粒物排放量为0.064</w:t>
            </w:r>
            <w:r>
              <w:rPr>
                <w:rFonts w:hint="default"/>
                <w:u w:val="single"/>
                <w:lang w:val="en-US" w:eastAsia="zh-CN"/>
              </w:rPr>
              <w:t>t/a</w:t>
            </w:r>
            <w:r>
              <w:rPr>
                <w:rFonts w:hint="eastAsia"/>
                <w:u w:val="single"/>
                <w:lang w:val="en-US" w:eastAsia="zh-CN"/>
              </w:rPr>
              <w:t>（0.008</w:t>
            </w:r>
            <w:r>
              <w:rPr>
                <w:rFonts w:hint="default"/>
                <w:u w:val="single"/>
                <w:lang w:val="en-US" w:eastAsia="zh-CN"/>
              </w:rPr>
              <w:t>kg/h</w:t>
            </w:r>
            <w:r>
              <w:rPr>
                <w:rFonts w:hint="eastAsia"/>
                <w:u w:val="single"/>
                <w:lang w:val="en-US" w:eastAsia="zh-CN"/>
              </w:rPr>
              <w:t>，3.46</w:t>
            </w:r>
            <w:r>
              <w:rPr>
                <w:rFonts w:hint="default"/>
                <w:u w:val="single"/>
                <w:lang w:val="en-US" w:eastAsia="zh-CN"/>
              </w:rPr>
              <w:t>mg/m</w:t>
            </w:r>
            <w:r>
              <w:rPr>
                <w:rFonts w:hint="default"/>
                <w:u w:val="single"/>
                <w:vertAlign w:val="superscript"/>
                <w:lang w:val="en-US" w:eastAsia="zh-CN"/>
              </w:rPr>
              <w:t>3</w:t>
            </w:r>
            <w:r>
              <w:rPr>
                <w:rFonts w:hint="eastAsia"/>
                <w:u w:val="single"/>
                <w:lang w:val="en-US" w:eastAsia="zh-CN"/>
              </w:rPr>
              <w:t>）。</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 xml:space="preserve">具体产排情况见下表： </w:t>
            </w:r>
          </w:p>
          <w:p>
            <w:pPr>
              <w:keepNext w:val="0"/>
              <w:keepLines w:val="0"/>
              <w:widowControl/>
              <w:suppressLineNumbers w:val="0"/>
              <w:jc w:val="center"/>
              <w:rPr>
                <w:rFonts w:hint="eastAsia"/>
                <w:b/>
                <w:bCs/>
                <w:kern w:val="0"/>
                <w:sz w:val="21"/>
                <w:u w:val="single"/>
              </w:rPr>
            </w:pPr>
            <w:r>
              <w:rPr>
                <w:rFonts w:hint="eastAsia"/>
                <w:b/>
                <w:bCs/>
                <w:kern w:val="0"/>
                <w:sz w:val="21"/>
                <w:u w:val="single"/>
                <w:lang w:val="en-US" w:eastAsia="zh-CN"/>
              </w:rPr>
              <w:t xml:space="preserve">表 </w:t>
            </w:r>
            <w:r>
              <w:rPr>
                <w:rFonts w:hint="default"/>
                <w:b/>
                <w:bCs/>
                <w:kern w:val="0"/>
                <w:sz w:val="21"/>
                <w:u w:val="single"/>
                <w:lang w:val="en-US" w:eastAsia="zh-CN"/>
              </w:rPr>
              <w:t>4-</w:t>
            </w:r>
            <w:r>
              <w:rPr>
                <w:rFonts w:hint="eastAsia"/>
                <w:b/>
                <w:bCs/>
                <w:kern w:val="0"/>
                <w:sz w:val="21"/>
                <w:u w:val="single"/>
                <w:lang w:val="en-US" w:eastAsia="zh-CN"/>
              </w:rPr>
              <w:t>7</w:t>
            </w:r>
            <w:r>
              <w:rPr>
                <w:rFonts w:hint="default"/>
                <w:b/>
                <w:bCs/>
                <w:kern w:val="0"/>
                <w:sz w:val="21"/>
                <w:u w:val="single"/>
                <w:lang w:val="en-US" w:eastAsia="zh-CN"/>
              </w:rPr>
              <w:t xml:space="preserve"> </w:t>
            </w:r>
            <w:r>
              <w:rPr>
                <w:rFonts w:hint="eastAsia"/>
                <w:b/>
                <w:bCs/>
                <w:kern w:val="0"/>
                <w:sz w:val="21"/>
                <w:u w:val="single"/>
                <w:lang w:val="en-US" w:eastAsia="zh-CN"/>
              </w:rPr>
              <w:t>锅炉燃烧废气产排核算</w:t>
            </w:r>
          </w:p>
          <w:tbl>
            <w:tblPr>
              <w:tblStyle w:val="24"/>
              <w:tblW w:w="85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6"/>
              <w:gridCol w:w="866"/>
              <w:gridCol w:w="837"/>
              <w:gridCol w:w="1056"/>
              <w:gridCol w:w="848"/>
              <w:gridCol w:w="612"/>
              <w:gridCol w:w="774"/>
              <w:gridCol w:w="1056"/>
              <w:gridCol w:w="1063"/>
              <w:gridCol w:w="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3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排气筒编号</w:t>
                  </w:r>
                </w:p>
              </w:tc>
              <w:tc>
                <w:tcPr>
                  <w:tcW w:w="50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污染物</w:t>
                  </w:r>
                </w:p>
              </w:tc>
              <w:tc>
                <w:tcPr>
                  <w:tcW w:w="49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产生量（</w:t>
                  </w:r>
                  <w:r>
                    <w:rPr>
                      <w:rFonts w:hint="default" w:ascii="Times New Roman" w:hAnsi="Times New Roman" w:eastAsia="宋体" w:cs="Times New Roman"/>
                      <w:i w:val="0"/>
                      <w:iCs w:val="0"/>
                      <w:color w:val="000000"/>
                      <w:kern w:val="0"/>
                      <w:sz w:val="18"/>
                      <w:szCs w:val="18"/>
                      <w:u w:val="single"/>
                      <w:lang w:val="en-US" w:eastAsia="zh-CN" w:bidi="ar"/>
                    </w:rPr>
                    <w:t>t/a</w:t>
                  </w:r>
                  <w:r>
                    <w:rPr>
                      <w:rStyle w:val="82"/>
                      <w:sz w:val="18"/>
                      <w:szCs w:val="18"/>
                      <w:u w:val="single"/>
                      <w:lang w:val="en-US" w:eastAsia="zh-CN" w:bidi="ar"/>
                    </w:rPr>
                    <w:t>）</w:t>
                  </w:r>
                </w:p>
              </w:tc>
              <w:tc>
                <w:tcPr>
                  <w:tcW w:w="61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产生浓度（</w:t>
                  </w:r>
                  <w:r>
                    <w:rPr>
                      <w:rFonts w:hint="default" w:ascii="Times New Roman" w:hAnsi="Times New Roman" w:eastAsia="宋体" w:cs="Times New Roman"/>
                      <w:i w:val="0"/>
                      <w:iCs w:val="0"/>
                      <w:color w:val="000000"/>
                      <w:kern w:val="0"/>
                      <w:sz w:val="18"/>
                      <w:szCs w:val="18"/>
                      <w:u w:val="single"/>
                      <w:lang w:val="en-US" w:eastAsia="zh-CN" w:bidi="ar"/>
                    </w:rPr>
                    <w:t>mg/m</w:t>
                  </w:r>
                  <w:r>
                    <w:rPr>
                      <w:rFonts w:hint="default" w:ascii="Times New Roman" w:hAnsi="Times New Roman" w:eastAsia="宋体" w:cs="Times New Roman"/>
                      <w:i w:val="0"/>
                      <w:iCs w:val="0"/>
                      <w:color w:val="000000"/>
                      <w:kern w:val="0"/>
                      <w:sz w:val="18"/>
                      <w:szCs w:val="18"/>
                      <w:u w:val="single"/>
                      <w:vertAlign w:val="superscript"/>
                      <w:lang w:val="en-US" w:eastAsia="zh-CN" w:bidi="ar"/>
                    </w:rPr>
                    <w:t>3</w:t>
                  </w:r>
                  <w:r>
                    <w:rPr>
                      <w:rStyle w:val="82"/>
                      <w:sz w:val="18"/>
                      <w:szCs w:val="18"/>
                      <w:u w:val="single"/>
                      <w:lang w:val="en-US" w:eastAsia="zh-CN" w:bidi="ar"/>
                    </w:rPr>
                    <w:t>）</w:t>
                  </w:r>
                </w:p>
              </w:tc>
              <w:tc>
                <w:tcPr>
                  <w:tcW w:w="49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处理方式</w:t>
                  </w:r>
                </w:p>
              </w:tc>
              <w:tc>
                <w:tcPr>
                  <w:tcW w:w="35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去除效率</w:t>
                  </w:r>
                </w:p>
              </w:tc>
              <w:tc>
                <w:tcPr>
                  <w:tcW w:w="45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排放量（</w:t>
                  </w:r>
                  <w:r>
                    <w:rPr>
                      <w:rFonts w:hint="default" w:ascii="Times New Roman" w:hAnsi="Times New Roman" w:eastAsia="宋体" w:cs="Times New Roman"/>
                      <w:i w:val="0"/>
                      <w:iCs w:val="0"/>
                      <w:color w:val="000000"/>
                      <w:kern w:val="0"/>
                      <w:sz w:val="18"/>
                      <w:szCs w:val="18"/>
                      <w:u w:val="single"/>
                      <w:lang w:val="en-US" w:eastAsia="zh-CN" w:bidi="ar"/>
                    </w:rPr>
                    <w:t>t/a</w:t>
                  </w:r>
                  <w:r>
                    <w:rPr>
                      <w:rStyle w:val="82"/>
                      <w:sz w:val="18"/>
                      <w:szCs w:val="18"/>
                      <w:u w:val="single"/>
                      <w:lang w:val="en-US" w:eastAsia="zh-CN" w:bidi="ar"/>
                    </w:rPr>
                    <w:t>）</w:t>
                  </w:r>
                </w:p>
              </w:tc>
              <w:tc>
                <w:tcPr>
                  <w:tcW w:w="6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排放浓度（</w:t>
                  </w:r>
                  <w:r>
                    <w:rPr>
                      <w:rFonts w:hint="default" w:ascii="Times New Roman" w:hAnsi="Times New Roman" w:eastAsia="宋体" w:cs="Times New Roman"/>
                      <w:i w:val="0"/>
                      <w:iCs w:val="0"/>
                      <w:color w:val="000000"/>
                      <w:kern w:val="0"/>
                      <w:sz w:val="18"/>
                      <w:szCs w:val="18"/>
                      <w:u w:val="single"/>
                      <w:lang w:val="en-US" w:eastAsia="zh-CN" w:bidi="ar"/>
                    </w:rPr>
                    <w:t>mg/m</w:t>
                  </w:r>
                  <w:r>
                    <w:rPr>
                      <w:rFonts w:hint="default" w:ascii="Times New Roman" w:hAnsi="Times New Roman" w:eastAsia="宋体" w:cs="Times New Roman"/>
                      <w:i w:val="0"/>
                      <w:iCs w:val="0"/>
                      <w:color w:val="000000"/>
                      <w:kern w:val="0"/>
                      <w:sz w:val="18"/>
                      <w:szCs w:val="18"/>
                      <w:u w:val="single"/>
                      <w:vertAlign w:val="superscript"/>
                      <w:lang w:val="en-US" w:eastAsia="zh-CN" w:bidi="ar"/>
                    </w:rPr>
                    <w:t>3</w:t>
                  </w:r>
                  <w:r>
                    <w:rPr>
                      <w:rStyle w:val="82"/>
                      <w:sz w:val="18"/>
                      <w:szCs w:val="18"/>
                      <w:u w:val="single"/>
                      <w:lang w:val="en-US" w:eastAsia="zh-CN" w:bidi="ar"/>
                    </w:rPr>
                    <w:t>）</w:t>
                  </w:r>
                </w:p>
              </w:tc>
              <w:tc>
                <w:tcPr>
                  <w:tcW w:w="62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排放标准（</w:t>
                  </w:r>
                  <w:r>
                    <w:rPr>
                      <w:rFonts w:hint="default" w:ascii="Times New Roman" w:hAnsi="Times New Roman" w:eastAsia="宋体" w:cs="Times New Roman"/>
                      <w:i w:val="0"/>
                      <w:iCs w:val="0"/>
                      <w:color w:val="000000"/>
                      <w:kern w:val="0"/>
                      <w:sz w:val="18"/>
                      <w:szCs w:val="18"/>
                      <w:u w:val="single"/>
                      <w:lang w:val="en-US" w:eastAsia="zh-CN" w:bidi="ar"/>
                    </w:rPr>
                    <w:t>mg/m</w:t>
                  </w:r>
                  <w:r>
                    <w:rPr>
                      <w:rFonts w:hint="default" w:ascii="Times New Roman" w:hAnsi="Times New Roman" w:eastAsia="宋体" w:cs="Times New Roman"/>
                      <w:i w:val="0"/>
                      <w:iCs w:val="0"/>
                      <w:color w:val="000000"/>
                      <w:kern w:val="0"/>
                      <w:sz w:val="18"/>
                      <w:szCs w:val="18"/>
                      <w:u w:val="single"/>
                      <w:vertAlign w:val="superscript"/>
                      <w:lang w:val="en-US" w:eastAsia="zh-CN" w:bidi="ar"/>
                    </w:rPr>
                    <w:t>3</w:t>
                  </w:r>
                  <w:r>
                    <w:rPr>
                      <w:rStyle w:val="82"/>
                      <w:sz w:val="18"/>
                      <w:szCs w:val="18"/>
                      <w:u w:val="single"/>
                      <w:lang w:val="en-US" w:eastAsia="zh-CN" w:bidi="ar"/>
                    </w:rPr>
                    <w:t>）</w:t>
                  </w:r>
                </w:p>
              </w:tc>
              <w:tc>
                <w:tcPr>
                  <w:tcW w:w="39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排放口类型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36" w:type="pct"/>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single"/>
                    </w:rPr>
                  </w:pPr>
                  <w:r>
                    <w:rPr>
                      <w:rFonts w:hint="default" w:ascii="Times New Roman" w:hAnsi="Times New Roman" w:eastAsia="宋体" w:cs="Times New Roman"/>
                      <w:i w:val="0"/>
                      <w:iCs w:val="0"/>
                      <w:color w:val="000000"/>
                      <w:kern w:val="0"/>
                      <w:sz w:val="18"/>
                      <w:szCs w:val="18"/>
                      <w:u w:val="single"/>
                      <w:lang w:val="en-US" w:eastAsia="zh-CN" w:bidi="ar"/>
                    </w:rPr>
                    <w:t>DA001</w:t>
                  </w:r>
                </w:p>
              </w:tc>
              <w:tc>
                <w:tcPr>
                  <w:tcW w:w="50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烟气量</w:t>
                  </w:r>
                </w:p>
              </w:tc>
              <w:tc>
                <w:tcPr>
                  <w:tcW w:w="1108" w:type="pct"/>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宋体" w:hAnsi="宋体" w:eastAsia="宋体" w:cs="宋体"/>
                      <w:i w:val="0"/>
                      <w:iCs w:val="0"/>
                      <w:color w:val="000000"/>
                      <w:kern w:val="0"/>
                      <w:sz w:val="18"/>
                      <w:szCs w:val="18"/>
                      <w:u w:val="single"/>
                      <w:lang w:val="en-US" w:eastAsia="zh-CN" w:bidi="ar"/>
                    </w:rPr>
                  </w:pPr>
                  <w:r>
                    <w:rPr>
                      <w:rFonts w:hint="eastAsia" w:ascii="宋体" w:hAnsi="宋体" w:cs="宋体"/>
                      <w:i w:val="0"/>
                      <w:iCs w:val="0"/>
                      <w:color w:val="000000"/>
                      <w:kern w:val="0"/>
                      <w:sz w:val="18"/>
                      <w:szCs w:val="18"/>
                      <w:u w:val="single"/>
                      <w:lang w:val="en-US" w:eastAsia="zh-CN" w:bidi="ar"/>
                    </w:rPr>
                    <w:t>18457558</w:t>
                  </w:r>
                </w:p>
              </w:tc>
              <w:tc>
                <w:tcPr>
                  <w:tcW w:w="49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kern w:val="0"/>
                      <w:sz w:val="18"/>
                      <w:szCs w:val="18"/>
                      <w:u w:val="single"/>
                      <w:lang w:val="en-US" w:eastAsia="zh-CN" w:bidi="ar"/>
                    </w:rPr>
                  </w:pPr>
                  <w:r>
                    <w:rPr>
                      <w:rFonts w:hint="eastAsia" w:ascii="宋体" w:hAnsi="宋体" w:eastAsia="宋体" w:cs="宋体"/>
                      <w:i w:val="0"/>
                      <w:iCs w:val="0"/>
                      <w:color w:val="000000"/>
                      <w:kern w:val="0"/>
                      <w:sz w:val="18"/>
                      <w:szCs w:val="18"/>
                      <w:u w:val="single"/>
                      <w:lang w:val="en-US" w:eastAsia="zh-CN" w:bidi="ar"/>
                    </w:rPr>
                    <w:t>/</w:t>
                  </w:r>
                </w:p>
              </w:tc>
              <w:tc>
                <w:tcPr>
                  <w:tcW w:w="35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kern w:val="0"/>
                      <w:sz w:val="18"/>
                      <w:szCs w:val="18"/>
                      <w:u w:val="single"/>
                      <w:lang w:val="en-US" w:eastAsia="zh-CN" w:bidi="ar"/>
                    </w:rPr>
                  </w:pPr>
                  <w:r>
                    <w:rPr>
                      <w:rFonts w:hint="eastAsia" w:ascii="宋体" w:hAnsi="宋体" w:eastAsia="宋体" w:cs="宋体"/>
                      <w:i w:val="0"/>
                      <w:iCs w:val="0"/>
                      <w:color w:val="000000"/>
                      <w:kern w:val="0"/>
                      <w:sz w:val="18"/>
                      <w:szCs w:val="18"/>
                      <w:u w:val="single"/>
                      <w:lang w:val="en-US" w:eastAsia="zh-CN" w:bidi="ar"/>
                    </w:rPr>
                    <w:t>/</w:t>
                  </w:r>
                </w:p>
              </w:tc>
              <w:tc>
                <w:tcPr>
                  <w:tcW w:w="1693" w:type="pct"/>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kern w:val="0"/>
                      <w:sz w:val="18"/>
                      <w:szCs w:val="18"/>
                      <w:u w:val="single"/>
                      <w:lang w:val="en-US" w:eastAsia="zh-CN" w:bidi="ar"/>
                    </w:rPr>
                  </w:pPr>
                  <w:r>
                    <w:rPr>
                      <w:rFonts w:hint="eastAsia" w:ascii="宋体" w:hAnsi="宋体" w:cs="宋体"/>
                      <w:i w:val="0"/>
                      <w:iCs w:val="0"/>
                      <w:color w:val="000000"/>
                      <w:kern w:val="0"/>
                      <w:sz w:val="18"/>
                      <w:szCs w:val="18"/>
                      <w:u w:val="single"/>
                      <w:lang w:val="en-US" w:eastAsia="zh-CN" w:bidi="ar"/>
                    </w:rPr>
                    <w:t>18457558</w:t>
                  </w:r>
                </w:p>
              </w:tc>
              <w:tc>
                <w:tcPr>
                  <w:tcW w:w="398" w:type="pct"/>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一般排放口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6" w:type="pct"/>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single"/>
                    </w:rPr>
                  </w:pPr>
                </w:p>
              </w:tc>
              <w:tc>
                <w:tcPr>
                  <w:tcW w:w="50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18"/>
                      <w:szCs w:val="18"/>
                      <w:u w:val="single"/>
                    </w:rPr>
                  </w:pPr>
                  <w:r>
                    <w:rPr>
                      <w:rFonts w:hint="eastAsia" w:ascii="宋体" w:hAnsi="宋体" w:eastAsia="宋体" w:cs="宋体"/>
                      <w:i w:val="0"/>
                      <w:iCs w:val="0"/>
                      <w:color w:val="000000"/>
                      <w:kern w:val="0"/>
                      <w:sz w:val="18"/>
                      <w:szCs w:val="18"/>
                      <w:u w:val="single"/>
                      <w:lang w:val="en-US" w:eastAsia="zh-CN" w:bidi="ar"/>
                    </w:rPr>
                    <w:t>颗粒物</w:t>
                  </w:r>
                </w:p>
              </w:tc>
              <w:tc>
                <w:tcPr>
                  <w:tcW w:w="490" w:type="pct"/>
                  <w:tcBorders>
                    <w:top w:val="nil"/>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cs="宋体"/>
                      <w:i w:val="0"/>
                      <w:iCs w:val="0"/>
                      <w:color w:val="000000"/>
                      <w:kern w:val="0"/>
                      <w:sz w:val="18"/>
                      <w:szCs w:val="18"/>
                      <w:u w:val="single"/>
                      <w:lang w:val="en-US" w:eastAsia="zh-CN" w:bidi="ar"/>
                    </w:rPr>
                  </w:pPr>
                  <w:r>
                    <w:rPr>
                      <w:rFonts w:hint="eastAsia" w:ascii="宋体" w:hAnsi="宋体" w:cs="宋体"/>
                      <w:i w:val="0"/>
                      <w:iCs w:val="0"/>
                      <w:color w:val="000000"/>
                      <w:kern w:val="0"/>
                      <w:sz w:val="18"/>
                      <w:szCs w:val="18"/>
                      <w:u w:val="single"/>
                      <w:lang w:val="en-US" w:eastAsia="zh-CN" w:bidi="ar"/>
                    </w:rPr>
                    <w:t>1.276</w:t>
                  </w:r>
                </w:p>
              </w:tc>
              <w:tc>
                <w:tcPr>
                  <w:tcW w:w="617" w:type="pct"/>
                  <w:tcBorders>
                    <w:top w:val="nil"/>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cs="宋体"/>
                      <w:i w:val="0"/>
                      <w:iCs w:val="0"/>
                      <w:color w:val="000000"/>
                      <w:kern w:val="0"/>
                      <w:sz w:val="18"/>
                      <w:szCs w:val="18"/>
                      <w:u w:val="single"/>
                      <w:lang w:val="en-US" w:eastAsia="zh-CN" w:bidi="ar"/>
                    </w:rPr>
                  </w:pPr>
                  <w:r>
                    <w:rPr>
                      <w:rFonts w:hint="eastAsia" w:ascii="宋体" w:hAnsi="宋体" w:cs="宋体"/>
                      <w:i w:val="0"/>
                      <w:iCs w:val="0"/>
                      <w:color w:val="000000"/>
                      <w:kern w:val="0"/>
                      <w:sz w:val="18"/>
                      <w:szCs w:val="18"/>
                      <w:u w:val="single"/>
                      <w:lang w:val="en-US" w:eastAsia="zh-CN" w:bidi="ar"/>
                    </w:rPr>
                    <w:t>69.11</w:t>
                  </w:r>
                </w:p>
              </w:tc>
              <w:tc>
                <w:tcPr>
                  <w:tcW w:w="496" w:type="pct"/>
                  <w:tcBorders>
                    <w:top w:val="nil"/>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cs="宋体"/>
                      <w:i w:val="0"/>
                      <w:iCs w:val="0"/>
                      <w:color w:val="000000"/>
                      <w:kern w:val="0"/>
                      <w:sz w:val="18"/>
                      <w:szCs w:val="18"/>
                      <w:u w:val="single"/>
                      <w:lang w:val="en-US" w:eastAsia="zh-CN" w:bidi="ar"/>
                    </w:rPr>
                  </w:pPr>
                  <w:r>
                    <w:rPr>
                      <w:rFonts w:hint="eastAsia" w:ascii="宋体" w:hAnsi="宋体" w:cs="宋体"/>
                      <w:i w:val="0"/>
                      <w:iCs w:val="0"/>
                      <w:color w:val="000000"/>
                      <w:kern w:val="0"/>
                      <w:sz w:val="18"/>
                      <w:szCs w:val="18"/>
                      <w:u w:val="single"/>
                      <w:lang w:val="en-US" w:eastAsia="zh-CN" w:bidi="ar"/>
                    </w:rPr>
                    <w:t>多管+布袋除尘</w:t>
                  </w:r>
                </w:p>
              </w:tc>
              <w:tc>
                <w:tcPr>
                  <w:tcW w:w="358" w:type="pct"/>
                  <w:tcBorders>
                    <w:top w:val="nil"/>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cs="宋体"/>
                      <w:i w:val="0"/>
                      <w:iCs w:val="0"/>
                      <w:color w:val="000000"/>
                      <w:kern w:val="0"/>
                      <w:sz w:val="18"/>
                      <w:szCs w:val="18"/>
                      <w:u w:val="single"/>
                      <w:lang w:val="en-US" w:eastAsia="zh-CN" w:bidi="ar"/>
                    </w:rPr>
                  </w:pPr>
                  <w:r>
                    <w:rPr>
                      <w:rFonts w:hint="eastAsia" w:ascii="宋体" w:hAnsi="宋体" w:cs="宋体"/>
                      <w:i w:val="0"/>
                      <w:iCs w:val="0"/>
                      <w:color w:val="000000"/>
                      <w:kern w:val="0"/>
                      <w:sz w:val="18"/>
                      <w:szCs w:val="18"/>
                      <w:u w:val="single"/>
                      <w:lang w:val="en-US" w:eastAsia="zh-CN" w:bidi="ar"/>
                    </w:rPr>
                    <w:t>95%</w:t>
                  </w:r>
                </w:p>
              </w:tc>
              <w:tc>
                <w:tcPr>
                  <w:tcW w:w="453" w:type="pct"/>
                  <w:tcBorders>
                    <w:top w:val="nil"/>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cs="宋体"/>
                      <w:i w:val="0"/>
                      <w:iCs w:val="0"/>
                      <w:color w:val="000000"/>
                      <w:kern w:val="0"/>
                      <w:sz w:val="18"/>
                      <w:szCs w:val="18"/>
                      <w:u w:val="single"/>
                      <w:lang w:val="en-US" w:eastAsia="zh-CN" w:bidi="ar"/>
                    </w:rPr>
                  </w:pPr>
                  <w:r>
                    <w:rPr>
                      <w:rFonts w:hint="eastAsia" w:ascii="宋体" w:hAnsi="宋体" w:cs="宋体"/>
                      <w:i w:val="0"/>
                      <w:iCs w:val="0"/>
                      <w:color w:val="000000"/>
                      <w:kern w:val="0"/>
                      <w:sz w:val="18"/>
                      <w:szCs w:val="18"/>
                      <w:u w:val="single"/>
                      <w:lang w:val="en-US" w:eastAsia="zh-CN" w:bidi="ar"/>
                    </w:rPr>
                    <w:t>0.064</w:t>
                  </w:r>
                </w:p>
              </w:tc>
              <w:tc>
                <w:tcPr>
                  <w:tcW w:w="1056" w:type="dxa"/>
                  <w:tcBorders>
                    <w:top w:val="nil"/>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cs="宋体"/>
                      <w:i w:val="0"/>
                      <w:iCs w:val="0"/>
                      <w:color w:val="000000"/>
                      <w:kern w:val="0"/>
                      <w:sz w:val="18"/>
                      <w:szCs w:val="18"/>
                      <w:u w:val="single"/>
                      <w:lang w:val="en-US" w:eastAsia="zh-CN" w:bidi="ar"/>
                    </w:rPr>
                  </w:pPr>
                  <w:r>
                    <w:rPr>
                      <w:rFonts w:hint="eastAsia" w:ascii="宋体" w:hAnsi="宋体" w:cs="宋体"/>
                      <w:i w:val="0"/>
                      <w:iCs w:val="0"/>
                      <w:color w:val="000000"/>
                      <w:kern w:val="0"/>
                      <w:sz w:val="18"/>
                      <w:szCs w:val="18"/>
                      <w:u w:val="single"/>
                      <w:lang w:val="en-US" w:eastAsia="zh-CN" w:bidi="ar"/>
                    </w:rPr>
                    <w:t>3.46</w:t>
                  </w:r>
                </w:p>
              </w:tc>
              <w:tc>
                <w:tcPr>
                  <w:tcW w:w="621"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cs="宋体"/>
                      <w:i w:val="0"/>
                      <w:iCs w:val="0"/>
                      <w:color w:val="000000"/>
                      <w:kern w:val="0"/>
                      <w:sz w:val="18"/>
                      <w:szCs w:val="18"/>
                      <w:u w:val="single"/>
                      <w:lang w:val="en-US" w:eastAsia="zh-CN" w:bidi="ar"/>
                    </w:rPr>
                  </w:pPr>
                  <w:r>
                    <w:rPr>
                      <w:rFonts w:hint="eastAsia" w:ascii="宋体" w:hAnsi="宋体" w:cs="宋体"/>
                      <w:i w:val="0"/>
                      <w:iCs w:val="0"/>
                      <w:color w:val="000000"/>
                      <w:kern w:val="0"/>
                      <w:sz w:val="18"/>
                      <w:szCs w:val="18"/>
                      <w:u w:val="single"/>
                      <w:lang w:val="en-US" w:eastAsia="zh-CN" w:bidi="ar"/>
                    </w:rPr>
                    <w:t>30</w:t>
                  </w:r>
                </w:p>
              </w:tc>
              <w:tc>
                <w:tcPr>
                  <w:tcW w:w="398" w:type="pct"/>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18"/>
                      <w:szCs w:val="18"/>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6" w:type="pct"/>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single"/>
                    </w:rPr>
                  </w:pPr>
                </w:p>
              </w:tc>
              <w:tc>
                <w:tcPr>
                  <w:tcW w:w="50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single"/>
                    </w:rPr>
                  </w:pPr>
                  <w:r>
                    <w:rPr>
                      <w:rFonts w:hint="default" w:ascii="Times New Roman" w:hAnsi="Times New Roman" w:eastAsia="宋体" w:cs="Times New Roman"/>
                      <w:i w:val="0"/>
                      <w:iCs w:val="0"/>
                      <w:color w:val="000000"/>
                      <w:kern w:val="0"/>
                      <w:sz w:val="18"/>
                      <w:szCs w:val="18"/>
                      <w:u w:val="single"/>
                      <w:lang w:val="en-US" w:eastAsia="zh-CN" w:bidi="ar"/>
                    </w:rPr>
                    <w:t>SO</w:t>
                  </w:r>
                  <w:r>
                    <w:rPr>
                      <w:rFonts w:hint="default" w:ascii="Times New Roman" w:hAnsi="Times New Roman" w:eastAsia="宋体" w:cs="Times New Roman"/>
                      <w:i w:val="0"/>
                      <w:iCs w:val="0"/>
                      <w:color w:val="000000"/>
                      <w:kern w:val="0"/>
                      <w:sz w:val="18"/>
                      <w:szCs w:val="18"/>
                      <w:u w:val="single"/>
                      <w:vertAlign w:val="subscript"/>
                      <w:lang w:val="en-US" w:eastAsia="zh-CN" w:bidi="ar"/>
                    </w:rPr>
                    <w:t>2</w:t>
                  </w:r>
                </w:p>
              </w:tc>
              <w:tc>
                <w:tcPr>
                  <w:tcW w:w="490" w:type="pct"/>
                  <w:tcBorders>
                    <w:top w:val="nil"/>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cs="宋体"/>
                      <w:i w:val="0"/>
                      <w:iCs w:val="0"/>
                      <w:color w:val="000000"/>
                      <w:kern w:val="0"/>
                      <w:sz w:val="18"/>
                      <w:szCs w:val="18"/>
                      <w:u w:val="single"/>
                      <w:lang w:val="en-US" w:eastAsia="zh-CN" w:bidi="ar"/>
                    </w:rPr>
                  </w:pPr>
                  <w:r>
                    <w:rPr>
                      <w:rFonts w:hint="eastAsia" w:ascii="宋体" w:hAnsi="宋体" w:cs="宋体"/>
                      <w:i w:val="0"/>
                      <w:iCs w:val="0"/>
                      <w:color w:val="000000"/>
                      <w:kern w:val="0"/>
                      <w:sz w:val="18"/>
                      <w:szCs w:val="18"/>
                      <w:u w:val="single"/>
                      <w:lang w:val="en-US" w:eastAsia="zh-CN" w:bidi="ar"/>
                    </w:rPr>
                    <w:t>0.028</w:t>
                  </w:r>
                </w:p>
              </w:tc>
              <w:tc>
                <w:tcPr>
                  <w:tcW w:w="617" w:type="pct"/>
                  <w:tcBorders>
                    <w:top w:val="nil"/>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cs="宋体"/>
                      <w:i w:val="0"/>
                      <w:iCs w:val="0"/>
                      <w:color w:val="000000"/>
                      <w:kern w:val="0"/>
                      <w:sz w:val="18"/>
                      <w:szCs w:val="18"/>
                      <w:u w:val="single"/>
                      <w:lang w:val="en-US" w:eastAsia="zh-CN" w:bidi="ar"/>
                    </w:rPr>
                  </w:pPr>
                  <w:r>
                    <w:rPr>
                      <w:rFonts w:hint="eastAsia" w:ascii="宋体" w:hAnsi="宋体" w:cs="宋体"/>
                      <w:i w:val="0"/>
                      <w:iCs w:val="0"/>
                      <w:color w:val="000000"/>
                      <w:kern w:val="0"/>
                      <w:sz w:val="18"/>
                      <w:szCs w:val="18"/>
                      <w:u w:val="single"/>
                      <w:lang w:val="en-US" w:eastAsia="zh-CN" w:bidi="ar"/>
                    </w:rPr>
                    <w:t>1.49</w:t>
                  </w:r>
                </w:p>
              </w:tc>
              <w:tc>
                <w:tcPr>
                  <w:tcW w:w="496" w:type="pct"/>
                  <w:tcBorders>
                    <w:top w:val="nil"/>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cs="宋体"/>
                      <w:i w:val="0"/>
                      <w:iCs w:val="0"/>
                      <w:color w:val="000000"/>
                      <w:kern w:val="0"/>
                      <w:sz w:val="18"/>
                      <w:szCs w:val="18"/>
                      <w:u w:val="single"/>
                      <w:lang w:val="en-US" w:eastAsia="zh-CN" w:bidi="ar"/>
                    </w:rPr>
                  </w:pPr>
                  <w:r>
                    <w:rPr>
                      <w:rFonts w:hint="eastAsia" w:ascii="宋体" w:hAnsi="宋体" w:cs="宋体"/>
                      <w:i w:val="0"/>
                      <w:iCs w:val="0"/>
                      <w:color w:val="000000"/>
                      <w:kern w:val="0"/>
                      <w:sz w:val="18"/>
                      <w:szCs w:val="18"/>
                      <w:u w:val="single"/>
                      <w:lang w:val="en-US" w:eastAsia="zh-CN" w:bidi="ar"/>
                    </w:rPr>
                    <w:t>/</w:t>
                  </w:r>
                </w:p>
              </w:tc>
              <w:tc>
                <w:tcPr>
                  <w:tcW w:w="358" w:type="pct"/>
                  <w:tcBorders>
                    <w:top w:val="nil"/>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cs="宋体"/>
                      <w:i w:val="0"/>
                      <w:iCs w:val="0"/>
                      <w:color w:val="000000"/>
                      <w:kern w:val="0"/>
                      <w:sz w:val="18"/>
                      <w:szCs w:val="18"/>
                      <w:u w:val="single"/>
                      <w:lang w:val="en-US" w:eastAsia="zh-CN" w:bidi="ar"/>
                    </w:rPr>
                  </w:pPr>
                  <w:r>
                    <w:rPr>
                      <w:rFonts w:hint="eastAsia" w:ascii="宋体" w:hAnsi="宋体" w:cs="宋体"/>
                      <w:i w:val="0"/>
                      <w:iCs w:val="0"/>
                      <w:color w:val="000000"/>
                      <w:kern w:val="0"/>
                      <w:sz w:val="18"/>
                      <w:szCs w:val="18"/>
                      <w:u w:val="single"/>
                      <w:lang w:val="en-US" w:eastAsia="zh-CN" w:bidi="ar"/>
                    </w:rPr>
                    <w:t>/</w:t>
                  </w:r>
                </w:p>
              </w:tc>
              <w:tc>
                <w:tcPr>
                  <w:tcW w:w="453" w:type="pct"/>
                  <w:tcBorders>
                    <w:top w:val="nil"/>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cs="宋体"/>
                      <w:i w:val="0"/>
                      <w:iCs w:val="0"/>
                      <w:color w:val="000000"/>
                      <w:kern w:val="0"/>
                      <w:sz w:val="18"/>
                      <w:szCs w:val="18"/>
                      <w:u w:val="single"/>
                      <w:lang w:val="en-US" w:eastAsia="zh-CN" w:bidi="ar"/>
                    </w:rPr>
                  </w:pPr>
                  <w:r>
                    <w:rPr>
                      <w:rFonts w:hint="eastAsia" w:ascii="宋体" w:hAnsi="宋体" w:cs="宋体"/>
                      <w:i w:val="0"/>
                      <w:iCs w:val="0"/>
                      <w:color w:val="000000"/>
                      <w:kern w:val="0"/>
                      <w:sz w:val="18"/>
                      <w:szCs w:val="18"/>
                      <w:u w:val="single"/>
                      <w:lang w:val="en-US" w:eastAsia="zh-CN" w:bidi="ar"/>
                    </w:rPr>
                    <w:t>0.028</w:t>
                  </w:r>
                </w:p>
              </w:tc>
              <w:tc>
                <w:tcPr>
                  <w:tcW w:w="1056" w:type="dxa"/>
                  <w:tcBorders>
                    <w:top w:val="nil"/>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cs="宋体"/>
                      <w:i w:val="0"/>
                      <w:iCs w:val="0"/>
                      <w:color w:val="000000"/>
                      <w:kern w:val="0"/>
                      <w:sz w:val="18"/>
                      <w:szCs w:val="18"/>
                      <w:u w:val="single"/>
                      <w:lang w:val="en-US" w:eastAsia="zh-CN" w:bidi="ar"/>
                    </w:rPr>
                  </w:pPr>
                  <w:r>
                    <w:rPr>
                      <w:rFonts w:hint="eastAsia" w:ascii="宋体" w:hAnsi="宋体" w:cs="宋体"/>
                      <w:i w:val="0"/>
                      <w:iCs w:val="0"/>
                      <w:color w:val="000000"/>
                      <w:kern w:val="0"/>
                      <w:sz w:val="18"/>
                      <w:szCs w:val="18"/>
                      <w:u w:val="single"/>
                      <w:lang w:val="en-US" w:eastAsia="zh-CN" w:bidi="ar"/>
                    </w:rPr>
                    <w:t>1.49</w:t>
                  </w:r>
                </w:p>
              </w:tc>
              <w:tc>
                <w:tcPr>
                  <w:tcW w:w="621"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cs="宋体"/>
                      <w:i w:val="0"/>
                      <w:iCs w:val="0"/>
                      <w:color w:val="000000"/>
                      <w:kern w:val="0"/>
                      <w:sz w:val="18"/>
                      <w:szCs w:val="18"/>
                      <w:u w:val="single"/>
                      <w:lang w:val="en-US" w:eastAsia="zh-CN" w:bidi="ar"/>
                    </w:rPr>
                  </w:pPr>
                  <w:r>
                    <w:rPr>
                      <w:rFonts w:hint="eastAsia" w:ascii="宋体" w:hAnsi="宋体" w:cs="宋体"/>
                      <w:i w:val="0"/>
                      <w:iCs w:val="0"/>
                      <w:color w:val="000000"/>
                      <w:kern w:val="0"/>
                      <w:sz w:val="18"/>
                      <w:szCs w:val="18"/>
                      <w:u w:val="single"/>
                      <w:lang w:val="en-US" w:eastAsia="zh-CN" w:bidi="ar"/>
                    </w:rPr>
                    <w:t>200</w:t>
                  </w:r>
                </w:p>
              </w:tc>
              <w:tc>
                <w:tcPr>
                  <w:tcW w:w="398" w:type="pct"/>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18"/>
                      <w:szCs w:val="18"/>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6" w:type="pct"/>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single"/>
                    </w:rPr>
                  </w:pPr>
                </w:p>
              </w:tc>
              <w:tc>
                <w:tcPr>
                  <w:tcW w:w="50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18"/>
                      <w:szCs w:val="18"/>
                      <w:u w:val="single"/>
                    </w:rPr>
                  </w:pPr>
                  <w:r>
                    <w:rPr>
                      <w:rFonts w:hint="default" w:ascii="Times New Roman" w:hAnsi="Times New Roman" w:eastAsia="宋体" w:cs="Times New Roman"/>
                      <w:i w:val="0"/>
                      <w:iCs w:val="0"/>
                      <w:color w:val="000000"/>
                      <w:kern w:val="0"/>
                      <w:sz w:val="18"/>
                      <w:szCs w:val="18"/>
                      <w:u w:val="single"/>
                      <w:lang w:val="en-US" w:eastAsia="zh-CN" w:bidi="ar"/>
                    </w:rPr>
                    <w:t>NOx</w:t>
                  </w:r>
                </w:p>
              </w:tc>
              <w:tc>
                <w:tcPr>
                  <w:tcW w:w="490" w:type="pct"/>
                  <w:tcBorders>
                    <w:top w:val="nil"/>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cs="宋体"/>
                      <w:i w:val="0"/>
                      <w:iCs w:val="0"/>
                      <w:color w:val="000000"/>
                      <w:kern w:val="0"/>
                      <w:sz w:val="18"/>
                      <w:szCs w:val="18"/>
                      <w:u w:val="single"/>
                      <w:lang w:val="en-US" w:eastAsia="zh-CN" w:bidi="ar"/>
                    </w:rPr>
                  </w:pPr>
                  <w:r>
                    <w:rPr>
                      <w:rFonts w:hint="eastAsia" w:ascii="宋体" w:hAnsi="宋体" w:cs="宋体"/>
                      <w:i w:val="0"/>
                      <w:iCs w:val="0"/>
                      <w:color w:val="000000"/>
                      <w:kern w:val="0"/>
                      <w:sz w:val="18"/>
                      <w:szCs w:val="18"/>
                      <w:u w:val="single"/>
                      <w:lang w:val="en-US" w:eastAsia="zh-CN" w:bidi="ar"/>
                    </w:rPr>
                    <w:t>2.602</w:t>
                  </w:r>
                </w:p>
              </w:tc>
              <w:tc>
                <w:tcPr>
                  <w:tcW w:w="617" w:type="pct"/>
                  <w:tcBorders>
                    <w:top w:val="nil"/>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cs="宋体"/>
                      <w:i w:val="0"/>
                      <w:iCs w:val="0"/>
                      <w:color w:val="000000"/>
                      <w:kern w:val="0"/>
                      <w:sz w:val="18"/>
                      <w:szCs w:val="18"/>
                      <w:u w:val="single"/>
                      <w:lang w:val="en-US" w:eastAsia="zh-CN" w:bidi="ar"/>
                    </w:rPr>
                  </w:pPr>
                  <w:r>
                    <w:rPr>
                      <w:rFonts w:hint="eastAsia" w:ascii="宋体" w:hAnsi="宋体" w:cs="宋体"/>
                      <w:i w:val="0"/>
                      <w:iCs w:val="0"/>
                      <w:color w:val="000000"/>
                      <w:kern w:val="0"/>
                      <w:sz w:val="18"/>
                      <w:szCs w:val="18"/>
                      <w:u w:val="single"/>
                      <w:lang w:val="en-US" w:eastAsia="zh-CN" w:bidi="ar"/>
                    </w:rPr>
                    <w:t>141</w:t>
                  </w:r>
                </w:p>
              </w:tc>
              <w:tc>
                <w:tcPr>
                  <w:tcW w:w="496" w:type="pct"/>
                  <w:tcBorders>
                    <w:top w:val="nil"/>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cs="宋体"/>
                      <w:i w:val="0"/>
                      <w:iCs w:val="0"/>
                      <w:color w:val="000000"/>
                      <w:kern w:val="0"/>
                      <w:sz w:val="18"/>
                      <w:szCs w:val="18"/>
                      <w:u w:val="single"/>
                      <w:lang w:val="en-US" w:eastAsia="zh-CN" w:bidi="ar"/>
                    </w:rPr>
                  </w:pPr>
                  <w:r>
                    <w:rPr>
                      <w:rFonts w:hint="eastAsia" w:ascii="宋体" w:hAnsi="宋体" w:cs="宋体"/>
                      <w:i w:val="0"/>
                      <w:iCs w:val="0"/>
                      <w:color w:val="000000"/>
                      <w:kern w:val="0"/>
                      <w:sz w:val="18"/>
                      <w:szCs w:val="18"/>
                      <w:u w:val="single"/>
                      <w:lang w:val="en-US" w:eastAsia="zh-CN" w:bidi="ar"/>
                    </w:rPr>
                    <w:t>/</w:t>
                  </w:r>
                </w:p>
              </w:tc>
              <w:tc>
                <w:tcPr>
                  <w:tcW w:w="358" w:type="pct"/>
                  <w:tcBorders>
                    <w:top w:val="nil"/>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cs="宋体"/>
                      <w:i w:val="0"/>
                      <w:iCs w:val="0"/>
                      <w:color w:val="000000"/>
                      <w:kern w:val="0"/>
                      <w:sz w:val="18"/>
                      <w:szCs w:val="18"/>
                      <w:u w:val="single"/>
                      <w:lang w:val="en-US" w:eastAsia="zh-CN" w:bidi="ar"/>
                    </w:rPr>
                  </w:pPr>
                  <w:r>
                    <w:rPr>
                      <w:rFonts w:hint="eastAsia" w:ascii="宋体" w:hAnsi="宋体" w:cs="宋体"/>
                      <w:i w:val="0"/>
                      <w:iCs w:val="0"/>
                      <w:color w:val="000000"/>
                      <w:kern w:val="0"/>
                      <w:sz w:val="18"/>
                      <w:szCs w:val="18"/>
                      <w:u w:val="single"/>
                      <w:lang w:val="en-US" w:eastAsia="zh-CN" w:bidi="ar"/>
                    </w:rPr>
                    <w:t>/</w:t>
                  </w:r>
                </w:p>
              </w:tc>
              <w:tc>
                <w:tcPr>
                  <w:tcW w:w="453" w:type="pct"/>
                  <w:tcBorders>
                    <w:top w:val="nil"/>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cs="宋体"/>
                      <w:i w:val="0"/>
                      <w:iCs w:val="0"/>
                      <w:color w:val="000000"/>
                      <w:kern w:val="0"/>
                      <w:sz w:val="18"/>
                      <w:szCs w:val="18"/>
                      <w:u w:val="single"/>
                      <w:lang w:val="en-US" w:eastAsia="zh-CN" w:bidi="ar"/>
                    </w:rPr>
                  </w:pPr>
                  <w:r>
                    <w:rPr>
                      <w:rFonts w:hint="eastAsia" w:ascii="宋体" w:hAnsi="宋体" w:cs="宋体"/>
                      <w:i w:val="0"/>
                      <w:iCs w:val="0"/>
                      <w:color w:val="000000"/>
                      <w:kern w:val="0"/>
                      <w:sz w:val="18"/>
                      <w:szCs w:val="18"/>
                      <w:u w:val="single"/>
                      <w:lang w:val="en-US" w:eastAsia="zh-CN" w:bidi="ar"/>
                    </w:rPr>
                    <w:t>2.602</w:t>
                  </w:r>
                </w:p>
              </w:tc>
              <w:tc>
                <w:tcPr>
                  <w:tcW w:w="1056" w:type="dxa"/>
                  <w:tcBorders>
                    <w:top w:val="nil"/>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cs="宋体"/>
                      <w:i w:val="0"/>
                      <w:iCs w:val="0"/>
                      <w:color w:val="000000"/>
                      <w:kern w:val="0"/>
                      <w:sz w:val="18"/>
                      <w:szCs w:val="18"/>
                      <w:u w:val="single"/>
                      <w:lang w:val="en-US" w:eastAsia="zh-CN" w:bidi="ar"/>
                    </w:rPr>
                  </w:pPr>
                  <w:r>
                    <w:rPr>
                      <w:rFonts w:hint="eastAsia" w:ascii="宋体" w:hAnsi="宋体" w:cs="宋体"/>
                      <w:i w:val="0"/>
                      <w:iCs w:val="0"/>
                      <w:color w:val="000000"/>
                      <w:kern w:val="0"/>
                      <w:sz w:val="18"/>
                      <w:szCs w:val="18"/>
                      <w:u w:val="single"/>
                      <w:lang w:val="en-US" w:eastAsia="zh-CN" w:bidi="ar"/>
                    </w:rPr>
                    <w:t>141</w:t>
                  </w:r>
                </w:p>
              </w:tc>
              <w:tc>
                <w:tcPr>
                  <w:tcW w:w="621"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cs="宋体"/>
                      <w:i w:val="0"/>
                      <w:iCs w:val="0"/>
                      <w:color w:val="000000"/>
                      <w:kern w:val="0"/>
                      <w:sz w:val="18"/>
                      <w:szCs w:val="18"/>
                      <w:u w:val="single"/>
                      <w:lang w:val="en-US" w:eastAsia="zh-CN" w:bidi="ar"/>
                    </w:rPr>
                  </w:pPr>
                  <w:r>
                    <w:rPr>
                      <w:rFonts w:hint="eastAsia" w:ascii="宋体" w:hAnsi="宋体" w:cs="宋体"/>
                      <w:i w:val="0"/>
                      <w:iCs w:val="0"/>
                      <w:color w:val="000000"/>
                      <w:kern w:val="0"/>
                      <w:sz w:val="18"/>
                      <w:szCs w:val="18"/>
                      <w:u w:val="single"/>
                      <w:lang w:val="en-US" w:eastAsia="zh-CN" w:bidi="ar"/>
                    </w:rPr>
                    <w:t>200</w:t>
                  </w:r>
                </w:p>
              </w:tc>
              <w:tc>
                <w:tcPr>
                  <w:tcW w:w="398" w:type="pct"/>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18"/>
                      <w:szCs w:val="18"/>
                      <w:u w:val="single"/>
                    </w:rPr>
                  </w:pPr>
                </w:p>
              </w:tc>
            </w:tr>
          </w:tbl>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根据《排污许可证申请与核发技术规范 锅炉》（</w:t>
            </w:r>
            <w:r>
              <w:rPr>
                <w:rFonts w:hint="default" w:ascii="Times New Roman" w:hAnsi="Times New Roman" w:eastAsia="宋体" w:cs="Times New Roman"/>
                <w:color w:val="000000"/>
                <w:kern w:val="0"/>
                <w:sz w:val="24"/>
                <w:szCs w:val="24"/>
                <w:u w:val="single"/>
                <w:lang w:val="en-US" w:eastAsia="zh-CN" w:bidi="ar"/>
              </w:rPr>
              <w:t>HJ953-2018</w:t>
            </w:r>
            <w:r>
              <w:rPr>
                <w:rFonts w:hint="eastAsia" w:ascii="宋体" w:hAnsi="宋体" w:eastAsia="宋体" w:cs="宋体"/>
                <w:color w:val="000000"/>
                <w:kern w:val="0"/>
                <w:sz w:val="24"/>
                <w:szCs w:val="24"/>
                <w:u w:val="single"/>
                <w:lang w:val="en-US" w:eastAsia="zh-CN" w:bidi="ar"/>
              </w:rPr>
              <w:t>）：“锅炉排污单位废气排放口分为主要排放口和一般排放口，单台出力</w:t>
            </w:r>
            <w:r>
              <w:rPr>
                <w:rFonts w:hint="default" w:ascii="Times New Roman" w:hAnsi="Times New Roman" w:eastAsia="宋体" w:cs="Times New Roman"/>
                <w:color w:val="000000"/>
                <w:kern w:val="0"/>
                <w:sz w:val="24"/>
                <w:szCs w:val="24"/>
                <w:u w:val="single"/>
                <w:lang w:val="en-US" w:eastAsia="zh-CN" w:bidi="ar"/>
              </w:rPr>
              <w:t>10</w:t>
            </w:r>
            <w:r>
              <w:rPr>
                <w:rFonts w:hint="eastAsia" w:ascii="宋体" w:hAnsi="宋体" w:eastAsia="宋体" w:cs="宋体"/>
                <w:color w:val="000000"/>
                <w:kern w:val="0"/>
                <w:sz w:val="24"/>
                <w:szCs w:val="24"/>
                <w:u w:val="single"/>
                <w:lang w:val="en-US" w:eastAsia="zh-CN" w:bidi="ar"/>
              </w:rPr>
              <w:t>吨</w:t>
            </w:r>
            <w:r>
              <w:rPr>
                <w:rFonts w:hint="default" w:ascii="Times New Roman" w:hAnsi="Times New Roman" w:eastAsia="宋体" w:cs="Times New Roman"/>
                <w:color w:val="000000"/>
                <w:kern w:val="0"/>
                <w:sz w:val="24"/>
                <w:szCs w:val="24"/>
                <w:u w:val="single"/>
                <w:lang w:val="en-US" w:eastAsia="zh-CN" w:bidi="ar"/>
              </w:rPr>
              <w:t>/</w:t>
            </w:r>
            <w:r>
              <w:rPr>
                <w:rFonts w:hint="eastAsia" w:ascii="宋体" w:hAnsi="宋体" w:eastAsia="宋体" w:cs="宋体"/>
                <w:color w:val="000000"/>
                <w:kern w:val="0"/>
                <w:sz w:val="24"/>
                <w:szCs w:val="24"/>
                <w:u w:val="single"/>
                <w:lang w:val="en-US" w:eastAsia="zh-CN" w:bidi="ar"/>
              </w:rPr>
              <w:t>小时（</w:t>
            </w:r>
            <w:r>
              <w:rPr>
                <w:rFonts w:hint="default" w:ascii="Times New Roman" w:hAnsi="Times New Roman" w:eastAsia="宋体" w:cs="Times New Roman"/>
                <w:color w:val="000000"/>
                <w:kern w:val="0"/>
                <w:sz w:val="24"/>
                <w:szCs w:val="24"/>
                <w:u w:val="single"/>
                <w:lang w:val="en-US" w:eastAsia="zh-CN" w:bidi="ar"/>
              </w:rPr>
              <w:t>7</w:t>
            </w:r>
            <w:r>
              <w:rPr>
                <w:rFonts w:hint="eastAsia" w:ascii="宋体" w:hAnsi="宋体" w:eastAsia="宋体" w:cs="宋体"/>
                <w:color w:val="000000"/>
                <w:kern w:val="0"/>
                <w:sz w:val="24"/>
                <w:szCs w:val="24"/>
                <w:u w:val="single"/>
                <w:lang w:val="en-US" w:eastAsia="zh-CN" w:bidi="ar"/>
              </w:rPr>
              <w:t>兆瓦）及以上或者合计出力</w:t>
            </w:r>
            <w:r>
              <w:rPr>
                <w:rFonts w:hint="default" w:ascii="Times New Roman" w:hAnsi="Times New Roman" w:eastAsia="宋体" w:cs="Times New Roman"/>
                <w:color w:val="000000"/>
                <w:kern w:val="0"/>
                <w:sz w:val="24"/>
                <w:szCs w:val="24"/>
                <w:u w:val="single"/>
                <w:lang w:val="en-US" w:eastAsia="zh-CN" w:bidi="ar"/>
              </w:rPr>
              <w:t>20</w:t>
            </w:r>
            <w:r>
              <w:rPr>
                <w:rFonts w:hint="eastAsia" w:ascii="宋体" w:hAnsi="宋体" w:eastAsia="宋体" w:cs="宋体"/>
                <w:color w:val="000000"/>
                <w:kern w:val="0"/>
                <w:sz w:val="24"/>
                <w:szCs w:val="24"/>
                <w:u w:val="single"/>
                <w:lang w:val="en-US" w:eastAsia="zh-CN" w:bidi="ar"/>
              </w:rPr>
              <w:t>吨</w:t>
            </w:r>
            <w:r>
              <w:rPr>
                <w:rFonts w:hint="default" w:ascii="Times New Roman" w:hAnsi="Times New Roman" w:eastAsia="宋体" w:cs="Times New Roman"/>
                <w:color w:val="000000"/>
                <w:kern w:val="0"/>
                <w:sz w:val="24"/>
                <w:szCs w:val="24"/>
                <w:u w:val="single"/>
                <w:lang w:val="en-US" w:eastAsia="zh-CN" w:bidi="ar"/>
              </w:rPr>
              <w:t>/</w:t>
            </w:r>
            <w:r>
              <w:rPr>
                <w:rFonts w:hint="eastAsia" w:ascii="宋体" w:hAnsi="宋体" w:eastAsia="宋体" w:cs="宋体"/>
                <w:color w:val="000000"/>
                <w:kern w:val="0"/>
                <w:sz w:val="24"/>
                <w:szCs w:val="24"/>
                <w:u w:val="single"/>
                <w:lang w:val="en-US" w:eastAsia="zh-CN" w:bidi="ar"/>
              </w:rPr>
              <w:t>小时（</w:t>
            </w:r>
            <w:r>
              <w:rPr>
                <w:rFonts w:hint="default" w:ascii="Times New Roman" w:hAnsi="Times New Roman" w:eastAsia="宋体" w:cs="Times New Roman"/>
                <w:color w:val="000000"/>
                <w:kern w:val="0"/>
                <w:sz w:val="24"/>
                <w:szCs w:val="24"/>
                <w:u w:val="single"/>
                <w:lang w:val="en-US" w:eastAsia="zh-CN" w:bidi="ar"/>
              </w:rPr>
              <w:t>14</w:t>
            </w:r>
            <w:r>
              <w:rPr>
                <w:rFonts w:hint="eastAsia" w:ascii="宋体" w:hAnsi="宋体" w:eastAsia="宋体" w:cs="宋体"/>
                <w:color w:val="000000"/>
                <w:kern w:val="0"/>
                <w:sz w:val="24"/>
                <w:szCs w:val="24"/>
                <w:u w:val="single"/>
                <w:lang w:val="en-US" w:eastAsia="zh-CN" w:bidi="ar"/>
              </w:rPr>
              <w:t>兆瓦）及以上锅炉排污单位的所有烟囱排放口为主要排放口，其他有组织排放口均为一般排放口；单台出力</w:t>
            </w:r>
            <w:r>
              <w:rPr>
                <w:rFonts w:hint="default" w:ascii="Times New Roman" w:hAnsi="Times New Roman" w:eastAsia="宋体" w:cs="Times New Roman"/>
                <w:color w:val="000000"/>
                <w:kern w:val="0"/>
                <w:sz w:val="24"/>
                <w:szCs w:val="24"/>
                <w:u w:val="single"/>
                <w:lang w:val="en-US" w:eastAsia="zh-CN" w:bidi="ar"/>
              </w:rPr>
              <w:t>10</w:t>
            </w:r>
            <w:r>
              <w:rPr>
                <w:rFonts w:hint="eastAsia" w:ascii="宋体" w:hAnsi="宋体" w:eastAsia="宋体" w:cs="宋体"/>
                <w:color w:val="000000"/>
                <w:kern w:val="0"/>
                <w:sz w:val="24"/>
                <w:szCs w:val="24"/>
                <w:u w:val="single"/>
                <w:lang w:val="en-US" w:eastAsia="zh-CN" w:bidi="ar"/>
              </w:rPr>
              <w:t>吨</w:t>
            </w:r>
            <w:r>
              <w:rPr>
                <w:rFonts w:hint="default" w:ascii="Times New Roman" w:hAnsi="Times New Roman" w:eastAsia="宋体" w:cs="Times New Roman"/>
                <w:color w:val="000000"/>
                <w:kern w:val="0"/>
                <w:sz w:val="24"/>
                <w:szCs w:val="24"/>
                <w:u w:val="single"/>
                <w:lang w:val="en-US" w:eastAsia="zh-CN" w:bidi="ar"/>
              </w:rPr>
              <w:t>/</w:t>
            </w:r>
            <w:r>
              <w:rPr>
                <w:rFonts w:hint="eastAsia" w:ascii="宋体" w:hAnsi="宋体" w:eastAsia="宋体" w:cs="宋体"/>
                <w:color w:val="000000"/>
                <w:kern w:val="0"/>
                <w:sz w:val="24"/>
                <w:szCs w:val="24"/>
                <w:u w:val="single"/>
                <w:lang w:val="en-US" w:eastAsia="zh-CN" w:bidi="ar"/>
              </w:rPr>
              <w:t>小时（</w:t>
            </w:r>
            <w:r>
              <w:rPr>
                <w:rFonts w:hint="default" w:ascii="Times New Roman" w:hAnsi="Times New Roman" w:eastAsia="宋体" w:cs="Times New Roman"/>
                <w:color w:val="000000"/>
                <w:kern w:val="0"/>
                <w:sz w:val="24"/>
                <w:szCs w:val="24"/>
                <w:u w:val="single"/>
                <w:lang w:val="en-US" w:eastAsia="zh-CN" w:bidi="ar"/>
              </w:rPr>
              <w:t>7</w:t>
            </w:r>
            <w:r>
              <w:rPr>
                <w:rFonts w:hint="eastAsia" w:ascii="宋体" w:hAnsi="宋体" w:eastAsia="宋体" w:cs="宋体"/>
                <w:color w:val="000000"/>
                <w:kern w:val="0"/>
                <w:sz w:val="24"/>
                <w:szCs w:val="24"/>
                <w:u w:val="single"/>
                <w:lang w:val="en-US" w:eastAsia="zh-CN" w:bidi="ar"/>
              </w:rPr>
              <w:t>兆瓦）以下且合计出力</w:t>
            </w:r>
            <w:r>
              <w:rPr>
                <w:rFonts w:hint="default" w:ascii="Times New Roman" w:hAnsi="Times New Roman" w:eastAsia="宋体" w:cs="Times New Roman"/>
                <w:color w:val="000000"/>
                <w:kern w:val="0"/>
                <w:sz w:val="24"/>
                <w:szCs w:val="24"/>
                <w:u w:val="single"/>
                <w:lang w:val="en-US" w:eastAsia="zh-CN" w:bidi="ar"/>
              </w:rPr>
              <w:t>20</w:t>
            </w:r>
            <w:r>
              <w:rPr>
                <w:rFonts w:hint="eastAsia" w:ascii="宋体" w:hAnsi="宋体" w:eastAsia="宋体" w:cs="宋体"/>
                <w:color w:val="000000"/>
                <w:kern w:val="0"/>
                <w:sz w:val="24"/>
                <w:szCs w:val="24"/>
                <w:u w:val="single"/>
                <w:lang w:val="en-US" w:eastAsia="zh-CN" w:bidi="ar"/>
              </w:rPr>
              <w:t>吨</w:t>
            </w:r>
            <w:r>
              <w:rPr>
                <w:rFonts w:hint="default" w:ascii="Times New Roman" w:hAnsi="Times New Roman" w:eastAsia="宋体" w:cs="Times New Roman"/>
                <w:color w:val="000000"/>
                <w:kern w:val="0"/>
                <w:sz w:val="24"/>
                <w:szCs w:val="24"/>
                <w:u w:val="single"/>
                <w:lang w:val="en-US" w:eastAsia="zh-CN" w:bidi="ar"/>
              </w:rPr>
              <w:t>/</w:t>
            </w:r>
            <w:r>
              <w:rPr>
                <w:rFonts w:hint="eastAsia" w:ascii="宋体" w:hAnsi="宋体" w:eastAsia="宋体" w:cs="宋体"/>
                <w:color w:val="000000"/>
                <w:kern w:val="0"/>
                <w:sz w:val="24"/>
                <w:szCs w:val="24"/>
                <w:u w:val="single"/>
                <w:lang w:val="en-US" w:eastAsia="zh-CN" w:bidi="ar"/>
              </w:rPr>
              <w:t>小时（</w:t>
            </w:r>
            <w:r>
              <w:rPr>
                <w:rFonts w:hint="default" w:ascii="Times New Roman" w:hAnsi="Times New Roman" w:eastAsia="宋体" w:cs="Times New Roman"/>
                <w:color w:val="000000"/>
                <w:kern w:val="0"/>
                <w:sz w:val="24"/>
                <w:szCs w:val="24"/>
                <w:u w:val="single"/>
                <w:lang w:val="en-US" w:eastAsia="zh-CN" w:bidi="ar"/>
              </w:rPr>
              <w:t>14</w:t>
            </w:r>
            <w:r>
              <w:rPr>
                <w:rFonts w:hint="eastAsia" w:ascii="宋体" w:hAnsi="宋体" w:eastAsia="宋体" w:cs="宋体"/>
                <w:color w:val="000000"/>
                <w:kern w:val="0"/>
                <w:sz w:val="24"/>
                <w:szCs w:val="24"/>
                <w:u w:val="single"/>
                <w:lang w:val="en-US" w:eastAsia="zh-CN" w:bidi="ar"/>
              </w:rPr>
              <w:t>兆瓦）以下锅炉排污单位的所有有组织排放口为一般排放口”。故本项目</w:t>
            </w:r>
            <w:r>
              <w:rPr>
                <w:rFonts w:hint="default" w:ascii="Times New Roman" w:hAnsi="Times New Roman" w:eastAsia="宋体" w:cs="Times New Roman"/>
                <w:color w:val="000000"/>
                <w:kern w:val="0"/>
                <w:sz w:val="24"/>
                <w:szCs w:val="24"/>
                <w:u w:val="single"/>
                <w:lang w:val="en-US" w:eastAsia="zh-CN" w:bidi="ar"/>
              </w:rPr>
              <w:t>DA001</w:t>
            </w:r>
            <w:r>
              <w:rPr>
                <w:rFonts w:hint="eastAsia" w:ascii="宋体" w:hAnsi="宋体" w:eastAsia="宋体" w:cs="宋体"/>
                <w:color w:val="000000"/>
                <w:kern w:val="0"/>
                <w:sz w:val="24"/>
                <w:szCs w:val="24"/>
                <w:u w:val="single"/>
                <w:lang w:val="en-US" w:eastAsia="zh-CN" w:bidi="ar"/>
              </w:rPr>
              <w:t>高</w:t>
            </w:r>
            <w:r>
              <w:rPr>
                <w:rFonts w:hint="eastAsia" w:ascii="宋体" w:hAnsi="宋体" w:cs="宋体"/>
                <w:color w:val="000000"/>
                <w:kern w:val="0"/>
                <w:sz w:val="24"/>
                <w:szCs w:val="24"/>
                <w:u w:val="single"/>
                <w:lang w:val="en-US" w:eastAsia="zh-CN" w:bidi="ar"/>
              </w:rPr>
              <w:t>35m</w:t>
            </w:r>
            <w:r>
              <w:rPr>
                <w:rFonts w:hint="eastAsia" w:ascii="宋体" w:hAnsi="宋体" w:eastAsia="宋体" w:cs="宋体"/>
                <w:color w:val="000000"/>
                <w:kern w:val="0"/>
                <w:sz w:val="24"/>
                <w:szCs w:val="24"/>
                <w:u w:val="single"/>
                <w:lang w:val="en-US" w:eastAsia="zh-CN" w:bidi="ar"/>
              </w:rPr>
              <w:t>排气筒为一般排放口。</w:t>
            </w:r>
          </w:p>
          <w:p>
            <w:pPr>
              <w:adjustRightInd w:val="0"/>
              <w:snapToGrid w:val="0"/>
              <w:ind w:firstLine="480"/>
              <w:rPr>
                <w:rFonts w:hint="default"/>
                <w:u w:val="single"/>
                <w:lang w:val="en-US" w:eastAsia="zh-CN"/>
              </w:rPr>
            </w:pPr>
            <w:r>
              <w:rPr>
                <w:rFonts w:hint="eastAsia" w:ascii="宋体" w:hAnsi="宋体" w:eastAsia="宋体" w:cs="宋体"/>
                <w:u w:val="single"/>
              </w:rPr>
              <w:t>②</w:t>
            </w:r>
            <w:r>
              <w:rPr>
                <w:rFonts w:hint="eastAsia"/>
                <w:u w:val="single"/>
                <w:lang w:val="en-US" w:eastAsia="zh-CN"/>
              </w:rPr>
              <w:t>非正常排放</w:t>
            </w:r>
          </w:p>
          <w:p>
            <w:pPr>
              <w:pStyle w:val="100"/>
              <w:ind w:firstLine="480"/>
              <w:rPr>
                <w:rFonts w:eastAsiaTheme="minorEastAsia"/>
                <w:bCs/>
                <w:smallCaps/>
                <w:kern w:val="0"/>
                <w:u w:val="single"/>
                <w:lang w:val="en-US"/>
              </w:rPr>
            </w:pPr>
            <w:r>
              <w:rPr>
                <w:rFonts w:eastAsiaTheme="minorEastAsia"/>
                <w:bCs/>
                <w:smallCaps/>
                <w:kern w:val="0"/>
                <w:u w:val="single"/>
                <w:lang w:val="en-US"/>
              </w:rPr>
              <w:t>本项目异常工况下的废气污染物排放主要是</w:t>
            </w:r>
            <w:r>
              <w:rPr>
                <w:rFonts w:hint="eastAsia" w:eastAsiaTheme="minorEastAsia"/>
                <w:bCs/>
                <w:smallCaps/>
                <w:kern w:val="0"/>
                <w:u w:val="single"/>
                <w:lang w:val="en-US"/>
              </w:rPr>
              <w:t>锅炉燃烧废气</w:t>
            </w:r>
            <w:r>
              <w:rPr>
                <w:rFonts w:eastAsiaTheme="minorEastAsia"/>
                <w:bCs/>
                <w:smallCaps/>
                <w:kern w:val="0"/>
                <w:u w:val="single"/>
                <w:lang w:val="en-US"/>
              </w:rPr>
              <w:t>处理装置（</w:t>
            </w:r>
            <w:r>
              <w:rPr>
                <w:rFonts w:hint="eastAsia" w:eastAsiaTheme="minorEastAsia"/>
                <w:bCs/>
                <w:smallCaps/>
                <w:kern w:val="0"/>
                <w:u w:val="single"/>
                <w:lang w:val="en-US" w:eastAsia="zh-CN"/>
              </w:rPr>
              <w:t>多管+布袋除尘器</w:t>
            </w:r>
            <w:r>
              <w:rPr>
                <w:rFonts w:eastAsiaTheme="minorEastAsia"/>
                <w:bCs/>
                <w:smallCaps/>
                <w:kern w:val="0"/>
                <w:u w:val="single"/>
                <w:lang w:val="en-US"/>
              </w:rPr>
              <w:t>）或集气风机</w:t>
            </w:r>
            <w:r>
              <w:rPr>
                <w:rFonts w:hint="eastAsia" w:eastAsiaTheme="minorEastAsia"/>
                <w:bCs/>
                <w:smallCaps/>
                <w:kern w:val="0"/>
                <w:u w:val="single"/>
                <w:lang w:val="en-US"/>
              </w:rPr>
              <w:t>出现故障</w:t>
            </w:r>
            <w:r>
              <w:rPr>
                <w:rFonts w:eastAsiaTheme="minorEastAsia"/>
                <w:bCs/>
                <w:smallCaps/>
                <w:kern w:val="0"/>
                <w:u w:val="single"/>
                <w:lang w:val="en-US"/>
              </w:rPr>
              <w:t>，处理效率降低。这里考虑</w:t>
            </w:r>
            <w:r>
              <w:rPr>
                <w:rFonts w:hint="eastAsia" w:eastAsiaTheme="minorEastAsia"/>
                <w:bCs/>
                <w:smallCaps/>
                <w:kern w:val="0"/>
                <w:u w:val="single"/>
                <w:lang w:val="en-US"/>
              </w:rPr>
              <w:t>废气处理设施发生故障，处理效率为0%的状态进行估算。</w:t>
            </w:r>
          </w:p>
          <w:p>
            <w:pPr>
              <w:keepNext w:val="0"/>
              <w:keepLines w:val="0"/>
              <w:widowControl/>
              <w:suppressLineNumbers w:val="0"/>
              <w:jc w:val="center"/>
              <w:rPr>
                <w:rFonts w:hint="eastAsia"/>
                <w:b/>
                <w:bCs/>
                <w:kern w:val="0"/>
                <w:sz w:val="21"/>
                <w:u w:val="single"/>
                <w:lang w:val="en-US" w:eastAsia="zh-CN"/>
              </w:rPr>
            </w:pPr>
            <w:r>
              <w:rPr>
                <w:rFonts w:hint="eastAsia"/>
                <w:b/>
                <w:bCs/>
                <w:kern w:val="0"/>
                <w:sz w:val="21"/>
                <w:u w:val="single"/>
                <w:lang w:val="en-US" w:eastAsia="zh-CN"/>
              </w:rPr>
              <w:t xml:space="preserve">表 </w:t>
            </w:r>
            <w:r>
              <w:rPr>
                <w:rFonts w:hint="default"/>
                <w:b/>
                <w:bCs/>
                <w:kern w:val="0"/>
                <w:sz w:val="21"/>
                <w:u w:val="single"/>
                <w:lang w:val="en-US" w:eastAsia="zh-CN"/>
              </w:rPr>
              <w:t>4-</w:t>
            </w:r>
            <w:r>
              <w:rPr>
                <w:rFonts w:hint="eastAsia"/>
                <w:b/>
                <w:bCs/>
                <w:kern w:val="0"/>
                <w:sz w:val="21"/>
                <w:u w:val="single"/>
                <w:lang w:val="en-US" w:eastAsia="zh-CN"/>
              </w:rPr>
              <w:t>8</w:t>
            </w:r>
            <w:r>
              <w:rPr>
                <w:rFonts w:hint="default"/>
                <w:b/>
                <w:bCs/>
                <w:kern w:val="0"/>
                <w:sz w:val="21"/>
                <w:u w:val="single"/>
                <w:lang w:val="en-US" w:eastAsia="zh-CN"/>
              </w:rPr>
              <w:t xml:space="preserve"> </w:t>
            </w:r>
            <w:r>
              <w:rPr>
                <w:rFonts w:hint="eastAsia"/>
                <w:b/>
                <w:bCs/>
                <w:kern w:val="0"/>
                <w:sz w:val="21"/>
                <w:u w:val="single"/>
                <w:lang w:val="en-US" w:eastAsia="zh-CN"/>
              </w:rPr>
              <w:t>非正常工况下锅炉燃烧废气产排核算</w:t>
            </w:r>
          </w:p>
          <w:tbl>
            <w:tblPr>
              <w:tblStyle w:val="25"/>
              <w:tblpPr w:leftFromText="180" w:rightFromText="180" w:vertAnchor="text" w:tblpXSpec="center" w:tblpY="1"/>
              <w:tblOverlap w:val="never"/>
              <w:tblW w:w="87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618"/>
              <w:gridCol w:w="1186"/>
              <w:gridCol w:w="1492"/>
              <w:gridCol w:w="1236"/>
              <w:gridCol w:w="1090"/>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854" w:type="dxa"/>
                  <w:vAlign w:val="center"/>
                </w:tcPr>
                <w:p>
                  <w:pPr>
                    <w:pStyle w:val="100"/>
                    <w:spacing w:line="240" w:lineRule="auto"/>
                    <w:ind w:firstLine="0" w:firstLineChars="0"/>
                    <w:jc w:val="center"/>
                    <w:rPr>
                      <w:kern w:val="0"/>
                      <w:sz w:val="21"/>
                      <w:szCs w:val="21"/>
                      <w:u w:val="single"/>
                    </w:rPr>
                  </w:pPr>
                  <w:r>
                    <w:rPr>
                      <w:kern w:val="0"/>
                      <w:sz w:val="21"/>
                      <w:szCs w:val="21"/>
                      <w:u w:val="single"/>
                    </w:rPr>
                    <w:t>污染源</w:t>
                  </w:r>
                </w:p>
              </w:tc>
              <w:tc>
                <w:tcPr>
                  <w:tcW w:w="1618" w:type="dxa"/>
                  <w:vAlign w:val="center"/>
                </w:tcPr>
                <w:p>
                  <w:pPr>
                    <w:pStyle w:val="100"/>
                    <w:spacing w:line="240" w:lineRule="auto"/>
                    <w:ind w:firstLine="0" w:firstLineChars="0"/>
                    <w:jc w:val="center"/>
                    <w:rPr>
                      <w:kern w:val="0"/>
                      <w:sz w:val="21"/>
                      <w:szCs w:val="21"/>
                      <w:u w:val="single"/>
                    </w:rPr>
                  </w:pPr>
                  <w:r>
                    <w:rPr>
                      <w:kern w:val="0"/>
                      <w:sz w:val="21"/>
                      <w:szCs w:val="21"/>
                      <w:u w:val="single"/>
                    </w:rPr>
                    <w:t>非正常排放原因</w:t>
                  </w:r>
                </w:p>
              </w:tc>
              <w:tc>
                <w:tcPr>
                  <w:tcW w:w="1186" w:type="dxa"/>
                  <w:vAlign w:val="center"/>
                </w:tcPr>
                <w:p>
                  <w:pPr>
                    <w:pStyle w:val="100"/>
                    <w:spacing w:line="240" w:lineRule="auto"/>
                    <w:ind w:firstLine="0" w:firstLineChars="0"/>
                    <w:jc w:val="center"/>
                    <w:rPr>
                      <w:kern w:val="0"/>
                      <w:sz w:val="21"/>
                      <w:szCs w:val="21"/>
                      <w:u w:val="single"/>
                    </w:rPr>
                  </w:pPr>
                  <w:r>
                    <w:rPr>
                      <w:kern w:val="0"/>
                      <w:sz w:val="21"/>
                      <w:szCs w:val="21"/>
                      <w:u w:val="single"/>
                    </w:rPr>
                    <w:t>污染物</w:t>
                  </w:r>
                </w:p>
              </w:tc>
              <w:tc>
                <w:tcPr>
                  <w:tcW w:w="1492" w:type="dxa"/>
                  <w:vAlign w:val="center"/>
                </w:tcPr>
                <w:p>
                  <w:pPr>
                    <w:pStyle w:val="100"/>
                    <w:spacing w:line="240" w:lineRule="auto"/>
                    <w:ind w:firstLine="0" w:firstLineChars="0"/>
                    <w:jc w:val="center"/>
                    <w:rPr>
                      <w:kern w:val="0"/>
                      <w:sz w:val="21"/>
                      <w:szCs w:val="21"/>
                      <w:u w:val="single"/>
                    </w:rPr>
                  </w:pPr>
                  <w:r>
                    <w:rPr>
                      <w:kern w:val="0"/>
                      <w:sz w:val="21"/>
                      <w:szCs w:val="21"/>
                      <w:u w:val="single"/>
                    </w:rPr>
                    <w:t>非正常排放浓度（mg/m</w:t>
                  </w:r>
                  <w:r>
                    <w:rPr>
                      <w:kern w:val="0"/>
                      <w:sz w:val="21"/>
                      <w:szCs w:val="21"/>
                      <w:u w:val="single"/>
                      <w:vertAlign w:val="superscript"/>
                    </w:rPr>
                    <w:t>3</w:t>
                  </w:r>
                  <w:r>
                    <w:rPr>
                      <w:kern w:val="0"/>
                      <w:sz w:val="21"/>
                      <w:szCs w:val="21"/>
                      <w:u w:val="single"/>
                    </w:rPr>
                    <w:t>）</w:t>
                  </w:r>
                </w:p>
              </w:tc>
              <w:tc>
                <w:tcPr>
                  <w:tcW w:w="1236" w:type="dxa"/>
                  <w:vAlign w:val="center"/>
                </w:tcPr>
                <w:p>
                  <w:pPr>
                    <w:pStyle w:val="100"/>
                    <w:spacing w:line="240" w:lineRule="auto"/>
                    <w:ind w:firstLine="0" w:firstLineChars="0"/>
                    <w:jc w:val="center"/>
                    <w:rPr>
                      <w:kern w:val="0"/>
                      <w:sz w:val="21"/>
                      <w:szCs w:val="21"/>
                      <w:u w:val="single"/>
                    </w:rPr>
                  </w:pPr>
                  <w:r>
                    <w:rPr>
                      <w:kern w:val="0"/>
                      <w:sz w:val="21"/>
                      <w:szCs w:val="21"/>
                      <w:u w:val="single"/>
                    </w:rPr>
                    <w:t>非正常排放速率（kg/h）</w:t>
                  </w:r>
                </w:p>
              </w:tc>
              <w:tc>
                <w:tcPr>
                  <w:tcW w:w="1090" w:type="dxa"/>
                  <w:vAlign w:val="center"/>
                </w:tcPr>
                <w:p>
                  <w:pPr>
                    <w:pStyle w:val="100"/>
                    <w:spacing w:line="240" w:lineRule="auto"/>
                    <w:ind w:firstLine="0" w:firstLineChars="0"/>
                    <w:jc w:val="center"/>
                    <w:rPr>
                      <w:kern w:val="0"/>
                      <w:sz w:val="21"/>
                      <w:szCs w:val="21"/>
                      <w:u w:val="single"/>
                    </w:rPr>
                  </w:pPr>
                  <w:r>
                    <w:rPr>
                      <w:kern w:val="0"/>
                      <w:sz w:val="21"/>
                      <w:szCs w:val="21"/>
                      <w:u w:val="single"/>
                    </w:rPr>
                    <w:t>单次持续时间/h</w:t>
                  </w:r>
                </w:p>
              </w:tc>
              <w:tc>
                <w:tcPr>
                  <w:tcW w:w="1323" w:type="dxa"/>
                  <w:vAlign w:val="center"/>
                </w:tcPr>
                <w:p>
                  <w:pPr>
                    <w:pStyle w:val="100"/>
                    <w:spacing w:line="240" w:lineRule="auto"/>
                    <w:ind w:firstLine="0" w:firstLineChars="0"/>
                    <w:jc w:val="center"/>
                    <w:rPr>
                      <w:kern w:val="0"/>
                      <w:sz w:val="21"/>
                      <w:szCs w:val="21"/>
                      <w:u w:val="single"/>
                    </w:rPr>
                  </w:pPr>
                  <w:r>
                    <w:rPr>
                      <w:kern w:val="0"/>
                      <w:sz w:val="21"/>
                      <w:szCs w:val="21"/>
                      <w:u w:val="single"/>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854" w:type="dxa"/>
                  <w:vMerge w:val="restart"/>
                  <w:vAlign w:val="center"/>
                </w:tcPr>
                <w:p>
                  <w:pPr>
                    <w:pStyle w:val="100"/>
                    <w:spacing w:line="240" w:lineRule="auto"/>
                    <w:ind w:firstLine="0" w:firstLineChars="0"/>
                    <w:jc w:val="center"/>
                    <w:rPr>
                      <w:rFonts w:eastAsiaTheme="minorEastAsia"/>
                      <w:sz w:val="21"/>
                      <w:szCs w:val="21"/>
                      <w:u w:val="single"/>
                      <w:lang w:val="en-US"/>
                    </w:rPr>
                  </w:pPr>
                  <w:r>
                    <w:rPr>
                      <w:rFonts w:eastAsiaTheme="minorEastAsia"/>
                      <w:sz w:val="21"/>
                      <w:szCs w:val="21"/>
                      <w:u w:val="single"/>
                    </w:rPr>
                    <w:t>锅炉燃烧废气排气筒</w:t>
                  </w:r>
                </w:p>
              </w:tc>
              <w:tc>
                <w:tcPr>
                  <w:tcW w:w="1618" w:type="dxa"/>
                  <w:vMerge w:val="restart"/>
                  <w:vAlign w:val="center"/>
                </w:tcPr>
                <w:p>
                  <w:pPr>
                    <w:pStyle w:val="100"/>
                    <w:spacing w:line="240" w:lineRule="auto"/>
                    <w:ind w:firstLine="0" w:firstLineChars="0"/>
                    <w:jc w:val="center"/>
                    <w:rPr>
                      <w:rFonts w:eastAsiaTheme="minorEastAsia"/>
                      <w:kern w:val="0"/>
                      <w:sz w:val="21"/>
                      <w:szCs w:val="21"/>
                      <w:u w:val="single"/>
                    </w:rPr>
                  </w:pPr>
                  <w:r>
                    <w:rPr>
                      <w:rFonts w:eastAsiaTheme="minorEastAsia"/>
                      <w:kern w:val="0"/>
                      <w:sz w:val="21"/>
                      <w:szCs w:val="21"/>
                      <w:u w:val="single"/>
                    </w:rPr>
                    <w:t>废气处理装置故障，处理效率为0%</w:t>
                  </w:r>
                </w:p>
              </w:tc>
              <w:tc>
                <w:tcPr>
                  <w:tcW w:w="1186" w:type="dxa"/>
                  <w:vAlign w:val="center"/>
                </w:tcPr>
                <w:p>
                  <w:pPr>
                    <w:pStyle w:val="100"/>
                    <w:spacing w:line="240" w:lineRule="auto"/>
                    <w:ind w:firstLine="0" w:firstLineChars="0"/>
                    <w:jc w:val="center"/>
                    <w:rPr>
                      <w:rFonts w:eastAsiaTheme="minorEastAsia"/>
                      <w:kern w:val="0"/>
                      <w:sz w:val="21"/>
                      <w:szCs w:val="21"/>
                      <w:u w:val="single"/>
                    </w:rPr>
                  </w:pPr>
                  <w:r>
                    <w:rPr>
                      <w:rFonts w:hint="eastAsia" w:eastAsiaTheme="minorEastAsia"/>
                      <w:sz w:val="21"/>
                      <w:szCs w:val="21"/>
                      <w:u w:val="single"/>
                    </w:rPr>
                    <w:t>颗粒物</w:t>
                  </w:r>
                </w:p>
              </w:tc>
              <w:tc>
                <w:tcPr>
                  <w:tcW w:w="1492" w:type="dxa"/>
                  <w:vAlign w:val="top"/>
                </w:tcPr>
                <w:p>
                  <w:pPr>
                    <w:pStyle w:val="100"/>
                    <w:spacing w:line="240" w:lineRule="auto"/>
                    <w:ind w:firstLine="0" w:firstLineChars="0"/>
                    <w:jc w:val="center"/>
                    <w:rPr>
                      <w:rFonts w:ascii="Times New Roman" w:hAnsi="Times New Roman" w:cs="Times New Roman" w:eastAsiaTheme="minorEastAsia"/>
                      <w:sz w:val="21"/>
                      <w:szCs w:val="21"/>
                      <w:u w:val="single"/>
                      <w:lang w:val="en-US"/>
                    </w:rPr>
                  </w:pPr>
                  <w:r>
                    <w:rPr>
                      <w:rFonts w:hint="eastAsia" w:ascii="Times New Roman" w:hAnsi="Times New Roman" w:cs="Times New Roman" w:eastAsiaTheme="minorEastAsia"/>
                      <w:sz w:val="21"/>
                      <w:szCs w:val="21"/>
                      <w:u w:val="single"/>
                      <w:lang w:val="en-US" w:eastAsia="zh-CN"/>
                    </w:rPr>
                    <w:t xml:space="preserve">69.11 </w:t>
                  </w:r>
                </w:p>
              </w:tc>
              <w:tc>
                <w:tcPr>
                  <w:tcW w:w="1236" w:type="dxa"/>
                  <w:vAlign w:val="top"/>
                </w:tcPr>
                <w:p>
                  <w:pPr>
                    <w:pStyle w:val="100"/>
                    <w:spacing w:line="240" w:lineRule="auto"/>
                    <w:ind w:firstLine="0" w:firstLineChars="0"/>
                    <w:jc w:val="center"/>
                    <w:rPr>
                      <w:rFonts w:hint="default" w:ascii="Times New Roman" w:hAnsi="Times New Roman" w:cs="Times New Roman" w:eastAsiaTheme="minorEastAsia"/>
                      <w:sz w:val="21"/>
                      <w:szCs w:val="21"/>
                      <w:u w:val="single"/>
                      <w:lang w:val="en-US" w:eastAsia="zh-CN"/>
                    </w:rPr>
                  </w:pPr>
                  <w:r>
                    <w:rPr>
                      <w:rFonts w:hint="eastAsia" w:ascii="Times New Roman" w:hAnsi="Times New Roman" w:cs="Times New Roman" w:eastAsiaTheme="minorEastAsia"/>
                      <w:sz w:val="21"/>
                      <w:szCs w:val="21"/>
                      <w:u w:val="single"/>
                      <w:lang w:val="en-US" w:eastAsia="zh-CN"/>
                    </w:rPr>
                    <w:t xml:space="preserve">0.161 </w:t>
                  </w:r>
                </w:p>
              </w:tc>
              <w:tc>
                <w:tcPr>
                  <w:tcW w:w="1090" w:type="dxa"/>
                  <w:vMerge w:val="restart"/>
                  <w:vAlign w:val="center"/>
                </w:tcPr>
                <w:p>
                  <w:pPr>
                    <w:pStyle w:val="100"/>
                    <w:spacing w:line="240" w:lineRule="auto"/>
                    <w:ind w:firstLine="0" w:firstLineChars="0"/>
                    <w:jc w:val="center"/>
                    <w:rPr>
                      <w:rFonts w:hint="eastAsia" w:ascii="Times New Roman" w:hAnsi="Times New Roman" w:cs="Times New Roman" w:eastAsiaTheme="minorEastAsia"/>
                      <w:sz w:val="21"/>
                      <w:szCs w:val="21"/>
                      <w:u w:val="single"/>
                      <w:lang w:val="en-US" w:eastAsia="zh-CN"/>
                    </w:rPr>
                  </w:pPr>
                  <w:r>
                    <w:rPr>
                      <w:rFonts w:hint="eastAsia" w:ascii="Times New Roman" w:hAnsi="Times New Roman" w:cs="Times New Roman" w:eastAsiaTheme="minorEastAsia"/>
                      <w:sz w:val="21"/>
                      <w:szCs w:val="21"/>
                      <w:u w:val="single"/>
                      <w:lang w:val="en-US" w:eastAsia="zh-CN"/>
                    </w:rPr>
                    <w:t>1</w:t>
                  </w:r>
                </w:p>
              </w:tc>
              <w:tc>
                <w:tcPr>
                  <w:tcW w:w="1323" w:type="dxa"/>
                  <w:vMerge w:val="restart"/>
                  <w:vAlign w:val="center"/>
                </w:tcPr>
                <w:p>
                  <w:pPr>
                    <w:pStyle w:val="100"/>
                    <w:spacing w:line="240" w:lineRule="auto"/>
                    <w:ind w:firstLine="0" w:firstLineChars="0"/>
                    <w:jc w:val="center"/>
                    <w:rPr>
                      <w:rFonts w:hint="eastAsia" w:ascii="Times New Roman" w:hAnsi="Times New Roman" w:cs="Times New Roman" w:eastAsiaTheme="minorEastAsia"/>
                      <w:sz w:val="21"/>
                      <w:szCs w:val="21"/>
                      <w:u w:val="single"/>
                      <w:lang w:val="en-US" w:eastAsia="zh-CN"/>
                    </w:rPr>
                  </w:pPr>
                  <w:r>
                    <w:rPr>
                      <w:rFonts w:hint="eastAsia" w:ascii="Times New Roman" w:hAnsi="Times New Roman" w:cs="Times New Roman" w:eastAsiaTheme="minorEastAsia"/>
                      <w:sz w:val="21"/>
                      <w:szCs w:val="21"/>
                      <w:u w:val="single"/>
                      <w:lang w:val="en-US" w:eastAsia="zh-CN"/>
                    </w:rPr>
                    <w:t>立即停止生产，查明原因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854" w:type="dxa"/>
                  <w:vMerge w:val="continue"/>
                  <w:vAlign w:val="center"/>
                </w:tcPr>
                <w:p>
                  <w:pPr>
                    <w:pStyle w:val="100"/>
                    <w:spacing w:line="240" w:lineRule="auto"/>
                    <w:ind w:firstLine="0" w:firstLineChars="0"/>
                    <w:jc w:val="center"/>
                    <w:rPr>
                      <w:rFonts w:eastAsiaTheme="minorEastAsia"/>
                      <w:sz w:val="21"/>
                      <w:szCs w:val="21"/>
                      <w:u w:val="single"/>
                    </w:rPr>
                  </w:pPr>
                </w:p>
              </w:tc>
              <w:tc>
                <w:tcPr>
                  <w:tcW w:w="1618" w:type="dxa"/>
                  <w:vMerge w:val="continue"/>
                  <w:vAlign w:val="center"/>
                </w:tcPr>
                <w:p>
                  <w:pPr>
                    <w:pStyle w:val="100"/>
                    <w:spacing w:line="240" w:lineRule="auto"/>
                    <w:ind w:firstLine="0" w:firstLineChars="0"/>
                    <w:jc w:val="center"/>
                    <w:rPr>
                      <w:rFonts w:eastAsiaTheme="minorEastAsia"/>
                      <w:kern w:val="0"/>
                      <w:sz w:val="21"/>
                      <w:szCs w:val="21"/>
                      <w:u w:val="single"/>
                    </w:rPr>
                  </w:pPr>
                </w:p>
              </w:tc>
              <w:tc>
                <w:tcPr>
                  <w:tcW w:w="1186" w:type="dxa"/>
                  <w:vAlign w:val="center"/>
                </w:tcPr>
                <w:p>
                  <w:pPr>
                    <w:pStyle w:val="100"/>
                    <w:spacing w:line="240" w:lineRule="auto"/>
                    <w:ind w:firstLine="0" w:firstLineChars="0"/>
                    <w:jc w:val="center"/>
                    <w:rPr>
                      <w:rFonts w:eastAsiaTheme="minorEastAsia"/>
                      <w:kern w:val="0"/>
                      <w:sz w:val="21"/>
                      <w:szCs w:val="21"/>
                      <w:u w:val="single"/>
                    </w:rPr>
                  </w:pPr>
                  <w:r>
                    <w:rPr>
                      <w:rFonts w:hint="eastAsia" w:eastAsiaTheme="minorEastAsia"/>
                      <w:sz w:val="21"/>
                      <w:szCs w:val="21"/>
                      <w:u w:val="single"/>
                    </w:rPr>
                    <w:t>SO</w:t>
                  </w:r>
                  <w:r>
                    <w:rPr>
                      <w:rFonts w:hint="eastAsia" w:eastAsiaTheme="minorEastAsia"/>
                      <w:sz w:val="21"/>
                      <w:szCs w:val="21"/>
                      <w:u w:val="single"/>
                      <w:vertAlign w:val="subscript"/>
                    </w:rPr>
                    <w:t>2</w:t>
                  </w:r>
                </w:p>
              </w:tc>
              <w:tc>
                <w:tcPr>
                  <w:tcW w:w="1492" w:type="dxa"/>
                  <w:vAlign w:val="top"/>
                </w:tcPr>
                <w:p>
                  <w:pPr>
                    <w:pStyle w:val="100"/>
                    <w:spacing w:line="240" w:lineRule="auto"/>
                    <w:ind w:firstLine="0" w:firstLineChars="0"/>
                    <w:jc w:val="center"/>
                    <w:rPr>
                      <w:rFonts w:ascii="Times New Roman" w:hAnsi="Times New Roman" w:cs="Times New Roman" w:eastAsiaTheme="minorEastAsia"/>
                      <w:sz w:val="21"/>
                      <w:szCs w:val="21"/>
                      <w:u w:val="single"/>
                      <w:lang w:val="en-US"/>
                    </w:rPr>
                  </w:pPr>
                  <w:r>
                    <w:rPr>
                      <w:rFonts w:hint="eastAsia" w:ascii="Times New Roman" w:hAnsi="Times New Roman" w:cs="Times New Roman" w:eastAsiaTheme="minorEastAsia"/>
                      <w:sz w:val="21"/>
                      <w:szCs w:val="21"/>
                      <w:u w:val="single"/>
                      <w:lang w:val="en-US" w:eastAsia="zh-CN"/>
                    </w:rPr>
                    <w:t xml:space="preserve">1.49 </w:t>
                  </w:r>
                </w:p>
              </w:tc>
              <w:tc>
                <w:tcPr>
                  <w:tcW w:w="1236" w:type="dxa"/>
                  <w:vAlign w:val="top"/>
                </w:tcPr>
                <w:p>
                  <w:pPr>
                    <w:pStyle w:val="100"/>
                    <w:spacing w:line="240" w:lineRule="auto"/>
                    <w:ind w:firstLine="0" w:firstLineChars="0"/>
                    <w:jc w:val="center"/>
                    <w:rPr>
                      <w:rFonts w:ascii="Times New Roman" w:hAnsi="Times New Roman" w:cs="Times New Roman" w:eastAsiaTheme="minorEastAsia"/>
                      <w:sz w:val="21"/>
                      <w:szCs w:val="21"/>
                      <w:u w:val="single"/>
                    </w:rPr>
                  </w:pPr>
                  <w:r>
                    <w:rPr>
                      <w:rFonts w:hint="eastAsia" w:ascii="Times New Roman" w:hAnsi="Times New Roman" w:cs="Times New Roman" w:eastAsiaTheme="minorEastAsia"/>
                      <w:sz w:val="21"/>
                      <w:szCs w:val="21"/>
                      <w:u w:val="single"/>
                      <w:lang w:val="en-US" w:eastAsia="zh-CN"/>
                    </w:rPr>
                    <w:t xml:space="preserve">0.003 </w:t>
                  </w:r>
                </w:p>
              </w:tc>
              <w:tc>
                <w:tcPr>
                  <w:tcW w:w="1090" w:type="dxa"/>
                  <w:vMerge w:val="continue"/>
                  <w:vAlign w:val="center"/>
                </w:tcPr>
                <w:p>
                  <w:pPr>
                    <w:jc w:val="center"/>
                    <w:rPr>
                      <w:rFonts w:eastAsiaTheme="minorEastAsia"/>
                      <w:szCs w:val="21"/>
                      <w:u w:val="single"/>
                    </w:rPr>
                  </w:pPr>
                </w:p>
              </w:tc>
              <w:tc>
                <w:tcPr>
                  <w:tcW w:w="1323" w:type="dxa"/>
                  <w:vMerge w:val="continue"/>
                  <w:vAlign w:val="center"/>
                </w:tcPr>
                <w:p>
                  <w:pPr>
                    <w:pStyle w:val="100"/>
                    <w:spacing w:line="240" w:lineRule="auto"/>
                    <w:ind w:firstLine="0" w:firstLineChars="0"/>
                    <w:jc w:val="center"/>
                    <w:rPr>
                      <w:rFonts w:eastAsiaTheme="minorEastAsia"/>
                      <w:kern w:val="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trPr>
              <w:tc>
                <w:tcPr>
                  <w:tcW w:w="854" w:type="dxa"/>
                  <w:vMerge w:val="continue"/>
                  <w:vAlign w:val="center"/>
                </w:tcPr>
                <w:p>
                  <w:pPr>
                    <w:pStyle w:val="100"/>
                    <w:spacing w:line="240" w:lineRule="auto"/>
                    <w:ind w:firstLine="0" w:firstLineChars="0"/>
                    <w:jc w:val="center"/>
                    <w:rPr>
                      <w:rFonts w:eastAsiaTheme="minorEastAsia"/>
                      <w:sz w:val="21"/>
                      <w:szCs w:val="21"/>
                      <w:u w:val="single"/>
                    </w:rPr>
                  </w:pPr>
                </w:p>
              </w:tc>
              <w:tc>
                <w:tcPr>
                  <w:tcW w:w="1618" w:type="dxa"/>
                  <w:vMerge w:val="continue"/>
                  <w:vAlign w:val="center"/>
                </w:tcPr>
                <w:p>
                  <w:pPr>
                    <w:pStyle w:val="100"/>
                    <w:spacing w:line="240" w:lineRule="auto"/>
                    <w:ind w:firstLine="0" w:firstLineChars="0"/>
                    <w:jc w:val="center"/>
                    <w:rPr>
                      <w:rFonts w:eastAsiaTheme="minorEastAsia"/>
                      <w:kern w:val="0"/>
                      <w:sz w:val="21"/>
                      <w:szCs w:val="21"/>
                      <w:u w:val="single"/>
                    </w:rPr>
                  </w:pPr>
                </w:p>
              </w:tc>
              <w:tc>
                <w:tcPr>
                  <w:tcW w:w="1186" w:type="dxa"/>
                  <w:vAlign w:val="center"/>
                </w:tcPr>
                <w:p>
                  <w:pPr>
                    <w:pStyle w:val="100"/>
                    <w:spacing w:line="240" w:lineRule="auto"/>
                    <w:ind w:firstLine="0" w:firstLineChars="0"/>
                    <w:jc w:val="center"/>
                    <w:rPr>
                      <w:rFonts w:eastAsiaTheme="minorEastAsia"/>
                      <w:kern w:val="0"/>
                      <w:sz w:val="21"/>
                      <w:szCs w:val="21"/>
                      <w:u w:val="single"/>
                    </w:rPr>
                  </w:pPr>
                  <w:r>
                    <w:rPr>
                      <w:rFonts w:hint="eastAsia" w:eastAsiaTheme="minorEastAsia"/>
                      <w:sz w:val="21"/>
                      <w:szCs w:val="21"/>
                      <w:u w:val="single"/>
                    </w:rPr>
                    <w:t>NOx</w:t>
                  </w:r>
                </w:p>
              </w:tc>
              <w:tc>
                <w:tcPr>
                  <w:tcW w:w="1492" w:type="dxa"/>
                  <w:vAlign w:val="top"/>
                </w:tcPr>
                <w:p>
                  <w:pPr>
                    <w:pStyle w:val="100"/>
                    <w:spacing w:line="240" w:lineRule="auto"/>
                    <w:ind w:firstLine="0" w:firstLineChars="0"/>
                    <w:jc w:val="center"/>
                    <w:rPr>
                      <w:rFonts w:ascii="Times New Roman" w:hAnsi="Times New Roman" w:cs="Times New Roman" w:eastAsiaTheme="minorEastAsia"/>
                      <w:sz w:val="21"/>
                      <w:szCs w:val="21"/>
                      <w:u w:val="single"/>
                      <w:lang w:val="en-US"/>
                    </w:rPr>
                  </w:pPr>
                  <w:r>
                    <w:rPr>
                      <w:rFonts w:hint="eastAsia" w:ascii="Times New Roman" w:hAnsi="Times New Roman" w:cs="Times New Roman" w:eastAsiaTheme="minorEastAsia"/>
                      <w:sz w:val="21"/>
                      <w:szCs w:val="21"/>
                      <w:u w:val="single"/>
                      <w:lang w:val="en-US" w:eastAsia="zh-CN"/>
                    </w:rPr>
                    <w:t xml:space="preserve">140.99 </w:t>
                  </w:r>
                </w:p>
              </w:tc>
              <w:tc>
                <w:tcPr>
                  <w:tcW w:w="1236" w:type="dxa"/>
                  <w:vAlign w:val="top"/>
                </w:tcPr>
                <w:p>
                  <w:pPr>
                    <w:pStyle w:val="100"/>
                    <w:spacing w:line="240" w:lineRule="auto"/>
                    <w:ind w:firstLine="0" w:firstLineChars="0"/>
                    <w:jc w:val="center"/>
                    <w:rPr>
                      <w:rFonts w:ascii="Times New Roman" w:hAnsi="Times New Roman" w:cs="Times New Roman" w:eastAsiaTheme="minorEastAsia"/>
                      <w:sz w:val="21"/>
                      <w:szCs w:val="21"/>
                      <w:u w:val="single"/>
                    </w:rPr>
                  </w:pPr>
                  <w:r>
                    <w:rPr>
                      <w:rFonts w:hint="eastAsia" w:ascii="Times New Roman" w:hAnsi="Times New Roman" w:cs="Times New Roman" w:eastAsiaTheme="minorEastAsia"/>
                      <w:sz w:val="21"/>
                      <w:szCs w:val="21"/>
                      <w:u w:val="single"/>
                      <w:lang w:val="en-US" w:eastAsia="zh-CN"/>
                    </w:rPr>
                    <w:t xml:space="preserve">0.329 </w:t>
                  </w:r>
                </w:p>
              </w:tc>
              <w:tc>
                <w:tcPr>
                  <w:tcW w:w="1090" w:type="dxa"/>
                  <w:vMerge w:val="continue"/>
                  <w:vAlign w:val="center"/>
                </w:tcPr>
                <w:p>
                  <w:pPr>
                    <w:jc w:val="center"/>
                    <w:rPr>
                      <w:rFonts w:eastAsiaTheme="minorEastAsia"/>
                      <w:szCs w:val="21"/>
                      <w:u w:val="single"/>
                    </w:rPr>
                  </w:pPr>
                </w:p>
              </w:tc>
              <w:tc>
                <w:tcPr>
                  <w:tcW w:w="1323" w:type="dxa"/>
                  <w:vMerge w:val="continue"/>
                  <w:vAlign w:val="center"/>
                </w:tcPr>
                <w:p>
                  <w:pPr>
                    <w:pStyle w:val="100"/>
                    <w:spacing w:line="240" w:lineRule="auto"/>
                    <w:ind w:firstLine="0" w:firstLineChars="0"/>
                    <w:jc w:val="center"/>
                    <w:rPr>
                      <w:rFonts w:eastAsiaTheme="minorEastAsia"/>
                      <w:kern w:val="0"/>
                      <w:sz w:val="21"/>
                      <w:szCs w:val="21"/>
                      <w:u w:val="single"/>
                    </w:rPr>
                  </w:pPr>
                </w:p>
              </w:tc>
            </w:tr>
          </w:tbl>
          <w:p>
            <w:pPr>
              <w:pStyle w:val="100"/>
              <w:ind w:firstLine="480"/>
              <w:rPr>
                <w:rFonts w:hint="eastAsia" w:ascii="Times New Roman" w:hAnsi="Times New Roman" w:cs="Times New Roman" w:eastAsiaTheme="minorEastAsia"/>
                <w:bCs/>
                <w:smallCaps/>
                <w:kern w:val="0"/>
                <w:u w:val="single"/>
                <w:lang w:val="en-US" w:eastAsia="zh-CN"/>
              </w:rPr>
            </w:pPr>
            <w:r>
              <w:rPr>
                <w:rFonts w:hint="eastAsia" w:ascii="Times New Roman" w:hAnsi="Times New Roman" w:cs="Times New Roman" w:eastAsiaTheme="minorEastAsia"/>
                <w:bCs/>
                <w:smallCaps/>
                <w:kern w:val="0"/>
                <w:u w:val="single"/>
                <w:lang w:val="en-US"/>
              </w:rPr>
              <w:t>对于废气处理系统，一般情况下是开工时先运行废气处理系统，停工时废气处理系统最后停运，因此在开工时一般情况下不存在尾气事故排放。对于上述极端情况，一方面要设立自控系统，如果突然断电，要立即停止生产，尽量减少废气直接排入大气环境；另一方面则要求企业加强环保设备及生产设备的管理，定期检修，防范于未然。</w:t>
            </w:r>
          </w:p>
          <w:p>
            <w:pPr>
              <w:ind w:firstLine="480"/>
              <w:rPr>
                <w:rFonts w:hint="eastAsia"/>
                <w:u w:val="single"/>
              </w:rPr>
            </w:pPr>
            <w:r>
              <w:rPr>
                <w:rFonts w:hint="eastAsia"/>
                <w:u w:val="single"/>
              </w:rPr>
              <w:t>（2）食堂油烟</w:t>
            </w:r>
          </w:p>
          <w:p>
            <w:pPr>
              <w:ind w:firstLineChars="0"/>
              <w:rPr>
                <w:rFonts w:hint="eastAsia"/>
                <w:bCs/>
                <w:u w:val="single"/>
              </w:rPr>
            </w:pPr>
            <w:r>
              <w:rPr>
                <w:rFonts w:hint="eastAsia"/>
                <w:bCs/>
                <w:u w:val="single"/>
              </w:rPr>
              <w:t>项目职工定员</w:t>
            </w:r>
            <w:r>
              <w:rPr>
                <w:rFonts w:hint="eastAsia"/>
                <w:bCs/>
                <w:u w:val="single"/>
                <w:lang w:val="en-US" w:eastAsia="zh-CN"/>
              </w:rPr>
              <w:t>130</w:t>
            </w:r>
            <w:r>
              <w:rPr>
                <w:rFonts w:hint="eastAsia"/>
                <w:bCs/>
                <w:u w:val="single"/>
              </w:rPr>
              <w:t>人，一般厨房的食用油耗油系数为3.5kg/100人/d，则食用油用量约为</w:t>
            </w:r>
            <w:r>
              <w:rPr>
                <w:rFonts w:hint="eastAsia"/>
                <w:bCs/>
                <w:u w:val="single"/>
                <w:lang w:val="en-US" w:eastAsia="zh-CN"/>
              </w:rPr>
              <w:t>4.55</w:t>
            </w:r>
            <w:r>
              <w:rPr>
                <w:rFonts w:hint="eastAsia"/>
                <w:bCs/>
                <w:u w:val="single"/>
              </w:rPr>
              <w:t>kg/d（</w:t>
            </w:r>
            <w:r>
              <w:rPr>
                <w:rFonts w:hint="eastAsia"/>
                <w:bCs/>
                <w:u w:val="single"/>
                <w:lang w:val="en-US" w:eastAsia="zh-CN"/>
              </w:rPr>
              <w:t>1.5</w:t>
            </w:r>
            <w:r>
              <w:rPr>
                <w:rFonts w:hint="eastAsia"/>
                <w:bCs/>
                <w:u w:val="single"/>
              </w:rPr>
              <w:t>t/a），一般油烟和油的挥发量占总耗油量的2％～4％之间，取其均值3％，则油烟产生量约为0.0</w:t>
            </w:r>
            <w:r>
              <w:rPr>
                <w:rFonts w:hint="eastAsia"/>
                <w:bCs/>
                <w:u w:val="single"/>
                <w:lang w:val="en-US" w:eastAsia="zh-CN"/>
              </w:rPr>
              <w:t>45</w:t>
            </w:r>
            <w:r>
              <w:rPr>
                <w:rFonts w:hint="eastAsia"/>
                <w:bCs/>
                <w:u w:val="single"/>
              </w:rPr>
              <w:t>t/a。为消除油烟对周围环境的影响，要求食堂厨房安装一套油烟净化装置用于对油烟废气的处理，要求油烟净化装置的净化效率大于60％，如收集效率按</w:t>
            </w:r>
            <w:r>
              <w:rPr>
                <w:bCs/>
                <w:u w:val="single"/>
              </w:rPr>
              <w:t>95</w:t>
            </w:r>
            <w:r>
              <w:rPr>
                <w:rFonts w:hint="eastAsia"/>
                <w:bCs/>
                <w:u w:val="single"/>
              </w:rPr>
              <w:t>％计，净化效率按60％计，风机风量为8000m</w:t>
            </w:r>
            <w:r>
              <w:rPr>
                <w:rFonts w:hint="eastAsia"/>
                <w:bCs/>
                <w:u w:val="single"/>
                <w:vertAlign w:val="superscript"/>
              </w:rPr>
              <w:t>3</w:t>
            </w:r>
            <w:r>
              <w:rPr>
                <w:bCs/>
                <w:u w:val="single"/>
              </w:rPr>
              <w:t>/h</w:t>
            </w:r>
            <w:r>
              <w:rPr>
                <w:rFonts w:hint="eastAsia"/>
                <w:bCs/>
                <w:u w:val="single"/>
              </w:rPr>
              <w:t>（每天使用</w:t>
            </w:r>
            <w:r>
              <w:rPr>
                <w:bCs/>
                <w:u w:val="single"/>
              </w:rPr>
              <w:t>4</w:t>
            </w:r>
            <w:r>
              <w:rPr>
                <w:rFonts w:hint="eastAsia"/>
                <w:bCs/>
                <w:u w:val="single"/>
              </w:rPr>
              <w:t>小时）计算，得油烟的排放量为</w:t>
            </w:r>
            <w:r>
              <w:rPr>
                <w:rFonts w:hint="eastAsia"/>
                <w:bCs/>
                <w:u w:val="single"/>
                <w:lang w:val="en-US" w:eastAsia="zh-CN"/>
              </w:rPr>
              <w:t>0.017</w:t>
            </w:r>
            <w:r>
              <w:rPr>
                <w:rFonts w:hint="eastAsia"/>
                <w:bCs/>
                <w:u w:val="single"/>
              </w:rPr>
              <w:t>t/a，排放速率</w:t>
            </w:r>
            <w:r>
              <w:rPr>
                <w:rFonts w:hint="eastAsia"/>
                <w:bCs/>
                <w:u w:val="single"/>
                <w:lang w:val="en-US" w:eastAsia="zh-CN"/>
              </w:rPr>
              <w:t>0.013</w:t>
            </w:r>
            <w:r>
              <w:rPr>
                <w:rFonts w:hint="eastAsia"/>
                <w:bCs/>
                <w:u w:val="single"/>
              </w:rPr>
              <w:t>kg/h，排放浓度为</w:t>
            </w:r>
            <w:r>
              <w:rPr>
                <w:rFonts w:hint="eastAsia"/>
                <w:bCs/>
                <w:u w:val="single"/>
                <w:lang w:val="en-US" w:eastAsia="zh-CN"/>
              </w:rPr>
              <w:t>1.62</w:t>
            </w:r>
            <w:r>
              <w:rPr>
                <w:rFonts w:hint="eastAsia"/>
                <w:bCs/>
                <w:u w:val="single"/>
              </w:rPr>
              <w:t>mg/m</w:t>
            </w:r>
            <w:r>
              <w:rPr>
                <w:rFonts w:hint="eastAsia"/>
                <w:bCs/>
                <w:u w:val="single"/>
                <w:vertAlign w:val="superscript"/>
              </w:rPr>
              <w:t>3</w:t>
            </w:r>
            <w:r>
              <w:rPr>
                <w:rFonts w:hint="eastAsia"/>
                <w:bCs/>
                <w:u w:val="single"/>
              </w:rPr>
              <w:t>，能够达到《饮食业油烟排放标准（试行）》（GB18483-2001）</w:t>
            </w:r>
            <w:r>
              <w:rPr>
                <w:rFonts w:hint="eastAsia"/>
                <w:bCs/>
                <w:u w:val="single"/>
                <w:lang w:val="en-US" w:eastAsia="zh-CN"/>
              </w:rPr>
              <w:t>小</w:t>
            </w:r>
            <w:r>
              <w:rPr>
                <w:rFonts w:hint="eastAsia"/>
                <w:bCs/>
                <w:u w:val="single"/>
              </w:rPr>
              <w:t>型规模油烟标准，最高允许排放浓度2.0mg/m</w:t>
            </w:r>
            <w:r>
              <w:rPr>
                <w:rFonts w:hint="eastAsia"/>
                <w:bCs/>
                <w:u w:val="single"/>
                <w:vertAlign w:val="superscript"/>
              </w:rPr>
              <w:t>3</w:t>
            </w:r>
            <w:r>
              <w:rPr>
                <w:rFonts w:hint="eastAsia"/>
                <w:bCs/>
                <w:u w:val="single"/>
              </w:rPr>
              <w:t>的标准限值要求，经处理后的油烟废气通过排气筒高空排放。</w:t>
            </w:r>
          </w:p>
          <w:p>
            <w:pPr>
              <w:ind w:firstLine="480"/>
              <w:rPr>
                <w:rFonts w:hint="eastAsia"/>
                <w:u w:val="single"/>
              </w:rPr>
            </w:pPr>
            <w:r>
              <w:rPr>
                <w:rFonts w:hint="eastAsia"/>
                <w:u w:val="single"/>
              </w:rPr>
              <w:t>（3）工艺扬尘</w:t>
            </w:r>
          </w:p>
          <w:p>
            <w:pPr>
              <w:ind w:firstLine="480"/>
              <w:rPr>
                <w:rFonts w:hint="eastAsia"/>
                <w:u w:val="single"/>
              </w:rPr>
            </w:pPr>
            <w:r>
              <w:rPr>
                <w:rFonts w:hint="eastAsia"/>
                <w:u w:val="single"/>
              </w:rPr>
              <w:t>类比同类型项目，本项目拌料装瓶生产过程中，对原材料松木屑，玉米芯，麸皮等原材料进行破碎搅拌过程中，会产生少量扬尘。通过类比同类项目，产生量约为辅料灌装量的0.01%，项目生产时木屑、玉米芯和麸皮等原料总量为</w:t>
            </w:r>
            <w:r>
              <w:rPr>
                <w:rFonts w:hint="eastAsia"/>
                <w:u w:val="single"/>
                <w:lang w:val="en-US" w:eastAsia="zh-CN"/>
              </w:rPr>
              <w:t>10340</w:t>
            </w:r>
            <w:r>
              <w:rPr>
                <w:rFonts w:hint="eastAsia"/>
                <w:u w:val="single"/>
              </w:rPr>
              <w:t>t/a</w:t>
            </w:r>
            <w:r>
              <w:rPr>
                <w:rFonts w:hint="eastAsia"/>
                <w:u w:val="single"/>
                <w:lang w:eastAsia="zh-CN"/>
              </w:rPr>
              <w:t>，</w:t>
            </w:r>
            <w:r>
              <w:rPr>
                <w:rFonts w:hint="eastAsia"/>
                <w:u w:val="single"/>
              </w:rPr>
              <w:t>因此本项目的工艺扬尘产生量约为</w:t>
            </w:r>
            <w:r>
              <w:rPr>
                <w:rFonts w:hint="eastAsia"/>
                <w:u w:val="single"/>
                <w:lang w:val="en-US" w:eastAsia="zh-CN"/>
              </w:rPr>
              <w:t>1.034</w:t>
            </w:r>
            <w:r>
              <w:rPr>
                <w:rFonts w:hint="eastAsia"/>
                <w:u w:val="single"/>
              </w:rPr>
              <w:t>t/a</w:t>
            </w:r>
            <w:r>
              <w:rPr>
                <w:rFonts w:hint="eastAsia"/>
                <w:u w:val="single"/>
                <w:lang w:eastAsia="zh-CN"/>
              </w:rPr>
              <w:t>（</w:t>
            </w:r>
            <w:r>
              <w:rPr>
                <w:rFonts w:hint="eastAsia"/>
                <w:u w:val="single"/>
                <w:lang w:val="en-US" w:eastAsia="zh-CN"/>
              </w:rPr>
              <w:t>0.39kg/h</w:t>
            </w:r>
            <w:r>
              <w:rPr>
                <w:rFonts w:hint="eastAsia"/>
                <w:u w:val="single"/>
                <w:lang w:eastAsia="zh-CN"/>
              </w:rPr>
              <w:t>）</w:t>
            </w:r>
            <w:r>
              <w:rPr>
                <w:rFonts w:hint="eastAsia"/>
                <w:u w:val="single"/>
              </w:rPr>
              <w:t>。项目产生扬</w:t>
            </w:r>
            <w:r>
              <w:rPr>
                <w:rFonts w:hint="eastAsia"/>
                <w:u w:val="single"/>
                <w:lang w:eastAsia="zh-CN"/>
              </w:rPr>
              <w:t>尘</w:t>
            </w:r>
            <w:r>
              <w:rPr>
                <w:rFonts w:hint="eastAsia"/>
                <w:u w:val="single"/>
              </w:rPr>
              <w:t>在车间内无组织排放，车间内</w:t>
            </w:r>
            <w:r>
              <w:rPr>
                <w:rFonts w:hint="eastAsia"/>
                <w:u w:val="single"/>
                <w:lang w:val="en-US" w:eastAsia="zh-CN"/>
              </w:rPr>
              <w:t>通过</w:t>
            </w:r>
            <w:r>
              <w:rPr>
                <w:rFonts w:hint="eastAsia"/>
                <w:u w:val="single"/>
              </w:rPr>
              <w:t>加强通风</w:t>
            </w:r>
            <w:r>
              <w:rPr>
                <w:rFonts w:hint="eastAsia"/>
                <w:u w:val="single"/>
                <w:lang w:val="en-US" w:eastAsia="zh-CN"/>
              </w:rPr>
              <w:t>及物料增湿降低扬尘污染</w:t>
            </w:r>
            <w:r>
              <w:rPr>
                <w:rFonts w:hint="eastAsia"/>
                <w:u w:val="single"/>
              </w:rPr>
              <w:t>。</w:t>
            </w:r>
          </w:p>
          <w:p>
            <w:pPr>
              <w:ind w:firstLine="480"/>
              <w:rPr>
                <w:rFonts w:hint="default" w:eastAsia="宋体"/>
                <w:u w:val="single"/>
                <w:lang w:val="en-US" w:eastAsia="zh-CN"/>
              </w:rPr>
            </w:pPr>
            <w:r>
              <w:rPr>
                <w:rFonts w:hint="eastAsia"/>
                <w:u w:val="single"/>
              </w:rPr>
              <w:t>（4）工艺产生</w:t>
            </w:r>
            <w:r>
              <w:rPr>
                <w:rFonts w:hint="eastAsia"/>
                <w:u w:val="single"/>
                <w:lang w:val="en-US" w:eastAsia="zh-CN"/>
              </w:rPr>
              <w:t>的异味</w:t>
            </w:r>
          </w:p>
          <w:p>
            <w:pPr>
              <w:pStyle w:val="97"/>
              <w:ind w:firstLine="480"/>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项目养菌过程中会产生少量恶臭气体（臭气浓度），根据建设单位提供资料，项目养菌培育过程均在相对密闭的养菌房中进行，无强烈刺激性气味产生，车间区内可能会有少许异味，经自然通风后无组织排放。建设单位通过加强厂区绿化、车间通风等措施进行抑制。</w:t>
            </w:r>
          </w:p>
          <w:p>
            <w:pPr>
              <w:pStyle w:val="97"/>
              <w:ind w:firstLine="480"/>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本项目养菌臭气浓度类比《江西省奁之味农林开发有限公司青原区富田镇子平菌菇产业园建设项目》（均为食用菌生产企业，其生产工艺、原辅料基本一致，具有类比性），少量臭气浓度经车间通风、厂区绿化等措施处理后，臭气浓度排放为13（无量纲），满足《恶臭污染物排放标准》（GB14554-1993）表1中二级新、扩、改无组织排放限值要求，对周边大气环境影响较小。</w:t>
            </w:r>
          </w:p>
          <w:p>
            <w:pPr>
              <w:ind w:firstLine="480"/>
              <w:rPr>
                <w:rFonts w:hint="eastAsia"/>
                <w:u w:val="single"/>
              </w:rPr>
            </w:pPr>
            <w:r>
              <w:rPr>
                <w:rFonts w:hint="eastAsia"/>
                <w:u w:val="single"/>
              </w:rPr>
              <w:t>项目产生菌渣做到日产日清，并加强车间内部通风，对环境不会产生明显影响。</w:t>
            </w:r>
          </w:p>
          <w:p>
            <w:pPr>
              <w:ind w:firstLine="480"/>
              <w:rPr>
                <w:rFonts w:hint="eastAsia" w:ascii="Times New Roman" w:hAnsi="Times New Roman" w:eastAsia="宋体" w:cs="Times New Roman"/>
                <w:u w:val="single"/>
                <w:lang w:eastAsia="zh-CN"/>
              </w:rPr>
            </w:pPr>
            <w:r>
              <w:rPr>
                <w:rFonts w:hint="eastAsia" w:ascii="Times New Roman" w:hAnsi="Times New Roman" w:eastAsia="宋体" w:cs="Times New Roman"/>
                <w:u w:val="single"/>
                <w:lang w:eastAsia="zh-CN"/>
              </w:rPr>
              <w:t>（</w:t>
            </w:r>
            <w:r>
              <w:rPr>
                <w:rFonts w:hint="eastAsia" w:ascii="Times New Roman" w:hAnsi="Times New Roman" w:eastAsia="宋体" w:cs="Times New Roman"/>
                <w:u w:val="single"/>
                <w:lang w:val="en-US" w:eastAsia="zh-CN"/>
              </w:rPr>
              <w:t>5</w:t>
            </w:r>
            <w:r>
              <w:rPr>
                <w:rFonts w:hint="eastAsia" w:ascii="Times New Roman" w:hAnsi="Times New Roman" w:eastAsia="宋体" w:cs="Times New Roman"/>
                <w:u w:val="single"/>
                <w:lang w:eastAsia="zh-CN"/>
              </w:rPr>
              <w:t>）</w:t>
            </w:r>
            <w:r>
              <w:rPr>
                <w:rFonts w:hint="eastAsia" w:ascii="Times New Roman" w:hAnsi="Times New Roman" w:eastAsia="宋体" w:cs="Times New Roman"/>
                <w:u w:val="single"/>
              </w:rPr>
              <w:t>排放量核算</w:t>
            </w:r>
          </w:p>
          <w:p>
            <w:pPr>
              <w:pStyle w:val="97"/>
              <w:numPr>
                <w:ilvl w:val="0"/>
                <w:numId w:val="0"/>
              </w:numPr>
              <w:ind w:left="900" w:leftChars="0" w:hanging="420" w:firstLineChars="0"/>
              <w:rPr>
                <w:color w:val="auto"/>
              </w:rPr>
            </w:pPr>
            <w:r>
              <w:rPr>
                <w:rFonts w:hint="default" w:ascii="宋体" w:hAnsi="宋体" w:eastAsia="宋体" w:cs="Times New Roman"/>
                <w:color w:val="auto"/>
                <w:kern w:val="2"/>
                <w:sz w:val="24"/>
                <w:szCs w:val="24"/>
                <w:lang w:val="zh-CN" w:eastAsia="zh-CN" w:bidi="ar-SA"/>
              </w:rPr>
              <w:t>①</w:t>
            </w:r>
            <w:r>
              <w:rPr>
                <w:rFonts w:hint="eastAsia"/>
                <w:color w:val="auto"/>
              </w:rPr>
              <w:t>有</w:t>
            </w:r>
            <w:r>
              <w:rPr>
                <w:color w:val="auto"/>
              </w:rPr>
              <w:t>组织污染物排放量核</w:t>
            </w:r>
            <w:r>
              <w:rPr>
                <w:rFonts w:hint="eastAsia"/>
                <w:color w:val="auto"/>
              </w:rPr>
              <w:t>算</w:t>
            </w:r>
          </w:p>
          <w:p>
            <w:pPr>
              <w:pStyle w:val="98"/>
              <w:spacing w:line="240" w:lineRule="auto"/>
              <w:rPr>
                <w:rFonts w:eastAsiaTheme="minorEastAsia"/>
              </w:rPr>
            </w:pPr>
            <w:r>
              <w:rPr>
                <w:rFonts w:eastAsiaTheme="minorEastAsia"/>
              </w:rPr>
              <w:t>表</w:t>
            </w:r>
            <w:r>
              <w:rPr>
                <w:rFonts w:hint="eastAsia" w:eastAsiaTheme="minorEastAsia"/>
              </w:rPr>
              <w:t>4</w:t>
            </w:r>
            <w:r>
              <w:rPr>
                <w:rFonts w:eastAsiaTheme="minorEastAsia"/>
              </w:rPr>
              <w:t>-</w:t>
            </w:r>
            <w:r>
              <w:rPr>
                <w:rFonts w:hint="eastAsia" w:eastAsiaTheme="minorEastAsia"/>
                <w:lang w:val="en-US" w:eastAsia="zh-CN"/>
              </w:rPr>
              <w:t>9</w:t>
            </w:r>
            <w:r>
              <w:rPr>
                <w:rFonts w:hint="eastAsia" w:eastAsiaTheme="minorEastAsia"/>
              </w:rPr>
              <w:t xml:space="preserve">  </w:t>
            </w:r>
            <w:r>
              <w:rPr>
                <w:rFonts w:eastAsiaTheme="minorEastAsia"/>
              </w:rPr>
              <w:t>大气污染物有组织排放量核算表</w:t>
            </w:r>
          </w:p>
          <w:tbl>
            <w:tblPr>
              <w:tblStyle w:val="24"/>
              <w:tblW w:w="89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178"/>
              <w:gridCol w:w="1610"/>
              <w:gridCol w:w="1404"/>
              <w:gridCol w:w="1739"/>
              <w:gridCol w:w="1655"/>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9" w:type="dxa"/>
                  <w:gridSpan w:val="2"/>
                  <w:vMerge w:val="restart"/>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eastAsiaTheme="minorEastAsia"/>
                      <w:b/>
                      <w:bCs/>
                      <w:kern w:val="0"/>
                      <w:sz w:val="21"/>
                      <w:szCs w:val="21"/>
                    </w:rPr>
                  </w:pPr>
                  <w:r>
                    <w:rPr>
                      <w:rFonts w:eastAsiaTheme="minorEastAsia"/>
                      <w:b/>
                      <w:bCs/>
                      <w:kern w:val="0"/>
                      <w:sz w:val="21"/>
                      <w:szCs w:val="21"/>
                    </w:rPr>
                    <w:t>序号</w:t>
                  </w:r>
                </w:p>
              </w:tc>
              <w:tc>
                <w:tcPr>
                  <w:tcW w:w="1610" w:type="dxa"/>
                  <w:vMerge w:val="restart"/>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eastAsiaTheme="minorEastAsia"/>
                      <w:b/>
                      <w:bCs/>
                      <w:kern w:val="0"/>
                      <w:sz w:val="21"/>
                      <w:szCs w:val="21"/>
                    </w:rPr>
                  </w:pPr>
                  <w:r>
                    <w:rPr>
                      <w:rFonts w:eastAsiaTheme="minorEastAsia"/>
                      <w:b/>
                      <w:bCs/>
                      <w:kern w:val="0"/>
                      <w:sz w:val="21"/>
                      <w:szCs w:val="21"/>
                    </w:rPr>
                    <w:t>排放口名称</w:t>
                  </w:r>
                </w:p>
              </w:tc>
              <w:tc>
                <w:tcPr>
                  <w:tcW w:w="1404" w:type="dxa"/>
                  <w:vMerge w:val="restart"/>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eastAsiaTheme="minorEastAsia"/>
                      <w:b/>
                      <w:bCs/>
                      <w:kern w:val="0"/>
                      <w:sz w:val="21"/>
                      <w:szCs w:val="21"/>
                    </w:rPr>
                  </w:pPr>
                  <w:r>
                    <w:rPr>
                      <w:rFonts w:eastAsiaTheme="minorEastAsia"/>
                      <w:b/>
                      <w:bCs/>
                      <w:kern w:val="0"/>
                      <w:sz w:val="21"/>
                      <w:szCs w:val="21"/>
                    </w:rPr>
                    <w:t>污染物</w:t>
                  </w:r>
                </w:p>
              </w:tc>
              <w:tc>
                <w:tcPr>
                  <w:tcW w:w="1739" w:type="dxa"/>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eastAsiaTheme="minorEastAsia"/>
                      <w:b/>
                      <w:bCs/>
                      <w:kern w:val="0"/>
                      <w:sz w:val="21"/>
                      <w:szCs w:val="21"/>
                    </w:rPr>
                  </w:pPr>
                  <w:r>
                    <w:rPr>
                      <w:rFonts w:eastAsiaTheme="minorEastAsia"/>
                      <w:b/>
                      <w:bCs/>
                      <w:kern w:val="0"/>
                      <w:sz w:val="21"/>
                      <w:szCs w:val="21"/>
                    </w:rPr>
                    <w:t>核算排放浓度</w:t>
                  </w:r>
                </w:p>
              </w:tc>
              <w:tc>
                <w:tcPr>
                  <w:tcW w:w="1655" w:type="dxa"/>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eastAsiaTheme="minorEastAsia"/>
                      <w:b/>
                      <w:bCs/>
                      <w:kern w:val="0"/>
                      <w:sz w:val="21"/>
                      <w:szCs w:val="21"/>
                    </w:rPr>
                  </w:pPr>
                  <w:r>
                    <w:rPr>
                      <w:rFonts w:eastAsiaTheme="minorEastAsia"/>
                      <w:b/>
                      <w:bCs/>
                      <w:kern w:val="0"/>
                      <w:sz w:val="21"/>
                      <w:szCs w:val="21"/>
                    </w:rPr>
                    <w:t>核算排放速率</w:t>
                  </w:r>
                </w:p>
              </w:tc>
              <w:tc>
                <w:tcPr>
                  <w:tcW w:w="1835" w:type="dxa"/>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eastAsiaTheme="minorEastAsia"/>
                      <w:b/>
                      <w:bCs/>
                      <w:kern w:val="0"/>
                      <w:sz w:val="21"/>
                      <w:szCs w:val="21"/>
                    </w:rPr>
                  </w:pPr>
                  <w:r>
                    <w:rPr>
                      <w:rFonts w:eastAsiaTheme="minorEastAsia"/>
                      <w:b/>
                      <w:bCs/>
                      <w:kern w:val="0"/>
                      <w:sz w:val="21"/>
                      <w:szCs w:val="21"/>
                    </w:rPr>
                    <w:t>核算年排放量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9" w:type="dxa"/>
                  <w:gridSpan w:val="2"/>
                  <w:vMerge w:val="continue"/>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eastAsiaTheme="minorEastAsia"/>
                      <w:b/>
                      <w:bCs/>
                      <w:kern w:val="0"/>
                      <w:sz w:val="21"/>
                      <w:szCs w:val="21"/>
                    </w:rPr>
                  </w:pPr>
                </w:p>
              </w:tc>
              <w:tc>
                <w:tcPr>
                  <w:tcW w:w="1610" w:type="dxa"/>
                  <w:vMerge w:val="continue"/>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eastAsiaTheme="minorEastAsia"/>
                      <w:b/>
                      <w:bCs/>
                      <w:kern w:val="0"/>
                      <w:sz w:val="21"/>
                      <w:szCs w:val="21"/>
                    </w:rPr>
                  </w:pPr>
                </w:p>
              </w:tc>
              <w:tc>
                <w:tcPr>
                  <w:tcW w:w="1404" w:type="dxa"/>
                  <w:vMerge w:val="continue"/>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eastAsiaTheme="minorEastAsia"/>
                      <w:b/>
                      <w:bCs/>
                      <w:kern w:val="0"/>
                      <w:sz w:val="21"/>
                      <w:szCs w:val="21"/>
                    </w:rPr>
                  </w:pPr>
                </w:p>
              </w:tc>
              <w:tc>
                <w:tcPr>
                  <w:tcW w:w="1739" w:type="dxa"/>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eastAsiaTheme="minorEastAsia"/>
                      <w:b/>
                      <w:bCs/>
                      <w:kern w:val="0"/>
                      <w:sz w:val="21"/>
                      <w:szCs w:val="21"/>
                    </w:rPr>
                  </w:pPr>
                  <w:r>
                    <w:rPr>
                      <w:rFonts w:eastAsiaTheme="minorEastAsia"/>
                      <w:b/>
                      <w:bCs/>
                      <w:kern w:val="0"/>
                      <w:sz w:val="21"/>
                      <w:szCs w:val="21"/>
                    </w:rPr>
                    <w:t>（mg/m</w:t>
                  </w:r>
                  <w:r>
                    <w:rPr>
                      <w:rFonts w:eastAsiaTheme="minorEastAsia"/>
                      <w:b/>
                      <w:bCs/>
                      <w:kern w:val="0"/>
                      <w:sz w:val="21"/>
                      <w:szCs w:val="21"/>
                      <w:vertAlign w:val="superscript"/>
                    </w:rPr>
                    <w:t>3</w:t>
                  </w:r>
                  <w:r>
                    <w:rPr>
                      <w:rFonts w:eastAsiaTheme="minorEastAsia"/>
                      <w:b/>
                      <w:bCs/>
                      <w:kern w:val="0"/>
                      <w:sz w:val="21"/>
                      <w:szCs w:val="21"/>
                    </w:rPr>
                    <w:t>）</w:t>
                  </w:r>
                </w:p>
              </w:tc>
              <w:tc>
                <w:tcPr>
                  <w:tcW w:w="1655" w:type="dxa"/>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eastAsiaTheme="minorEastAsia"/>
                      <w:b/>
                      <w:bCs/>
                      <w:kern w:val="0"/>
                      <w:sz w:val="21"/>
                      <w:szCs w:val="21"/>
                    </w:rPr>
                  </w:pPr>
                  <w:r>
                    <w:rPr>
                      <w:rFonts w:eastAsiaTheme="minorEastAsia"/>
                      <w:b/>
                      <w:bCs/>
                      <w:kern w:val="0"/>
                      <w:sz w:val="21"/>
                      <w:szCs w:val="21"/>
                    </w:rPr>
                    <w:t>（kg/h）</w:t>
                  </w:r>
                </w:p>
              </w:tc>
              <w:tc>
                <w:tcPr>
                  <w:tcW w:w="1835" w:type="dxa"/>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eastAsiaTheme="minorEastAsia"/>
                      <w:b/>
                      <w:bCs/>
                      <w:kern w:val="0"/>
                      <w:sz w:val="21"/>
                      <w:szCs w:val="21"/>
                    </w:rPr>
                  </w:pPr>
                  <w:r>
                    <w:rPr>
                      <w:rFonts w:eastAsiaTheme="minorEastAsia"/>
                      <w:b/>
                      <w:bCs/>
                      <w:kern w:val="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992" w:type="dxa"/>
                  <w:gridSpan w:val="7"/>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eastAsiaTheme="minorEastAsia"/>
                      <w:bCs/>
                      <w:kern w:val="0"/>
                      <w:sz w:val="21"/>
                      <w:szCs w:val="21"/>
                    </w:rPr>
                  </w:pPr>
                  <w:r>
                    <w:rPr>
                      <w:rFonts w:eastAsiaTheme="minorEastAsia"/>
                      <w:bCs/>
                      <w:kern w:val="0"/>
                      <w:sz w:val="21"/>
                      <w:szCs w:val="21"/>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992" w:type="dxa"/>
                  <w:gridSpan w:val="7"/>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eastAsiaTheme="minorEastAsia"/>
                      <w:bCs/>
                      <w:kern w:val="0"/>
                      <w:sz w:val="21"/>
                      <w:szCs w:val="21"/>
                    </w:rPr>
                  </w:pPr>
                  <w:r>
                    <w:rPr>
                      <w:rFonts w:eastAsiaTheme="minorEastAsia"/>
                      <w:bCs/>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992" w:type="dxa"/>
                  <w:gridSpan w:val="7"/>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eastAsiaTheme="minorEastAsia"/>
                      <w:bCs/>
                      <w:kern w:val="0"/>
                      <w:sz w:val="21"/>
                      <w:szCs w:val="21"/>
                    </w:rPr>
                  </w:pPr>
                  <w:r>
                    <w:rPr>
                      <w:rFonts w:hint="eastAsia" w:eastAsiaTheme="minorEastAsia"/>
                      <w:bCs/>
                      <w:kern w:val="0"/>
                      <w:sz w:val="21"/>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71" w:type="dxa"/>
                  <w:vMerge w:val="restart"/>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eastAsiaTheme="minorEastAsia"/>
                      <w:bCs/>
                      <w:kern w:val="0"/>
                      <w:sz w:val="21"/>
                      <w:szCs w:val="21"/>
                      <w:lang w:eastAsia="zh-CN"/>
                    </w:rPr>
                  </w:pPr>
                  <w:r>
                    <w:rPr>
                      <w:rFonts w:hint="eastAsia" w:eastAsiaTheme="minorEastAsia"/>
                      <w:bCs/>
                      <w:kern w:val="0"/>
                      <w:sz w:val="21"/>
                      <w:szCs w:val="21"/>
                      <w:lang w:val="en-US" w:eastAsia="zh-CN"/>
                    </w:rPr>
                    <w:t>1</w:t>
                  </w:r>
                </w:p>
              </w:tc>
              <w:tc>
                <w:tcPr>
                  <w:tcW w:w="1788" w:type="dxa"/>
                  <w:gridSpan w:val="2"/>
                  <w:vMerge w:val="restart"/>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eastAsiaTheme="minorEastAsia"/>
                      <w:sz w:val="21"/>
                      <w:szCs w:val="21"/>
                    </w:rPr>
                  </w:pPr>
                  <w:r>
                    <w:rPr>
                      <w:rFonts w:hint="eastAsia" w:eastAsiaTheme="minorEastAsia"/>
                      <w:sz w:val="21"/>
                      <w:szCs w:val="21"/>
                    </w:rPr>
                    <w:t>锅炉燃烧废气排气筒</w:t>
                  </w:r>
                </w:p>
              </w:tc>
              <w:tc>
                <w:tcPr>
                  <w:tcW w:w="1404" w:type="dxa"/>
                  <w:shd w:val="clear" w:color="auto" w:fill="auto"/>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eastAsiaTheme="minorEastAsia"/>
                      <w:bCs/>
                      <w:kern w:val="0"/>
                      <w:sz w:val="21"/>
                      <w:szCs w:val="21"/>
                    </w:rPr>
                  </w:pPr>
                  <w:r>
                    <w:rPr>
                      <w:rFonts w:hint="eastAsia" w:eastAsiaTheme="minorEastAsia"/>
                      <w:bCs/>
                      <w:kern w:val="0"/>
                      <w:sz w:val="21"/>
                      <w:szCs w:val="21"/>
                    </w:rPr>
                    <w:t>颗粒物</w:t>
                  </w:r>
                </w:p>
              </w:tc>
              <w:tc>
                <w:tcPr>
                  <w:tcW w:w="1739" w:type="dxa"/>
                  <w:shd w:val="clear" w:color="auto" w:fill="auto"/>
                  <w:vAlign w:val="center"/>
                </w:tcPr>
                <w:p>
                  <w:pPr>
                    <w:pStyle w:val="60"/>
                    <w:jc w:val="center"/>
                    <w:rPr>
                      <w:rFonts w:eastAsiaTheme="minorEastAsia"/>
                      <w:kern w:val="2"/>
                      <w:sz w:val="21"/>
                      <w:szCs w:val="21"/>
                      <w:lang w:val="en-US"/>
                    </w:rPr>
                  </w:pPr>
                  <w:r>
                    <w:rPr>
                      <w:rFonts w:hint="eastAsia"/>
                      <w:color w:val="auto"/>
                      <w:sz w:val="21"/>
                      <w:szCs w:val="21"/>
                      <w:u w:val="single"/>
                      <w:lang w:val="en-US" w:eastAsia="zh-CN"/>
                    </w:rPr>
                    <w:t>3.46</w:t>
                  </w:r>
                </w:p>
              </w:tc>
              <w:tc>
                <w:tcPr>
                  <w:tcW w:w="1655" w:type="dxa"/>
                  <w:shd w:val="clear" w:color="auto" w:fill="auto"/>
                  <w:vAlign w:val="center"/>
                </w:tcPr>
                <w:p>
                  <w:pPr>
                    <w:pStyle w:val="60"/>
                    <w:jc w:val="center"/>
                    <w:rPr>
                      <w:rFonts w:eastAsiaTheme="minorEastAsia"/>
                      <w:sz w:val="21"/>
                      <w:szCs w:val="21"/>
                    </w:rPr>
                  </w:pPr>
                  <w:r>
                    <w:rPr>
                      <w:rFonts w:hint="eastAsia"/>
                      <w:color w:val="auto"/>
                      <w:sz w:val="21"/>
                      <w:szCs w:val="21"/>
                      <w:u w:val="single"/>
                      <w:lang w:val="en-US" w:eastAsia="zh-CN"/>
                    </w:rPr>
                    <w:t>0.008</w:t>
                  </w:r>
                </w:p>
              </w:tc>
              <w:tc>
                <w:tcPr>
                  <w:tcW w:w="183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eastAsiaTheme="minorEastAsia"/>
                      <w:kern w:val="2"/>
                      <w:sz w:val="21"/>
                      <w:szCs w:val="21"/>
                      <w:lang w:val="en-US"/>
                    </w:rPr>
                  </w:pPr>
                  <w:r>
                    <w:rPr>
                      <w:rFonts w:hint="eastAsia" w:ascii="宋体" w:hAnsi="宋体" w:cs="宋体"/>
                      <w:i w:val="0"/>
                      <w:iCs w:val="0"/>
                      <w:color w:val="000000"/>
                      <w:kern w:val="0"/>
                      <w:sz w:val="21"/>
                      <w:szCs w:val="21"/>
                      <w:u w:val="single"/>
                      <w:lang w:val="en-US" w:eastAsia="zh-CN" w:bidi="ar"/>
                    </w:rP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eastAsiaTheme="minorEastAsia"/>
                      <w:bCs/>
                      <w:kern w:val="0"/>
                      <w:sz w:val="21"/>
                      <w:szCs w:val="21"/>
                    </w:rPr>
                  </w:pPr>
                </w:p>
              </w:tc>
              <w:tc>
                <w:tcPr>
                  <w:tcW w:w="1788" w:type="dxa"/>
                  <w:gridSpan w:val="2"/>
                  <w:vMerge w:val="continue"/>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eastAsiaTheme="minorEastAsia"/>
                      <w:sz w:val="21"/>
                      <w:szCs w:val="21"/>
                    </w:rPr>
                  </w:pPr>
                </w:p>
              </w:tc>
              <w:tc>
                <w:tcPr>
                  <w:tcW w:w="1404" w:type="dxa"/>
                  <w:shd w:val="clear" w:color="auto" w:fill="auto"/>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eastAsiaTheme="minorEastAsia"/>
                      <w:bCs/>
                      <w:kern w:val="0"/>
                      <w:sz w:val="21"/>
                      <w:szCs w:val="21"/>
                    </w:rPr>
                  </w:pPr>
                  <w:r>
                    <w:rPr>
                      <w:rFonts w:hint="eastAsia" w:eastAsiaTheme="minorEastAsia"/>
                      <w:bCs/>
                      <w:kern w:val="0"/>
                      <w:sz w:val="21"/>
                      <w:szCs w:val="21"/>
                    </w:rPr>
                    <w:t>SO</w:t>
                  </w:r>
                  <w:r>
                    <w:rPr>
                      <w:rFonts w:hint="eastAsia" w:eastAsiaTheme="minorEastAsia"/>
                      <w:bCs/>
                      <w:kern w:val="0"/>
                      <w:sz w:val="21"/>
                      <w:szCs w:val="21"/>
                      <w:vertAlign w:val="subscript"/>
                    </w:rPr>
                    <w:t>2</w:t>
                  </w:r>
                </w:p>
              </w:tc>
              <w:tc>
                <w:tcPr>
                  <w:tcW w:w="1739" w:type="dxa"/>
                  <w:shd w:val="clear" w:color="auto" w:fill="auto"/>
                  <w:vAlign w:val="center"/>
                </w:tcPr>
                <w:p>
                  <w:pPr>
                    <w:pStyle w:val="60"/>
                    <w:jc w:val="center"/>
                    <w:rPr>
                      <w:rFonts w:eastAsiaTheme="minorEastAsia"/>
                      <w:kern w:val="2"/>
                      <w:sz w:val="21"/>
                      <w:szCs w:val="21"/>
                      <w:lang w:val="en-US"/>
                    </w:rPr>
                  </w:pPr>
                  <w:r>
                    <w:rPr>
                      <w:rFonts w:hint="eastAsia"/>
                      <w:color w:val="auto"/>
                      <w:sz w:val="21"/>
                      <w:szCs w:val="21"/>
                      <w:u w:val="single"/>
                      <w:lang w:val="en-US" w:eastAsia="zh-CN"/>
                    </w:rPr>
                    <w:t>1.49</w:t>
                  </w:r>
                </w:p>
              </w:tc>
              <w:tc>
                <w:tcPr>
                  <w:tcW w:w="1655" w:type="dxa"/>
                  <w:shd w:val="clear" w:color="auto" w:fill="auto"/>
                  <w:vAlign w:val="center"/>
                </w:tcPr>
                <w:p>
                  <w:pPr>
                    <w:pStyle w:val="60"/>
                    <w:jc w:val="center"/>
                    <w:rPr>
                      <w:rFonts w:eastAsiaTheme="minorEastAsia"/>
                      <w:sz w:val="21"/>
                      <w:szCs w:val="21"/>
                    </w:rPr>
                  </w:pPr>
                  <w:r>
                    <w:rPr>
                      <w:rFonts w:hint="eastAsia"/>
                      <w:color w:val="auto"/>
                      <w:sz w:val="21"/>
                      <w:szCs w:val="21"/>
                      <w:u w:val="single"/>
                      <w:lang w:val="en-US" w:eastAsia="zh-CN"/>
                    </w:rPr>
                    <w:t>0.003</w:t>
                  </w:r>
                </w:p>
              </w:tc>
              <w:tc>
                <w:tcPr>
                  <w:tcW w:w="183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eastAsiaTheme="minorEastAsia"/>
                      <w:kern w:val="2"/>
                      <w:sz w:val="21"/>
                      <w:szCs w:val="21"/>
                      <w:lang w:val="en-US"/>
                    </w:rPr>
                  </w:pPr>
                  <w:r>
                    <w:rPr>
                      <w:rFonts w:hint="eastAsia" w:ascii="宋体" w:hAnsi="宋体" w:cs="宋体"/>
                      <w:i w:val="0"/>
                      <w:iCs w:val="0"/>
                      <w:color w:val="000000"/>
                      <w:kern w:val="0"/>
                      <w:sz w:val="21"/>
                      <w:szCs w:val="21"/>
                      <w:u w:val="single"/>
                      <w:lang w:val="en-US" w:eastAsia="zh-CN" w:bidi="ar"/>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7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eastAsiaTheme="minorEastAsia"/>
                      <w:bCs/>
                      <w:kern w:val="0"/>
                      <w:sz w:val="21"/>
                      <w:szCs w:val="21"/>
                    </w:rPr>
                  </w:pPr>
                </w:p>
              </w:tc>
              <w:tc>
                <w:tcPr>
                  <w:tcW w:w="1788" w:type="dxa"/>
                  <w:gridSpan w:val="2"/>
                  <w:vMerge w:val="continue"/>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eastAsiaTheme="minorEastAsia"/>
                      <w:sz w:val="21"/>
                      <w:szCs w:val="21"/>
                    </w:rPr>
                  </w:pPr>
                </w:p>
              </w:tc>
              <w:tc>
                <w:tcPr>
                  <w:tcW w:w="1404" w:type="dxa"/>
                  <w:shd w:val="clear" w:color="auto" w:fill="auto"/>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eastAsiaTheme="minorEastAsia"/>
                      <w:bCs/>
                      <w:kern w:val="0"/>
                      <w:sz w:val="21"/>
                      <w:szCs w:val="21"/>
                    </w:rPr>
                  </w:pPr>
                  <w:r>
                    <w:rPr>
                      <w:rFonts w:hint="eastAsia" w:eastAsiaTheme="minorEastAsia"/>
                      <w:bCs/>
                      <w:kern w:val="0"/>
                      <w:sz w:val="21"/>
                      <w:szCs w:val="21"/>
                    </w:rPr>
                    <w:t>NOx</w:t>
                  </w:r>
                </w:p>
              </w:tc>
              <w:tc>
                <w:tcPr>
                  <w:tcW w:w="1739" w:type="dxa"/>
                  <w:shd w:val="clear" w:color="auto" w:fill="auto"/>
                  <w:vAlign w:val="center"/>
                </w:tcPr>
                <w:p>
                  <w:pPr>
                    <w:pStyle w:val="60"/>
                    <w:jc w:val="center"/>
                    <w:rPr>
                      <w:rFonts w:eastAsiaTheme="minorEastAsia"/>
                      <w:kern w:val="2"/>
                      <w:sz w:val="21"/>
                      <w:szCs w:val="21"/>
                      <w:lang w:val="en-US"/>
                    </w:rPr>
                  </w:pPr>
                  <w:r>
                    <w:rPr>
                      <w:rFonts w:hint="eastAsia"/>
                      <w:color w:val="auto"/>
                      <w:sz w:val="21"/>
                      <w:szCs w:val="21"/>
                      <w:u w:val="single"/>
                      <w:lang w:val="en-US" w:eastAsia="zh-CN"/>
                    </w:rPr>
                    <w:t>140.99</w:t>
                  </w:r>
                </w:p>
              </w:tc>
              <w:tc>
                <w:tcPr>
                  <w:tcW w:w="1655" w:type="dxa"/>
                  <w:shd w:val="clear" w:color="auto" w:fill="auto"/>
                  <w:vAlign w:val="center"/>
                </w:tcPr>
                <w:p>
                  <w:pPr>
                    <w:pStyle w:val="60"/>
                    <w:jc w:val="center"/>
                    <w:rPr>
                      <w:rFonts w:eastAsiaTheme="minorEastAsia"/>
                      <w:sz w:val="21"/>
                      <w:szCs w:val="21"/>
                    </w:rPr>
                  </w:pPr>
                  <w:r>
                    <w:rPr>
                      <w:rFonts w:hint="eastAsia"/>
                      <w:color w:val="auto"/>
                      <w:sz w:val="21"/>
                      <w:szCs w:val="21"/>
                      <w:u w:val="single"/>
                      <w:lang w:val="en-US" w:eastAsia="zh-CN"/>
                    </w:rPr>
                    <w:t>0.329</w:t>
                  </w:r>
                </w:p>
              </w:tc>
              <w:tc>
                <w:tcPr>
                  <w:tcW w:w="183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eastAsiaTheme="minorEastAsia"/>
                      <w:kern w:val="2"/>
                      <w:sz w:val="21"/>
                      <w:szCs w:val="21"/>
                      <w:lang w:val="en-US"/>
                    </w:rPr>
                  </w:pPr>
                  <w:r>
                    <w:rPr>
                      <w:rFonts w:hint="eastAsia" w:ascii="宋体" w:hAnsi="宋体" w:cs="宋体"/>
                      <w:i w:val="0"/>
                      <w:iCs w:val="0"/>
                      <w:color w:val="000000"/>
                      <w:kern w:val="0"/>
                      <w:sz w:val="21"/>
                      <w:szCs w:val="21"/>
                      <w:u w:val="single"/>
                      <w:lang w:val="en-US" w:eastAsia="zh-CN" w:bidi="ar"/>
                    </w:rPr>
                    <w:t>2.602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59" w:type="dxa"/>
                  <w:gridSpan w:val="3"/>
                  <w:vMerge w:val="restart"/>
                  <w:shd w:val="clear" w:color="auto" w:fill="auto"/>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eastAsiaTheme="minorEastAsia"/>
                      <w:bCs/>
                      <w:kern w:val="0"/>
                      <w:sz w:val="21"/>
                      <w:szCs w:val="21"/>
                    </w:rPr>
                  </w:pPr>
                  <w:r>
                    <w:rPr>
                      <w:rFonts w:eastAsiaTheme="minorEastAsia"/>
                      <w:bCs/>
                      <w:kern w:val="0"/>
                      <w:sz w:val="21"/>
                      <w:szCs w:val="21"/>
                    </w:rPr>
                    <w:t>一般排放口合计</w:t>
                  </w:r>
                </w:p>
              </w:tc>
              <w:tc>
                <w:tcPr>
                  <w:tcW w:w="4798" w:type="dxa"/>
                  <w:gridSpan w:val="3"/>
                  <w:shd w:val="clear" w:color="auto" w:fill="auto"/>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eastAsiaTheme="minorEastAsia"/>
                      <w:bCs/>
                      <w:kern w:val="0"/>
                      <w:sz w:val="21"/>
                      <w:szCs w:val="21"/>
                    </w:rPr>
                  </w:pPr>
                  <w:r>
                    <w:rPr>
                      <w:rFonts w:hint="eastAsia" w:eastAsiaTheme="minorEastAsia"/>
                      <w:bCs/>
                      <w:kern w:val="0"/>
                      <w:sz w:val="21"/>
                      <w:szCs w:val="21"/>
                    </w:rPr>
                    <w:t>颗粒物</w:t>
                  </w:r>
                </w:p>
              </w:tc>
              <w:tc>
                <w:tcPr>
                  <w:tcW w:w="183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eastAsiaTheme="minorEastAsia"/>
                      <w:sz w:val="21"/>
                      <w:szCs w:val="21"/>
                    </w:rPr>
                  </w:pPr>
                  <w:r>
                    <w:rPr>
                      <w:rFonts w:hint="eastAsia" w:ascii="宋体" w:hAnsi="宋体" w:cs="宋体"/>
                      <w:i w:val="0"/>
                      <w:iCs w:val="0"/>
                      <w:color w:val="000000"/>
                      <w:kern w:val="0"/>
                      <w:sz w:val="21"/>
                      <w:szCs w:val="21"/>
                      <w:u w:val="single"/>
                      <w:lang w:val="en-US" w:eastAsia="zh-CN" w:bidi="ar"/>
                    </w:rP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59" w:type="dxa"/>
                  <w:gridSpan w:val="3"/>
                  <w:vMerge w:val="continue"/>
                  <w:shd w:val="clear" w:color="auto" w:fill="auto"/>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eastAsiaTheme="minorEastAsia"/>
                      <w:bCs/>
                      <w:kern w:val="0"/>
                      <w:sz w:val="21"/>
                      <w:szCs w:val="21"/>
                    </w:rPr>
                  </w:pPr>
                </w:p>
              </w:tc>
              <w:tc>
                <w:tcPr>
                  <w:tcW w:w="4798" w:type="dxa"/>
                  <w:gridSpan w:val="3"/>
                  <w:shd w:val="clear" w:color="auto" w:fill="auto"/>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eastAsiaTheme="minorEastAsia"/>
                      <w:bCs/>
                      <w:kern w:val="0"/>
                      <w:sz w:val="21"/>
                      <w:szCs w:val="21"/>
                    </w:rPr>
                  </w:pPr>
                  <w:r>
                    <w:rPr>
                      <w:rFonts w:hint="eastAsia" w:eastAsiaTheme="minorEastAsia"/>
                      <w:bCs/>
                      <w:kern w:val="0"/>
                      <w:sz w:val="21"/>
                      <w:szCs w:val="21"/>
                    </w:rPr>
                    <w:t>SO</w:t>
                  </w:r>
                  <w:r>
                    <w:rPr>
                      <w:rFonts w:hint="eastAsia" w:eastAsiaTheme="minorEastAsia"/>
                      <w:bCs/>
                      <w:kern w:val="0"/>
                      <w:sz w:val="21"/>
                      <w:szCs w:val="21"/>
                      <w:vertAlign w:val="subscript"/>
                    </w:rPr>
                    <w:t>2</w:t>
                  </w:r>
                </w:p>
              </w:tc>
              <w:tc>
                <w:tcPr>
                  <w:tcW w:w="183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eastAsiaTheme="minorEastAsia"/>
                      <w:sz w:val="21"/>
                      <w:szCs w:val="21"/>
                    </w:rPr>
                  </w:pPr>
                  <w:r>
                    <w:rPr>
                      <w:rFonts w:hint="eastAsia" w:ascii="宋体" w:hAnsi="宋体" w:cs="宋体"/>
                      <w:i w:val="0"/>
                      <w:iCs w:val="0"/>
                      <w:color w:val="000000"/>
                      <w:kern w:val="0"/>
                      <w:sz w:val="21"/>
                      <w:szCs w:val="21"/>
                      <w:u w:val="single"/>
                      <w:lang w:val="en-US" w:eastAsia="zh-CN" w:bidi="ar"/>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59" w:type="dxa"/>
                  <w:gridSpan w:val="3"/>
                  <w:vMerge w:val="continue"/>
                  <w:shd w:val="clear" w:color="auto" w:fill="auto"/>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eastAsiaTheme="minorEastAsia"/>
                      <w:bCs/>
                      <w:kern w:val="0"/>
                      <w:sz w:val="21"/>
                      <w:szCs w:val="21"/>
                    </w:rPr>
                  </w:pPr>
                </w:p>
              </w:tc>
              <w:tc>
                <w:tcPr>
                  <w:tcW w:w="4798" w:type="dxa"/>
                  <w:gridSpan w:val="3"/>
                  <w:shd w:val="clear" w:color="auto" w:fill="auto"/>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eastAsiaTheme="minorEastAsia"/>
                      <w:bCs/>
                      <w:kern w:val="0"/>
                      <w:sz w:val="21"/>
                      <w:szCs w:val="21"/>
                    </w:rPr>
                  </w:pPr>
                  <w:r>
                    <w:rPr>
                      <w:rFonts w:hint="eastAsia" w:eastAsiaTheme="minorEastAsia"/>
                      <w:bCs/>
                      <w:kern w:val="0"/>
                      <w:sz w:val="21"/>
                      <w:szCs w:val="21"/>
                    </w:rPr>
                    <w:t>NOx</w:t>
                  </w:r>
                </w:p>
              </w:tc>
              <w:tc>
                <w:tcPr>
                  <w:tcW w:w="183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eastAsiaTheme="minorEastAsia"/>
                      <w:sz w:val="21"/>
                      <w:szCs w:val="21"/>
                    </w:rPr>
                  </w:pPr>
                  <w:r>
                    <w:rPr>
                      <w:rFonts w:hint="eastAsia" w:ascii="宋体" w:hAnsi="宋体" w:cs="宋体"/>
                      <w:i w:val="0"/>
                      <w:iCs w:val="0"/>
                      <w:color w:val="000000"/>
                      <w:kern w:val="0"/>
                      <w:sz w:val="21"/>
                      <w:szCs w:val="21"/>
                      <w:u w:val="single"/>
                      <w:lang w:val="en-US" w:eastAsia="zh-CN" w:bidi="ar"/>
                    </w:rPr>
                    <w:t>2.602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992" w:type="dxa"/>
                  <w:gridSpan w:val="7"/>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eastAsiaTheme="minorEastAsia"/>
                      <w:bCs/>
                      <w:kern w:val="0"/>
                      <w:sz w:val="21"/>
                      <w:szCs w:val="21"/>
                    </w:rPr>
                  </w:pPr>
                  <w:r>
                    <w:rPr>
                      <w:rFonts w:eastAsiaTheme="minorEastAsia"/>
                      <w:bCs/>
                      <w:kern w:val="0"/>
                      <w:sz w:val="21"/>
                      <w:szCs w:val="21"/>
                    </w:rPr>
                    <w:t>有组织排放总计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59" w:type="dxa"/>
                  <w:gridSpan w:val="3"/>
                  <w:vMerge w:val="restart"/>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eastAsiaTheme="minorEastAsia"/>
                      <w:bCs/>
                      <w:kern w:val="0"/>
                      <w:sz w:val="21"/>
                      <w:szCs w:val="21"/>
                    </w:rPr>
                  </w:pPr>
                  <w:r>
                    <w:rPr>
                      <w:rFonts w:eastAsiaTheme="minorEastAsia"/>
                      <w:bCs/>
                      <w:kern w:val="0"/>
                      <w:sz w:val="21"/>
                      <w:szCs w:val="21"/>
                    </w:rPr>
                    <w:t>有组织排放总计</w:t>
                  </w:r>
                </w:p>
              </w:tc>
              <w:tc>
                <w:tcPr>
                  <w:tcW w:w="4798" w:type="dxa"/>
                  <w:gridSpan w:val="3"/>
                  <w:shd w:val="clear" w:color="auto" w:fill="auto"/>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eastAsiaTheme="minorEastAsia"/>
                      <w:bCs/>
                      <w:kern w:val="0"/>
                      <w:sz w:val="21"/>
                      <w:szCs w:val="21"/>
                    </w:rPr>
                  </w:pPr>
                  <w:r>
                    <w:rPr>
                      <w:rFonts w:hint="eastAsia" w:eastAsiaTheme="minorEastAsia"/>
                      <w:bCs/>
                      <w:kern w:val="0"/>
                      <w:sz w:val="21"/>
                      <w:szCs w:val="21"/>
                    </w:rPr>
                    <w:t>颗粒物</w:t>
                  </w:r>
                </w:p>
              </w:tc>
              <w:tc>
                <w:tcPr>
                  <w:tcW w:w="183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eastAsiaTheme="minorEastAsia"/>
                      <w:sz w:val="21"/>
                      <w:szCs w:val="21"/>
                    </w:rPr>
                  </w:pPr>
                  <w:r>
                    <w:rPr>
                      <w:rFonts w:hint="eastAsia" w:ascii="宋体" w:hAnsi="宋体" w:cs="宋体"/>
                      <w:i w:val="0"/>
                      <w:iCs w:val="0"/>
                      <w:color w:val="000000"/>
                      <w:kern w:val="0"/>
                      <w:sz w:val="21"/>
                      <w:szCs w:val="21"/>
                      <w:u w:val="single"/>
                      <w:lang w:val="en-US" w:eastAsia="zh-CN" w:bidi="ar"/>
                    </w:rP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2359" w:type="dxa"/>
                  <w:gridSpan w:val="3"/>
                  <w:vMerge w:val="continue"/>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eastAsiaTheme="minorEastAsia"/>
                      <w:bCs/>
                      <w:kern w:val="0"/>
                      <w:sz w:val="21"/>
                      <w:szCs w:val="21"/>
                    </w:rPr>
                  </w:pPr>
                </w:p>
              </w:tc>
              <w:tc>
                <w:tcPr>
                  <w:tcW w:w="4798" w:type="dxa"/>
                  <w:gridSpan w:val="3"/>
                  <w:shd w:val="clear" w:color="auto" w:fill="auto"/>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eastAsiaTheme="minorEastAsia"/>
                      <w:bCs/>
                      <w:kern w:val="0"/>
                      <w:sz w:val="21"/>
                      <w:szCs w:val="21"/>
                    </w:rPr>
                  </w:pPr>
                  <w:r>
                    <w:rPr>
                      <w:rFonts w:hint="eastAsia" w:eastAsiaTheme="minorEastAsia"/>
                      <w:bCs/>
                      <w:kern w:val="0"/>
                      <w:sz w:val="21"/>
                      <w:szCs w:val="21"/>
                    </w:rPr>
                    <w:t>SO</w:t>
                  </w:r>
                  <w:r>
                    <w:rPr>
                      <w:rFonts w:hint="eastAsia" w:eastAsiaTheme="minorEastAsia"/>
                      <w:bCs/>
                      <w:kern w:val="0"/>
                      <w:sz w:val="21"/>
                      <w:szCs w:val="21"/>
                      <w:vertAlign w:val="subscript"/>
                    </w:rPr>
                    <w:t>2</w:t>
                  </w:r>
                </w:p>
              </w:tc>
              <w:tc>
                <w:tcPr>
                  <w:tcW w:w="183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eastAsiaTheme="minorEastAsia"/>
                      <w:sz w:val="21"/>
                      <w:szCs w:val="21"/>
                    </w:rPr>
                  </w:pPr>
                  <w:r>
                    <w:rPr>
                      <w:rFonts w:hint="eastAsia" w:ascii="宋体" w:hAnsi="宋体" w:cs="宋体"/>
                      <w:i w:val="0"/>
                      <w:iCs w:val="0"/>
                      <w:color w:val="000000"/>
                      <w:kern w:val="0"/>
                      <w:sz w:val="21"/>
                      <w:szCs w:val="21"/>
                      <w:u w:val="single"/>
                      <w:lang w:val="en-US" w:eastAsia="zh-CN" w:bidi="ar"/>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59" w:type="dxa"/>
                  <w:gridSpan w:val="3"/>
                  <w:vMerge w:val="continue"/>
                  <w:shd w:val="clear" w:color="auto" w:fill="auto"/>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eastAsiaTheme="minorEastAsia"/>
                      <w:bCs/>
                      <w:kern w:val="0"/>
                      <w:sz w:val="21"/>
                      <w:szCs w:val="21"/>
                    </w:rPr>
                  </w:pPr>
                </w:p>
              </w:tc>
              <w:tc>
                <w:tcPr>
                  <w:tcW w:w="4798" w:type="dxa"/>
                  <w:gridSpan w:val="3"/>
                  <w:shd w:val="clear" w:color="auto" w:fill="auto"/>
                  <w:vAlign w:val="center"/>
                </w:tcPr>
                <w:p>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eastAsiaTheme="minorEastAsia"/>
                      <w:bCs/>
                      <w:kern w:val="0"/>
                      <w:sz w:val="21"/>
                      <w:szCs w:val="21"/>
                    </w:rPr>
                  </w:pPr>
                  <w:r>
                    <w:rPr>
                      <w:rFonts w:hint="eastAsia" w:eastAsiaTheme="minorEastAsia"/>
                      <w:bCs/>
                      <w:kern w:val="0"/>
                      <w:sz w:val="21"/>
                      <w:szCs w:val="21"/>
                    </w:rPr>
                    <w:t>NOx</w:t>
                  </w:r>
                </w:p>
              </w:tc>
              <w:tc>
                <w:tcPr>
                  <w:tcW w:w="183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eastAsiaTheme="minorEastAsia"/>
                      <w:sz w:val="21"/>
                      <w:szCs w:val="21"/>
                    </w:rPr>
                  </w:pPr>
                  <w:r>
                    <w:rPr>
                      <w:rFonts w:hint="eastAsia" w:ascii="宋体" w:hAnsi="宋体" w:cs="宋体"/>
                      <w:i w:val="0"/>
                      <w:iCs w:val="0"/>
                      <w:color w:val="000000"/>
                      <w:kern w:val="0"/>
                      <w:sz w:val="21"/>
                      <w:szCs w:val="21"/>
                      <w:u w:val="single"/>
                      <w:lang w:val="en-US" w:eastAsia="zh-CN" w:bidi="ar"/>
                    </w:rPr>
                    <w:t>2.602</w:t>
                  </w:r>
                </w:p>
              </w:tc>
            </w:tr>
          </w:tbl>
          <w:p>
            <w:pPr>
              <w:pStyle w:val="97"/>
              <w:numPr>
                <w:ilvl w:val="0"/>
                <w:numId w:val="0"/>
              </w:numPr>
              <w:ind w:left="900" w:leftChars="0" w:hanging="420" w:firstLineChars="0"/>
              <w:rPr>
                <w:color w:val="auto"/>
              </w:rPr>
            </w:pPr>
            <w:r>
              <w:rPr>
                <w:rFonts w:hint="default" w:ascii="宋体" w:hAnsi="宋体" w:eastAsia="宋体" w:cs="Times New Roman"/>
                <w:color w:val="auto"/>
                <w:kern w:val="2"/>
                <w:sz w:val="24"/>
                <w:szCs w:val="24"/>
                <w:lang w:val="zh-CN" w:eastAsia="zh-CN" w:bidi="ar-SA"/>
              </w:rPr>
              <w:t>②</w:t>
            </w:r>
            <w:r>
              <w:rPr>
                <w:rFonts w:hint="eastAsia"/>
                <w:color w:val="auto"/>
              </w:rPr>
              <w:t>无</w:t>
            </w:r>
            <w:r>
              <w:rPr>
                <w:color w:val="auto"/>
              </w:rPr>
              <w:t>组织污染物排放量核算</w:t>
            </w:r>
          </w:p>
          <w:p>
            <w:pPr>
              <w:pStyle w:val="98"/>
              <w:spacing w:line="240" w:lineRule="auto"/>
              <w:rPr>
                <w:rFonts w:eastAsiaTheme="minorEastAsia"/>
              </w:rPr>
            </w:pPr>
            <w:r>
              <w:rPr>
                <w:rFonts w:eastAsiaTheme="minorEastAsia"/>
              </w:rPr>
              <w:t>表</w:t>
            </w:r>
            <w:r>
              <w:rPr>
                <w:rFonts w:hint="eastAsia" w:eastAsiaTheme="minorEastAsia"/>
              </w:rPr>
              <w:t>4</w:t>
            </w:r>
            <w:r>
              <w:rPr>
                <w:rFonts w:eastAsiaTheme="minorEastAsia"/>
              </w:rPr>
              <w:t>-</w:t>
            </w:r>
            <w:r>
              <w:rPr>
                <w:rFonts w:hint="eastAsia" w:eastAsiaTheme="minorEastAsia"/>
                <w:lang w:val="en-US" w:eastAsia="zh-CN"/>
              </w:rPr>
              <w:t>10</w:t>
            </w:r>
            <w:r>
              <w:rPr>
                <w:rFonts w:eastAsiaTheme="minorEastAsia"/>
              </w:rPr>
              <w:t xml:space="preserve">  大气污染物无组织排放量核算表</w:t>
            </w:r>
          </w:p>
          <w:tbl>
            <w:tblPr>
              <w:tblStyle w:val="24"/>
              <w:tblpPr w:leftFromText="180" w:rightFromText="180" w:vertAnchor="text" w:tblpXSpec="center" w:tblpY="1"/>
              <w:tblOverlap w:val="never"/>
              <w:tblW w:w="87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922"/>
              <w:gridCol w:w="1029"/>
              <w:gridCol w:w="1200"/>
              <w:gridCol w:w="2464"/>
              <w:gridCol w:w="1195"/>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727" w:type="dxa"/>
                  <w:vMerge w:val="restart"/>
                  <w:shd w:val="clear" w:color="auto" w:fill="auto"/>
                  <w:vAlign w:val="center"/>
                </w:tcPr>
                <w:p>
                  <w:pPr>
                    <w:pStyle w:val="100"/>
                    <w:spacing w:line="240" w:lineRule="auto"/>
                    <w:ind w:firstLine="0" w:firstLineChars="0"/>
                    <w:jc w:val="center"/>
                    <w:rPr>
                      <w:rFonts w:ascii="Times New Roman" w:hAnsi="Times New Roman" w:cs="Times New Roman" w:eastAsiaTheme="minorEastAsia"/>
                      <w:kern w:val="0"/>
                      <w:sz w:val="21"/>
                      <w:szCs w:val="21"/>
                      <w:u w:val="single"/>
                    </w:rPr>
                  </w:pPr>
                  <w:r>
                    <w:rPr>
                      <w:rFonts w:ascii="Times New Roman" w:hAnsi="Times New Roman" w:cs="Times New Roman" w:eastAsiaTheme="minorEastAsia"/>
                      <w:kern w:val="0"/>
                      <w:sz w:val="21"/>
                      <w:szCs w:val="21"/>
                      <w:u w:val="single"/>
                    </w:rPr>
                    <w:t>序号</w:t>
                  </w:r>
                </w:p>
              </w:tc>
              <w:tc>
                <w:tcPr>
                  <w:tcW w:w="922" w:type="dxa"/>
                  <w:vMerge w:val="restart"/>
                  <w:shd w:val="clear" w:color="auto" w:fill="auto"/>
                  <w:vAlign w:val="center"/>
                </w:tcPr>
                <w:p>
                  <w:pPr>
                    <w:pStyle w:val="100"/>
                    <w:spacing w:line="240" w:lineRule="auto"/>
                    <w:ind w:firstLine="0" w:firstLineChars="0"/>
                    <w:jc w:val="center"/>
                    <w:rPr>
                      <w:rFonts w:ascii="Times New Roman" w:hAnsi="Times New Roman" w:cs="Times New Roman" w:eastAsiaTheme="minorEastAsia"/>
                      <w:kern w:val="0"/>
                      <w:sz w:val="21"/>
                      <w:szCs w:val="21"/>
                      <w:u w:val="single"/>
                    </w:rPr>
                  </w:pPr>
                  <w:r>
                    <w:rPr>
                      <w:rFonts w:ascii="Times New Roman" w:hAnsi="Times New Roman" w:cs="Times New Roman" w:eastAsiaTheme="minorEastAsia"/>
                      <w:kern w:val="0"/>
                      <w:sz w:val="21"/>
                      <w:szCs w:val="21"/>
                      <w:u w:val="single"/>
                    </w:rPr>
                    <w:t>排放源</w:t>
                  </w:r>
                </w:p>
              </w:tc>
              <w:tc>
                <w:tcPr>
                  <w:tcW w:w="1029" w:type="dxa"/>
                  <w:vMerge w:val="restart"/>
                  <w:shd w:val="clear" w:color="auto" w:fill="auto"/>
                  <w:vAlign w:val="center"/>
                </w:tcPr>
                <w:p>
                  <w:pPr>
                    <w:pStyle w:val="100"/>
                    <w:spacing w:line="240" w:lineRule="auto"/>
                    <w:ind w:firstLine="0" w:firstLineChars="0"/>
                    <w:jc w:val="center"/>
                    <w:rPr>
                      <w:rFonts w:ascii="Times New Roman" w:hAnsi="Times New Roman" w:cs="Times New Roman" w:eastAsiaTheme="minorEastAsia"/>
                      <w:kern w:val="0"/>
                      <w:sz w:val="21"/>
                      <w:szCs w:val="21"/>
                      <w:u w:val="single"/>
                    </w:rPr>
                  </w:pPr>
                  <w:r>
                    <w:rPr>
                      <w:rFonts w:ascii="Times New Roman" w:hAnsi="Times New Roman" w:cs="Times New Roman" w:eastAsiaTheme="minorEastAsia"/>
                      <w:kern w:val="0"/>
                      <w:sz w:val="21"/>
                      <w:szCs w:val="21"/>
                      <w:u w:val="single"/>
                    </w:rPr>
                    <w:t>污染物</w:t>
                  </w:r>
                </w:p>
              </w:tc>
              <w:tc>
                <w:tcPr>
                  <w:tcW w:w="1200" w:type="dxa"/>
                  <w:vMerge w:val="restart"/>
                  <w:shd w:val="clear" w:color="auto" w:fill="auto"/>
                  <w:vAlign w:val="center"/>
                </w:tcPr>
                <w:p>
                  <w:pPr>
                    <w:pStyle w:val="100"/>
                    <w:spacing w:line="240" w:lineRule="auto"/>
                    <w:ind w:firstLine="0" w:firstLineChars="0"/>
                    <w:jc w:val="center"/>
                    <w:rPr>
                      <w:rFonts w:ascii="Times New Roman" w:hAnsi="Times New Roman" w:cs="Times New Roman" w:eastAsiaTheme="minorEastAsia"/>
                      <w:kern w:val="0"/>
                      <w:sz w:val="21"/>
                      <w:szCs w:val="21"/>
                      <w:u w:val="single"/>
                    </w:rPr>
                  </w:pPr>
                  <w:r>
                    <w:rPr>
                      <w:rFonts w:ascii="Times New Roman" w:hAnsi="Times New Roman" w:cs="Times New Roman" w:eastAsiaTheme="minorEastAsia"/>
                      <w:kern w:val="0"/>
                      <w:sz w:val="21"/>
                      <w:szCs w:val="21"/>
                      <w:u w:val="single"/>
                    </w:rPr>
                    <w:t>主要污染防治措施</w:t>
                  </w:r>
                </w:p>
              </w:tc>
              <w:tc>
                <w:tcPr>
                  <w:tcW w:w="3659" w:type="dxa"/>
                  <w:gridSpan w:val="2"/>
                  <w:shd w:val="clear" w:color="auto" w:fill="auto"/>
                  <w:vAlign w:val="center"/>
                </w:tcPr>
                <w:p>
                  <w:pPr>
                    <w:pStyle w:val="100"/>
                    <w:spacing w:line="240" w:lineRule="auto"/>
                    <w:ind w:firstLine="0" w:firstLineChars="0"/>
                    <w:jc w:val="center"/>
                    <w:rPr>
                      <w:rFonts w:ascii="Times New Roman" w:hAnsi="Times New Roman" w:cs="Times New Roman" w:eastAsiaTheme="minorEastAsia"/>
                      <w:kern w:val="0"/>
                      <w:sz w:val="21"/>
                      <w:szCs w:val="21"/>
                      <w:u w:val="single"/>
                    </w:rPr>
                  </w:pPr>
                  <w:r>
                    <w:rPr>
                      <w:rFonts w:ascii="Times New Roman" w:hAnsi="Times New Roman" w:cs="Times New Roman" w:eastAsiaTheme="minorEastAsia"/>
                      <w:kern w:val="0"/>
                      <w:sz w:val="21"/>
                      <w:szCs w:val="21"/>
                      <w:u w:val="single"/>
                    </w:rPr>
                    <w:t>国家或地方污染物排放标准</w:t>
                  </w:r>
                </w:p>
              </w:tc>
              <w:tc>
                <w:tcPr>
                  <w:tcW w:w="11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eastAsiaTheme="minorEastAsia"/>
                      <w:bCs/>
                      <w:kern w:val="0"/>
                      <w:sz w:val="21"/>
                      <w:szCs w:val="21"/>
                      <w:u w:val="single"/>
                    </w:rPr>
                  </w:pPr>
                  <w:r>
                    <w:rPr>
                      <w:rFonts w:eastAsiaTheme="minorEastAsia"/>
                      <w:bCs/>
                      <w:kern w:val="0"/>
                      <w:sz w:val="21"/>
                      <w:szCs w:val="21"/>
                      <w:u w:val="single"/>
                    </w:rPr>
                    <w:t>年排放量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727" w:type="dxa"/>
                  <w:vMerge w:val="continue"/>
                  <w:vAlign w:val="center"/>
                </w:tcPr>
                <w:p>
                  <w:pPr>
                    <w:pStyle w:val="100"/>
                    <w:spacing w:line="240" w:lineRule="auto"/>
                    <w:ind w:firstLine="0" w:firstLineChars="0"/>
                    <w:jc w:val="center"/>
                    <w:rPr>
                      <w:rFonts w:ascii="Times New Roman" w:hAnsi="Times New Roman" w:cs="Times New Roman" w:eastAsiaTheme="minorEastAsia"/>
                      <w:kern w:val="0"/>
                      <w:sz w:val="21"/>
                      <w:szCs w:val="21"/>
                      <w:u w:val="single"/>
                    </w:rPr>
                  </w:pPr>
                </w:p>
              </w:tc>
              <w:tc>
                <w:tcPr>
                  <w:tcW w:w="922" w:type="dxa"/>
                  <w:vMerge w:val="continue"/>
                  <w:vAlign w:val="center"/>
                </w:tcPr>
                <w:p>
                  <w:pPr>
                    <w:pStyle w:val="100"/>
                    <w:spacing w:line="240" w:lineRule="auto"/>
                    <w:ind w:firstLine="0" w:firstLineChars="0"/>
                    <w:jc w:val="center"/>
                    <w:rPr>
                      <w:rFonts w:ascii="Times New Roman" w:hAnsi="Times New Roman" w:cs="Times New Roman" w:eastAsiaTheme="minorEastAsia"/>
                      <w:kern w:val="0"/>
                      <w:sz w:val="21"/>
                      <w:szCs w:val="21"/>
                      <w:u w:val="single"/>
                    </w:rPr>
                  </w:pPr>
                </w:p>
              </w:tc>
              <w:tc>
                <w:tcPr>
                  <w:tcW w:w="1029" w:type="dxa"/>
                  <w:vMerge w:val="continue"/>
                  <w:vAlign w:val="center"/>
                </w:tcPr>
                <w:p>
                  <w:pPr>
                    <w:pStyle w:val="100"/>
                    <w:spacing w:line="240" w:lineRule="auto"/>
                    <w:ind w:firstLine="0" w:firstLineChars="0"/>
                    <w:jc w:val="center"/>
                    <w:rPr>
                      <w:rFonts w:ascii="Times New Roman" w:hAnsi="Times New Roman" w:cs="Times New Roman" w:eastAsiaTheme="minorEastAsia"/>
                      <w:kern w:val="0"/>
                      <w:sz w:val="21"/>
                      <w:szCs w:val="21"/>
                      <w:u w:val="single"/>
                    </w:rPr>
                  </w:pPr>
                </w:p>
              </w:tc>
              <w:tc>
                <w:tcPr>
                  <w:tcW w:w="1200" w:type="dxa"/>
                  <w:vMerge w:val="continue"/>
                  <w:vAlign w:val="center"/>
                </w:tcPr>
                <w:p>
                  <w:pPr>
                    <w:pStyle w:val="100"/>
                    <w:spacing w:line="240" w:lineRule="auto"/>
                    <w:ind w:firstLine="0" w:firstLineChars="0"/>
                    <w:jc w:val="center"/>
                    <w:rPr>
                      <w:rFonts w:ascii="Times New Roman" w:hAnsi="Times New Roman" w:cs="Times New Roman" w:eastAsiaTheme="minorEastAsia"/>
                      <w:kern w:val="0"/>
                      <w:sz w:val="21"/>
                      <w:szCs w:val="21"/>
                      <w:u w:val="single"/>
                    </w:rPr>
                  </w:pPr>
                </w:p>
              </w:tc>
              <w:tc>
                <w:tcPr>
                  <w:tcW w:w="2464" w:type="dxa"/>
                  <w:shd w:val="clear" w:color="auto" w:fill="auto"/>
                  <w:vAlign w:val="center"/>
                </w:tcPr>
                <w:p>
                  <w:pPr>
                    <w:pStyle w:val="100"/>
                    <w:spacing w:line="240" w:lineRule="auto"/>
                    <w:ind w:firstLine="0" w:firstLineChars="0"/>
                    <w:jc w:val="center"/>
                    <w:rPr>
                      <w:rFonts w:ascii="Times New Roman" w:hAnsi="Times New Roman" w:cs="Times New Roman" w:eastAsiaTheme="minorEastAsia"/>
                      <w:kern w:val="0"/>
                      <w:sz w:val="21"/>
                      <w:szCs w:val="21"/>
                      <w:u w:val="single"/>
                    </w:rPr>
                  </w:pPr>
                  <w:r>
                    <w:rPr>
                      <w:rFonts w:ascii="Times New Roman" w:hAnsi="Times New Roman" w:cs="Times New Roman" w:eastAsiaTheme="minorEastAsia"/>
                      <w:kern w:val="0"/>
                      <w:sz w:val="21"/>
                      <w:szCs w:val="21"/>
                      <w:u w:val="single"/>
                    </w:rPr>
                    <w:t>标准名称</w:t>
                  </w:r>
                </w:p>
              </w:tc>
              <w:tc>
                <w:tcPr>
                  <w:tcW w:w="11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eastAsiaTheme="minorEastAsia"/>
                      <w:bCs/>
                      <w:kern w:val="0"/>
                      <w:sz w:val="21"/>
                      <w:szCs w:val="21"/>
                      <w:u w:val="single"/>
                    </w:rPr>
                  </w:pPr>
                  <w:r>
                    <w:rPr>
                      <w:rFonts w:eastAsiaTheme="minorEastAsia"/>
                      <w:bCs/>
                      <w:kern w:val="0"/>
                      <w:sz w:val="21"/>
                      <w:szCs w:val="21"/>
                      <w:u w:val="single"/>
                    </w:rPr>
                    <w:t>浓度限值（mg/m</w:t>
                  </w:r>
                  <w:r>
                    <w:rPr>
                      <w:rFonts w:eastAsiaTheme="minorEastAsia"/>
                      <w:bCs/>
                      <w:kern w:val="0"/>
                      <w:sz w:val="21"/>
                      <w:szCs w:val="21"/>
                      <w:u w:val="single"/>
                      <w:vertAlign w:val="superscript"/>
                    </w:rPr>
                    <w:t>3</w:t>
                  </w:r>
                  <w:r>
                    <w:rPr>
                      <w:rFonts w:eastAsiaTheme="minorEastAsia"/>
                      <w:bCs/>
                      <w:kern w:val="0"/>
                      <w:sz w:val="21"/>
                      <w:szCs w:val="21"/>
                      <w:u w:val="single"/>
                    </w:rPr>
                    <w:t>）</w:t>
                  </w:r>
                </w:p>
              </w:tc>
              <w:tc>
                <w:tcPr>
                  <w:tcW w:w="11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eastAsiaTheme="minorEastAsia"/>
                      <w:bCs/>
                      <w:kern w:val="0"/>
                      <w:sz w:val="21"/>
                      <w:szCs w:val="21"/>
                      <w:u w:val="single"/>
                    </w:rPr>
                  </w:pPr>
                  <w:r>
                    <w:rPr>
                      <w:rFonts w:eastAsiaTheme="minorEastAsia"/>
                      <w:bCs/>
                      <w:kern w:val="0"/>
                      <w:sz w:val="21"/>
                      <w:szCs w:val="21"/>
                      <w:u w:val="singl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27" w:type="dxa"/>
                  <w:shd w:val="clear" w:color="auto" w:fill="auto"/>
                  <w:vAlign w:val="center"/>
                </w:tcPr>
                <w:p>
                  <w:pPr>
                    <w:pStyle w:val="100"/>
                    <w:spacing w:line="240" w:lineRule="auto"/>
                    <w:ind w:firstLine="0" w:firstLineChars="0"/>
                    <w:jc w:val="center"/>
                    <w:rPr>
                      <w:rFonts w:ascii="Times New Roman" w:hAnsi="Times New Roman" w:cs="Times New Roman" w:eastAsiaTheme="minorEastAsia"/>
                      <w:kern w:val="0"/>
                      <w:sz w:val="21"/>
                      <w:szCs w:val="21"/>
                      <w:u w:val="single"/>
                    </w:rPr>
                  </w:pPr>
                  <w:r>
                    <w:rPr>
                      <w:rFonts w:ascii="Times New Roman" w:hAnsi="Times New Roman" w:cs="Times New Roman" w:eastAsiaTheme="minorEastAsia"/>
                      <w:kern w:val="0"/>
                      <w:sz w:val="21"/>
                      <w:szCs w:val="21"/>
                      <w:u w:val="single"/>
                    </w:rPr>
                    <w:t>1</w:t>
                  </w:r>
                </w:p>
              </w:tc>
              <w:tc>
                <w:tcPr>
                  <w:tcW w:w="922" w:type="dxa"/>
                  <w:shd w:val="clear" w:color="auto" w:fill="auto"/>
                  <w:vAlign w:val="center"/>
                </w:tcPr>
                <w:p>
                  <w:pPr>
                    <w:pStyle w:val="100"/>
                    <w:spacing w:line="240" w:lineRule="auto"/>
                    <w:ind w:firstLine="0" w:firstLineChars="0"/>
                    <w:jc w:val="center"/>
                    <w:rPr>
                      <w:rFonts w:hint="eastAsia" w:ascii="Times New Roman" w:hAnsi="Times New Roman" w:cs="Times New Roman" w:eastAsiaTheme="minorEastAsia"/>
                      <w:kern w:val="0"/>
                      <w:sz w:val="21"/>
                      <w:szCs w:val="21"/>
                      <w:u w:val="single"/>
                      <w:lang w:val="en-US" w:eastAsia="zh-CN"/>
                    </w:rPr>
                  </w:pPr>
                  <w:r>
                    <w:rPr>
                      <w:rFonts w:hint="eastAsia" w:ascii="Times New Roman" w:hAnsi="Times New Roman" w:cs="Times New Roman" w:eastAsiaTheme="minorEastAsia"/>
                      <w:kern w:val="0"/>
                      <w:sz w:val="21"/>
                      <w:szCs w:val="21"/>
                      <w:u w:val="single"/>
                    </w:rPr>
                    <w:t>拌料装瓶</w:t>
                  </w:r>
                  <w:r>
                    <w:rPr>
                      <w:rFonts w:hint="eastAsia" w:ascii="Times New Roman" w:hAnsi="Times New Roman" w:cs="Times New Roman" w:eastAsiaTheme="minorEastAsia"/>
                      <w:kern w:val="0"/>
                      <w:sz w:val="21"/>
                      <w:szCs w:val="21"/>
                      <w:u w:val="single"/>
                      <w:lang w:val="en-US" w:eastAsia="zh-CN"/>
                    </w:rPr>
                    <w:t>车间</w:t>
                  </w:r>
                </w:p>
              </w:tc>
              <w:tc>
                <w:tcPr>
                  <w:tcW w:w="1029" w:type="dxa"/>
                  <w:shd w:val="clear" w:color="auto" w:fill="auto"/>
                  <w:vAlign w:val="center"/>
                </w:tcPr>
                <w:p>
                  <w:pPr>
                    <w:pStyle w:val="100"/>
                    <w:spacing w:line="240" w:lineRule="auto"/>
                    <w:ind w:firstLine="0" w:firstLineChars="0"/>
                    <w:jc w:val="center"/>
                    <w:rPr>
                      <w:rFonts w:ascii="Times New Roman" w:hAnsi="Times New Roman" w:cs="Times New Roman" w:eastAsiaTheme="minorEastAsia"/>
                      <w:kern w:val="0"/>
                      <w:sz w:val="21"/>
                      <w:szCs w:val="21"/>
                      <w:u w:val="single"/>
                    </w:rPr>
                  </w:pPr>
                  <w:r>
                    <w:rPr>
                      <w:rFonts w:hint="eastAsia" w:ascii="Times New Roman" w:hAnsi="Times New Roman" w:cs="Times New Roman" w:eastAsiaTheme="minorEastAsia"/>
                      <w:kern w:val="0"/>
                      <w:sz w:val="21"/>
                      <w:szCs w:val="21"/>
                      <w:u w:val="single"/>
                    </w:rPr>
                    <w:t>颗粒物</w:t>
                  </w:r>
                </w:p>
              </w:tc>
              <w:tc>
                <w:tcPr>
                  <w:tcW w:w="1200" w:type="dxa"/>
                  <w:shd w:val="clear" w:color="auto" w:fill="auto"/>
                  <w:vAlign w:val="center"/>
                </w:tcPr>
                <w:p>
                  <w:pPr>
                    <w:pStyle w:val="100"/>
                    <w:spacing w:line="240" w:lineRule="auto"/>
                    <w:ind w:firstLine="0" w:firstLineChars="0"/>
                    <w:jc w:val="center"/>
                    <w:rPr>
                      <w:rFonts w:ascii="Times New Roman" w:hAnsi="Times New Roman" w:cs="Times New Roman" w:eastAsiaTheme="minorEastAsia"/>
                      <w:kern w:val="0"/>
                      <w:sz w:val="21"/>
                      <w:szCs w:val="21"/>
                      <w:u w:val="single"/>
                    </w:rPr>
                  </w:pPr>
                  <w:r>
                    <w:rPr>
                      <w:rFonts w:hint="eastAsia" w:ascii="Times New Roman" w:hAnsi="Times New Roman" w:cs="Times New Roman" w:eastAsiaTheme="minorEastAsia"/>
                      <w:kern w:val="0"/>
                      <w:sz w:val="21"/>
                      <w:szCs w:val="21"/>
                      <w:u w:val="single"/>
                      <w:lang w:val="en-US" w:eastAsia="zh-CN"/>
                    </w:rPr>
                    <w:t>车间通风、</w:t>
                  </w:r>
                  <w:r>
                    <w:rPr>
                      <w:rFonts w:hint="eastAsia" w:ascii="Times New Roman" w:hAnsi="Times New Roman" w:cs="Times New Roman" w:eastAsiaTheme="minorEastAsia"/>
                      <w:kern w:val="0"/>
                      <w:sz w:val="21"/>
                      <w:szCs w:val="21"/>
                      <w:u w:val="single"/>
                    </w:rPr>
                    <w:t>喷雾降尘、落地粉尘及时清扫</w:t>
                  </w:r>
                </w:p>
              </w:tc>
              <w:tc>
                <w:tcPr>
                  <w:tcW w:w="2464" w:type="dxa"/>
                  <w:shd w:val="clear" w:color="auto" w:fill="auto"/>
                  <w:vAlign w:val="center"/>
                </w:tcPr>
                <w:p>
                  <w:pPr>
                    <w:pStyle w:val="100"/>
                    <w:spacing w:line="240" w:lineRule="auto"/>
                    <w:ind w:firstLine="0" w:firstLineChars="0"/>
                    <w:jc w:val="center"/>
                    <w:rPr>
                      <w:rFonts w:ascii="Times New Roman" w:hAnsi="Times New Roman" w:cs="Times New Roman" w:eastAsiaTheme="minorEastAsia"/>
                      <w:kern w:val="0"/>
                      <w:sz w:val="21"/>
                      <w:szCs w:val="21"/>
                      <w:u w:val="single"/>
                    </w:rPr>
                  </w:pPr>
                  <w:r>
                    <w:rPr>
                      <w:rFonts w:hint="eastAsia" w:ascii="Times New Roman" w:hAnsi="Times New Roman" w:cs="Times New Roman" w:eastAsiaTheme="minorEastAsia"/>
                      <w:kern w:val="0"/>
                      <w:sz w:val="21"/>
                      <w:szCs w:val="21"/>
                      <w:u w:val="single"/>
                    </w:rPr>
                    <w:t>《大气污染物综合排放标准》 (GB16297-1996)表2中无组织排放限值要求</w:t>
                  </w:r>
                </w:p>
              </w:tc>
              <w:tc>
                <w:tcPr>
                  <w:tcW w:w="11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eastAsiaTheme="minorEastAsia"/>
                      <w:bCs/>
                      <w:kern w:val="0"/>
                      <w:sz w:val="21"/>
                      <w:szCs w:val="21"/>
                      <w:u w:val="single"/>
                    </w:rPr>
                  </w:pPr>
                  <w:r>
                    <w:rPr>
                      <w:rFonts w:hint="eastAsia" w:eastAsiaTheme="minorEastAsia"/>
                      <w:bCs/>
                      <w:kern w:val="0"/>
                      <w:sz w:val="21"/>
                      <w:szCs w:val="21"/>
                      <w:u w:val="single"/>
                    </w:rPr>
                    <w:t>1</w:t>
                  </w:r>
                </w:p>
              </w:tc>
              <w:tc>
                <w:tcPr>
                  <w:tcW w:w="1164"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Theme="minorEastAsia"/>
                      <w:sz w:val="21"/>
                      <w:szCs w:val="21"/>
                      <w:u w:val="single"/>
                      <w:lang w:val="en-US" w:eastAsia="zh-CN"/>
                    </w:rPr>
                  </w:pPr>
                  <w:r>
                    <w:rPr>
                      <w:rFonts w:hint="eastAsia" w:ascii="Times New Roman" w:hAnsi="Times New Roman" w:cs="Times New Roman"/>
                      <w:bCs/>
                      <w:sz w:val="21"/>
                      <w:szCs w:val="21"/>
                      <w:u w:val="single"/>
                      <w:lang w:val="en-US" w:eastAsia="zh-CN"/>
                    </w:rPr>
                    <w:t>1.034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27" w:type="dxa"/>
                  <w:shd w:val="clear" w:color="auto" w:fill="auto"/>
                  <w:vAlign w:val="center"/>
                </w:tcPr>
                <w:p>
                  <w:pPr>
                    <w:pStyle w:val="100"/>
                    <w:spacing w:line="240" w:lineRule="auto"/>
                    <w:ind w:firstLine="0" w:firstLineChars="0"/>
                    <w:jc w:val="center"/>
                    <w:rPr>
                      <w:rFonts w:hint="eastAsia" w:ascii="Times New Roman" w:hAnsi="Times New Roman" w:cs="Times New Roman" w:eastAsiaTheme="minorEastAsia"/>
                      <w:kern w:val="0"/>
                      <w:sz w:val="21"/>
                      <w:szCs w:val="21"/>
                      <w:u w:val="single"/>
                      <w:lang w:val="en-US" w:eastAsia="zh-CN"/>
                    </w:rPr>
                  </w:pPr>
                  <w:r>
                    <w:rPr>
                      <w:rFonts w:hint="eastAsia" w:ascii="Times New Roman" w:hAnsi="Times New Roman" w:cs="Times New Roman" w:eastAsiaTheme="minorEastAsia"/>
                      <w:kern w:val="0"/>
                      <w:sz w:val="21"/>
                      <w:szCs w:val="21"/>
                      <w:u w:val="single"/>
                      <w:lang w:val="en-US" w:eastAsia="zh-CN"/>
                    </w:rPr>
                    <w:t>2</w:t>
                  </w:r>
                </w:p>
              </w:tc>
              <w:tc>
                <w:tcPr>
                  <w:tcW w:w="922" w:type="dxa"/>
                  <w:shd w:val="clear" w:color="auto" w:fill="auto"/>
                  <w:vAlign w:val="center"/>
                </w:tcPr>
                <w:p>
                  <w:pPr>
                    <w:pStyle w:val="100"/>
                    <w:spacing w:line="240" w:lineRule="auto"/>
                    <w:ind w:firstLine="0" w:firstLineChars="0"/>
                    <w:jc w:val="center"/>
                    <w:rPr>
                      <w:rFonts w:ascii="Times New Roman" w:hAnsi="Times New Roman" w:cs="Times New Roman" w:eastAsiaTheme="minorEastAsia"/>
                      <w:kern w:val="0"/>
                      <w:sz w:val="21"/>
                      <w:szCs w:val="21"/>
                      <w:u w:val="single"/>
                    </w:rPr>
                  </w:pPr>
                  <w:r>
                    <w:rPr>
                      <w:rFonts w:hint="eastAsia" w:ascii="Times New Roman" w:hAnsi="Times New Roman" w:cs="Times New Roman" w:eastAsiaTheme="minorEastAsia"/>
                      <w:kern w:val="0"/>
                      <w:sz w:val="21"/>
                      <w:szCs w:val="21"/>
                      <w:u w:val="single"/>
                      <w:lang w:val="en-US" w:eastAsia="zh-CN"/>
                    </w:rPr>
                    <w:t>养菌过程</w:t>
                  </w:r>
                </w:p>
              </w:tc>
              <w:tc>
                <w:tcPr>
                  <w:tcW w:w="1029" w:type="dxa"/>
                  <w:shd w:val="clear" w:color="auto" w:fill="auto"/>
                  <w:vAlign w:val="center"/>
                </w:tcPr>
                <w:p>
                  <w:pPr>
                    <w:pStyle w:val="100"/>
                    <w:spacing w:line="240" w:lineRule="auto"/>
                    <w:ind w:firstLine="0" w:firstLineChars="0"/>
                    <w:jc w:val="center"/>
                    <w:rPr>
                      <w:rFonts w:ascii="Times New Roman" w:hAnsi="Times New Roman" w:cs="Times New Roman" w:eastAsiaTheme="minorEastAsia"/>
                      <w:kern w:val="0"/>
                      <w:sz w:val="21"/>
                      <w:szCs w:val="21"/>
                      <w:u w:val="single"/>
                    </w:rPr>
                  </w:pPr>
                  <w:r>
                    <w:rPr>
                      <w:rFonts w:hint="eastAsia" w:cs="Times New Roman" w:eastAsiaTheme="minorEastAsia"/>
                      <w:kern w:val="0"/>
                      <w:sz w:val="21"/>
                      <w:szCs w:val="21"/>
                      <w:u w:val="single"/>
                      <w:lang w:val="en-US" w:eastAsia="zh-CN"/>
                    </w:rPr>
                    <w:t>臭气</w:t>
                  </w:r>
                  <w:r>
                    <w:rPr>
                      <w:rFonts w:hint="eastAsia" w:ascii="Times New Roman" w:hAnsi="Times New Roman" w:cs="Times New Roman" w:eastAsiaTheme="minorEastAsia"/>
                      <w:kern w:val="0"/>
                      <w:sz w:val="21"/>
                      <w:szCs w:val="21"/>
                      <w:u w:val="single"/>
                    </w:rPr>
                    <w:t>浓度</w:t>
                  </w:r>
                </w:p>
              </w:tc>
              <w:tc>
                <w:tcPr>
                  <w:tcW w:w="1200" w:type="dxa"/>
                  <w:shd w:val="clear" w:color="auto" w:fill="auto"/>
                  <w:vAlign w:val="center"/>
                </w:tcPr>
                <w:p>
                  <w:pPr>
                    <w:pStyle w:val="100"/>
                    <w:spacing w:line="240" w:lineRule="auto"/>
                    <w:ind w:firstLine="0" w:firstLineChars="0"/>
                    <w:jc w:val="center"/>
                    <w:rPr>
                      <w:rFonts w:ascii="Times New Roman" w:hAnsi="Times New Roman" w:cs="Times New Roman" w:eastAsiaTheme="minorEastAsia"/>
                      <w:kern w:val="0"/>
                      <w:sz w:val="21"/>
                      <w:szCs w:val="21"/>
                      <w:u w:val="single"/>
                    </w:rPr>
                  </w:pPr>
                  <w:r>
                    <w:rPr>
                      <w:rFonts w:hint="eastAsia" w:ascii="Times New Roman" w:hAnsi="Times New Roman" w:cs="Times New Roman" w:eastAsiaTheme="minorEastAsia"/>
                      <w:kern w:val="0"/>
                      <w:sz w:val="21"/>
                      <w:szCs w:val="21"/>
                      <w:u w:val="single"/>
                    </w:rPr>
                    <w:t>车间通风、厂区绿化</w:t>
                  </w:r>
                </w:p>
              </w:tc>
              <w:tc>
                <w:tcPr>
                  <w:tcW w:w="2464" w:type="dxa"/>
                  <w:shd w:val="clear" w:color="auto" w:fill="auto"/>
                  <w:vAlign w:val="center"/>
                </w:tcPr>
                <w:p>
                  <w:pPr>
                    <w:pStyle w:val="100"/>
                    <w:spacing w:line="240" w:lineRule="auto"/>
                    <w:ind w:firstLine="0" w:firstLineChars="0"/>
                    <w:jc w:val="center"/>
                    <w:rPr>
                      <w:rFonts w:ascii="Times New Roman" w:hAnsi="Times New Roman" w:cs="Times New Roman" w:eastAsiaTheme="minorEastAsia"/>
                      <w:kern w:val="0"/>
                      <w:sz w:val="21"/>
                      <w:szCs w:val="21"/>
                      <w:u w:val="single"/>
                    </w:rPr>
                  </w:pPr>
                  <w:r>
                    <w:rPr>
                      <w:rFonts w:hint="eastAsia" w:ascii="Times New Roman" w:hAnsi="Times New Roman" w:cs="Times New Roman" w:eastAsiaTheme="minorEastAsia"/>
                      <w:kern w:val="0"/>
                      <w:sz w:val="21"/>
                      <w:szCs w:val="21"/>
                      <w:u w:val="single"/>
                    </w:rPr>
                    <w:t>《恶臭污染物排放标准》（GB14554-1993）表1中二级新、扩、改</w:t>
                  </w:r>
                </w:p>
              </w:tc>
              <w:tc>
                <w:tcPr>
                  <w:tcW w:w="11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eastAsiaTheme="minorEastAsia"/>
                      <w:bCs/>
                      <w:kern w:val="0"/>
                      <w:sz w:val="21"/>
                      <w:szCs w:val="21"/>
                      <w:u w:val="single"/>
                    </w:rPr>
                  </w:pPr>
                  <w:r>
                    <w:rPr>
                      <w:rFonts w:hint="eastAsia" w:eastAsiaTheme="minorEastAsia"/>
                      <w:bCs/>
                      <w:kern w:val="0"/>
                      <w:sz w:val="21"/>
                      <w:szCs w:val="21"/>
                      <w:u w:val="single"/>
                    </w:rPr>
                    <w:t>20（无量纲）</w:t>
                  </w:r>
                </w:p>
              </w:tc>
              <w:tc>
                <w:tcPr>
                  <w:tcW w:w="1164"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eastAsiaTheme="minorEastAsia"/>
                      <w:sz w:val="21"/>
                      <w:szCs w:val="21"/>
                      <w:u w:val="single"/>
                    </w:rPr>
                  </w:pPr>
                  <w:r>
                    <w:rPr>
                      <w:rFonts w:hint="eastAsia" w:eastAsiaTheme="minorEastAsia"/>
                      <w:sz w:val="21"/>
                      <w:szCs w:val="21"/>
                      <w:u w:val="single"/>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27" w:type="dxa"/>
                  <w:shd w:val="clear" w:color="auto" w:fill="auto"/>
                  <w:vAlign w:val="center"/>
                </w:tcPr>
                <w:p>
                  <w:pPr>
                    <w:pStyle w:val="100"/>
                    <w:spacing w:line="240" w:lineRule="auto"/>
                    <w:ind w:firstLine="0" w:firstLineChars="0"/>
                    <w:jc w:val="center"/>
                    <w:rPr>
                      <w:rFonts w:hint="default" w:ascii="Times New Roman" w:hAnsi="Times New Roman" w:cs="Times New Roman" w:eastAsiaTheme="minorEastAsia"/>
                      <w:kern w:val="0"/>
                      <w:sz w:val="21"/>
                      <w:szCs w:val="21"/>
                      <w:u w:val="single"/>
                      <w:lang w:val="en-US" w:eastAsia="zh-CN"/>
                    </w:rPr>
                  </w:pPr>
                  <w:r>
                    <w:rPr>
                      <w:rFonts w:hint="eastAsia" w:ascii="Times New Roman" w:hAnsi="Times New Roman" w:cs="Times New Roman" w:eastAsiaTheme="minorEastAsia"/>
                      <w:kern w:val="0"/>
                      <w:sz w:val="21"/>
                      <w:szCs w:val="21"/>
                      <w:u w:val="single"/>
                      <w:lang w:val="en-US" w:eastAsia="zh-CN"/>
                    </w:rPr>
                    <w:t>3</w:t>
                  </w:r>
                </w:p>
              </w:tc>
              <w:tc>
                <w:tcPr>
                  <w:tcW w:w="922" w:type="dxa"/>
                  <w:shd w:val="clear" w:color="auto" w:fill="auto"/>
                  <w:vAlign w:val="center"/>
                </w:tcPr>
                <w:p>
                  <w:pPr>
                    <w:pStyle w:val="100"/>
                    <w:spacing w:line="240" w:lineRule="auto"/>
                    <w:ind w:firstLine="0" w:firstLineChars="0"/>
                    <w:jc w:val="center"/>
                    <w:rPr>
                      <w:rFonts w:hint="eastAsia" w:ascii="Times New Roman" w:hAnsi="Times New Roman" w:cs="Times New Roman" w:eastAsiaTheme="minorEastAsia"/>
                      <w:kern w:val="0"/>
                      <w:sz w:val="21"/>
                      <w:szCs w:val="21"/>
                      <w:u w:val="single"/>
                      <w:lang w:val="en-US" w:eastAsia="zh-CN"/>
                    </w:rPr>
                  </w:pPr>
                  <w:r>
                    <w:rPr>
                      <w:rFonts w:hint="eastAsia" w:ascii="Times New Roman" w:hAnsi="Times New Roman" w:cs="Times New Roman" w:eastAsiaTheme="minorEastAsia"/>
                      <w:kern w:val="0"/>
                      <w:sz w:val="21"/>
                      <w:szCs w:val="21"/>
                      <w:u w:val="single"/>
                      <w:lang w:val="en-US" w:eastAsia="zh-CN"/>
                    </w:rPr>
                    <w:t>食堂</w:t>
                  </w:r>
                </w:p>
              </w:tc>
              <w:tc>
                <w:tcPr>
                  <w:tcW w:w="1029" w:type="dxa"/>
                  <w:shd w:val="clear" w:color="auto" w:fill="auto"/>
                  <w:vAlign w:val="center"/>
                </w:tcPr>
                <w:p>
                  <w:pPr>
                    <w:pStyle w:val="100"/>
                    <w:spacing w:line="240" w:lineRule="auto"/>
                    <w:ind w:firstLine="0" w:firstLineChars="0"/>
                    <w:jc w:val="center"/>
                    <w:rPr>
                      <w:rFonts w:hint="default" w:ascii="Times New Roman" w:hAnsi="Times New Roman" w:cs="Times New Roman" w:eastAsiaTheme="minorEastAsia"/>
                      <w:kern w:val="0"/>
                      <w:sz w:val="21"/>
                      <w:szCs w:val="21"/>
                      <w:u w:val="single"/>
                      <w:lang w:val="en-US" w:eastAsia="zh-CN"/>
                    </w:rPr>
                  </w:pPr>
                  <w:r>
                    <w:rPr>
                      <w:rFonts w:hint="eastAsia" w:ascii="Times New Roman" w:hAnsi="Times New Roman" w:cs="Times New Roman" w:eastAsiaTheme="minorEastAsia"/>
                      <w:kern w:val="0"/>
                      <w:sz w:val="21"/>
                      <w:szCs w:val="21"/>
                      <w:u w:val="single"/>
                      <w:lang w:val="en-US" w:eastAsia="zh-CN"/>
                    </w:rPr>
                    <w:t>油烟</w:t>
                  </w:r>
                </w:p>
              </w:tc>
              <w:tc>
                <w:tcPr>
                  <w:tcW w:w="1200" w:type="dxa"/>
                  <w:shd w:val="clear" w:color="auto" w:fill="auto"/>
                  <w:vAlign w:val="center"/>
                </w:tcPr>
                <w:p>
                  <w:pPr>
                    <w:pStyle w:val="100"/>
                    <w:spacing w:line="240" w:lineRule="auto"/>
                    <w:ind w:firstLine="0" w:firstLineChars="0"/>
                    <w:jc w:val="center"/>
                    <w:rPr>
                      <w:rFonts w:hint="default" w:ascii="Times New Roman" w:hAnsi="Times New Roman" w:cs="Times New Roman" w:eastAsiaTheme="minorEastAsia"/>
                      <w:kern w:val="0"/>
                      <w:sz w:val="21"/>
                      <w:szCs w:val="21"/>
                      <w:u w:val="single"/>
                      <w:lang w:val="en-US" w:eastAsia="zh-CN"/>
                    </w:rPr>
                  </w:pPr>
                  <w:r>
                    <w:rPr>
                      <w:rFonts w:hint="eastAsia" w:ascii="Times New Roman" w:hAnsi="Times New Roman" w:cs="Times New Roman" w:eastAsiaTheme="minorEastAsia"/>
                      <w:kern w:val="0"/>
                      <w:sz w:val="21"/>
                      <w:szCs w:val="21"/>
                      <w:u w:val="single"/>
                      <w:lang w:val="en-US" w:eastAsia="zh-CN"/>
                    </w:rPr>
                    <w:t>油烟净化器</w:t>
                  </w:r>
                </w:p>
              </w:tc>
              <w:tc>
                <w:tcPr>
                  <w:tcW w:w="2464" w:type="dxa"/>
                  <w:shd w:val="clear" w:color="auto" w:fill="auto"/>
                  <w:vAlign w:val="center"/>
                </w:tcPr>
                <w:p>
                  <w:pPr>
                    <w:pStyle w:val="100"/>
                    <w:spacing w:line="240" w:lineRule="auto"/>
                    <w:ind w:firstLine="0" w:firstLineChars="0"/>
                    <w:jc w:val="center"/>
                    <w:rPr>
                      <w:rFonts w:hint="eastAsia" w:ascii="Times New Roman" w:hAnsi="Times New Roman" w:cs="Times New Roman" w:eastAsiaTheme="minorEastAsia"/>
                      <w:kern w:val="0"/>
                      <w:sz w:val="21"/>
                      <w:szCs w:val="21"/>
                      <w:u w:val="single"/>
                    </w:rPr>
                  </w:pPr>
                  <w:r>
                    <w:rPr>
                      <w:rFonts w:hint="eastAsia" w:ascii="Times New Roman" w:hAnsi="Times New Roman" w:cs="Times New Roman" w:eastAsiaTheme="minorEastAsia"/>
                      <w:kern w:val="0"/>
                      <w:sz w:val="21"/>
                      <w:szCs w:val="21"/>
                      <w:u w:val="single"/>
                    </w:rPr>
                    <w:t>《饮食业油烟排放标准（试行）》（GB18483-2001）</w:t>
                  </w:r>
                  <w:r>
                    <w:rPr>
                      <w:rFonts w:hint="eastAsia" w:ascii="Times New Roman" w:hAnsi="Times New Roman" w:cs="Times New Roman" w:eastAsiaTheme="minorEastAsia"/>
                      <w:kern w:val="0"/>
                      <w:sz w:val="21"/>
                      <w:szCs w:val="21"/>
                      <w:u w:val="single"/>
                      <w:lang w:val="en-US" w:eastAsia="zh-CN"/>
                    </w:rPr>
                    <w:t>小</w:t>
                  </w:r>
                  <w:r>
                    <w:rPr>
                      <w:rFonts w:hint="eastAsia" w:ascii="Times New Roman" w:hAnsi="Times New Roman" w:cs="Times New Roman" w:eastAsiaTheme="minorEastAsia"/>
                      <w:kern w:val="0"/>
                      <w:sz w:val="21"/>
                      <w:szCs w:val="21"/>
                      <w:u w:val="single"/>
                    </w:rPr>
                    <w:t>型规模油烟标准</w:t>
                  </w:r>
                </w:p>
              </w:tc>
              <w:tc>
                <w:tcPr>
                  <w:tcW w:w="1195"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2.0</w:t>
                  </w:r>
                </w:p>
              </w:tc>
              <w:tc>
                <w:tcPr>
                  <w:tcW w:w="1164"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u w:val="single"/>
                    </w:rPr>
                  </w:pPr>
                  <w:r>
                    <w:rPr>
                      <w:rFonts w:hint="eastAsia"/>
                      <w:bCs/>
                      <w:sz w:val="21"/>
                      <w:szCs w:val="21"/>
                      <w:u w:val="single"/>
                      <w:lang w:val="en-US" w:eastAsia="zh-CN"/>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8701" w:type="dxa"/>
                  <w:gridSpan w:val="7"/>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eastAsiaTheme="minorEastAsia"/>
                      <w:bCs/>
                      <w:kern w:val="0"/>
                      <w:sz w:val="21"/>
                      <w:szCs w:val="21"/>
                      <w:u w:val="single"/>
                    </w:rPr>
                  </w:pPr>
                  <w:r>
                    <w:rPr>
                      <w:rFonts w:eastAsiaTheme="minorEastAsia"/>
                      <w:bCs/>
                      <w:kern w:val="0"/>
                      <w:sz w:val="21"/>
                      <w:szCs w:val="21"/>
                      <w:u w:val="single"/>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678" w:type="dxa"/>
                  <w:gridSpan w:val="3"/>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eastAsiaTheme="minorEastAsia"/>
                      <w:bCs/>
                      <w:kern w:val="0"/>
                      <w:sz w:val="21"/>
                      <w:szCs w:val="21"/>
                      <w:u w:val="single"/>
                    </w:rPr>
                  </w:pPr>
                  <w:r>
                    <w:rPr>
                      <w:rFonts w:eastAsiaTheme="minorEastAsia"/>
                      <w:bCs/>
                      <w:kern w:val="0"/>
                      <w:sz w:val="21"/>
                      <w:szCs w:val="21"/>
                      <w:u w:val="single"/>
                    </w:rPr>
                    <w:t>无组织排放总计</w:t>
                  </w:r>
                </w:p>
              </w:tc>
              <w:tc>
                <w:tcPr>
                  <w:tcW w:w="4859"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eastAsiaTheme="minorEastAsia"/>
                      <w:bCs/>
                      <w:kern w:val="0"/>
                      <w:sz w:val="21"/>
                      <w:szCs w:val="21"/>
                      <w:u w:val="single"/>
                    </w:rPr>
                  </w:pPr>
                  <w:r>
                    <w:rPr>
                      <w:rFonts w:hint="eastAsia" w:eastAsiaTheme="minorEastAsia"/>
                      <w:sz w:val="21"/>
                      <w:szCs w:val="21"/>
                      <w:u w:val="single"/>
                    </w:rPr>
                    <w:t>颗粒物</w:t>
                  </w:r>
                </w:p>
              </w:tc>
              <w:tc>
                <w:tcPr>
                  <w:tcW w:w="1164"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Theme="minorEastAsia"/>
                      <w:sz w:val="21"/>
                      <w:szCs w:val="21"/>
                      <w:u w:val="single"/>
                      <w:lang w:val="en-US" w:eastAsia="zh-CN"/>
                    </w:rPr>
                  </w:pPr>
                  <w:r>
                    <w:rPr>
                      <w:rFonts w:hint="eastAsia" w:eastAsiaTheme="minorEastAsia"/>
                      <w:sz w:val="21"/>
                      <w:szCs w:val="21"/>
                      <w:u w:val="single"/>
                      <w:lang w:val="en-US" w:eastAsia="zh-CN"/>
                    </w:rPr>
                    <w:t>1.051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678" w:type="dxa"/>
                  <w:gridSpan w:val="3"/>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eastAsiaTheme="minorEastAsia"/>
                      <w:bCs/>
                      <w:kern w:val="0"/>
                      <w:sz w:val="21"/>
                      <w:szCs w:val="21"/>
                      <w:u w:val="single"/>
                    </w:rPr>
                  </w:pPr>
                </w:p>
              </w:tc>
              <w:tc>
                <w:tcPr>
                  <w:tcW w:w="4859"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eastAsiaTheme="minorEastAsia"/>
                      <w:sz w:val="21"/>
                      <w:szCs w:val="21"/>
                      <w:u w:val="single"/>
                    </w:rPr>
                  </w:pPr>
                  <w:r>
                    <w:rPr>
                      <w:rFonts w:hint="eastAsia" w:eastAsiaTheme="minorEastAsia"/>
                      <w:sz w:val="21"/>
                      <w:szCs w:val="21"/>
                      <w:u w:val="single"/>
                    </w:rPr>
                    <w:t>臭气浓度</w:t>
                  </w:r>
                </w:p>
              </w:tc>
              <w:tc>
                <w:tcPr>
                  <w:tcW w:w="1164"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eastAsiaTheme="minorEastAsia"/>
                      <w:sz w:val="21"/>
                      <w:szCs w:val="21"/>
                      <w:u w:val="single"/>
                    </w:rPr>
                  </w:pPr>
                  <w:r>
                    <w:rPr>
                      <w:rFonts w:hint="eastAsia" w:eastAsiaTheme="minorEastAsia"/>
                      <w:sz w:val="21"/>
                      <w:szCs w:val="21"/>
                      <w:u w:val="single"/>
                    </w:rPr>
                    <w:t>少量</w:t>
                  </w:r>
                </w:p>
              </w:tc>
            </w:tr>
          </w:tbl>
          <w:p>
            <w:pPr>
              <w:ind w:firstLine="482"/>
              <w:rPr>
                <w:b/>
                <w:bCs/>
                <w:u w:val="single"/>
              </w:rPr>
            </w:pPr>
            <w:r>
              <w:rPr>
                <w:rFonts w:hint="eastAsia"/>
                <w:b/>
                <w:bCs/>
                <w:u w:val="single"/>
              </w:rPr>
              <w:t>1.2大气污染源监测计划及排放口情况说明</w:t>
            </w:r>
          </w:p>
          <w:p>
            <w:pPr>
              <w:pStyle w:val="7"/>
              <w:spacing w:line="360" w:lineRule="auto"/>
              <w:ind w:firstLine="480" w:firstLineChars="200"/>
              <w:jc w:val="both"/>
              <w:rPr>
                <w:rFonts w:hint="eastAsia"/>
                <w:b w:val="0"/>
                <w:bCs/>
                <w:u w:val="single"/>
              </w:rPr>
            </w:pPr>
            <w:r>
              <w:rPr>
                <w:rFonts w:hint="eastAsia"/>
                <w:b w:val="0"/>
                <w:bCs/>
                <w:kern w:val="0"/>
                <w:u w:val="single"/>
                <w:lang w:eastAsia="zh-CN" w:bidi="ar"/>
              </w:rPr>
              <w:t>根据</w:t>
            </w:r>
            <w:r>
              <w:rPr>
                <w:rFonts w:hint="eastAsia"/>
                <w:b w:val="0"/>
                <w:bCs/>
                <w:kern w:val="0"/>
                <w:u w:val="single"/>
                <w:lang w:bidi="ar"/>
              </w:rPr>
              <w:t>《排污单位自行监测技术指南 总则》</w:t>
            </w:r>
            <w:r>
              <w:rPr>
                <w:b w:val="0"/>
                <w:bCs/>
                <w:kern w:val="0"/>
                <w:u w:val="single"/>
                <w:lang w:bidi="ar"/>
              </w:rPr>
              <w:t>(HJ 819-2017)</w:t>
            </w:r>
            <w:r>
              <w:rPr>
                <w:rFonts w:hint="eastAsia"/>
                <w:b w:val="0"/>
                <w:bCs/>
                <w:kern w:val="0"/>
                <w:u w:val="single"/>
                <w:lang w:bidi="ar"/>
              </w:rPr>
              <w:t>及《排污单位自行监测技术指南火力发电及锅炉》（HJ820-2017），本项目监测要求如下表</w:t>
            </w:r>
            <w:r>
              <w:rPr>
                <w:rFonts w:hint="eastAsia"/>
                <w:b w:val="0"/>
                <w:bCs/>
                <w:u w:val="single"/>
              </w:rPr>
              <w:t>。</w:t>
            </w:r>
          </w:p>
          <w:p>
            <w:pPr>
              <w:pStyle w:val="7"/>
              <w:rPr>
                <w:kern w:val="0"/>
                <w:sz w:val="21"/>
                <w:u w:val="single"/>
              </w:rPr>
            </w:pPr>
            <w:r>
              <w:rPr>
                <w:kern w:val="0"/>
                <w:sz w:val="21"/>
                <w:u w:val="single"/>
              </w:rPr>
              <w:t>表4</w:t>
            </w:r>
            <w:r>
              <w:rPr>
                <w:rFonts w:hint="eastAsia"/>
                <w:kern w:val="0"/>
                <w:sz w:val="21"/>
                <w:u w:val="single"/>
              </w:rPr>
              <w:t>-</w:t>
            </w:r>
            <w:r>
              <w:rPr>
                <w:rFonts w:hint="eastAsia"/>
                <w:kern w:val="0"/>
                <w:sz w:val="21"/>
                <w:u w:val="single"/>
                <w:lang w:val="en-US" w:eastAsia="zh-CN"/>
              </w:rPr>
              <w:t>11</w:t>
            </w:r>
            <w:r>
              <w:rPr>
                <w:rFonts w:hint="eastAsia"/>
                <w:kern w:val="0"/>
                <w:sz w:val="21"/>
                <w:u w:val="single"/>
              </w:rPr>
              <w:t>大气污染源监测计划</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1842"/>
              <w:gridCol w:w="1780"/>
              <w:gridCol w:w="3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pct"/>
                  <w:vAlign w:val="center"/>
                </w:tcPr>
                <w:p>
                  <w:pPr>
                    <w:pStyle w:val="47"/>
                    <w:rPr>
                      <w:b/>
                      <w:bCs/>
                      <w:color w:val="000000" w:themeColor="text1"/>
                      <w:u w:val="single"/>
                      <w14:textFill>
                        <w14:solidFill>
                          <w14:schemeClr w14:val="tx1"/>
                        </w14:solidFill>
                      </w14:textFill>
                    </w:rPr>
                  </w:pPr>
                  <w:r>
                    <w:rPr>
                      <w:b/>
                      <w:bCs/>
                      <w:color w:val="000000" w:themeColor="text1"/>
                      <w:u w:val="single"/>
                      <w14:textFill>
                        <w14:solidFill>
                          <w14:schemeClr w14:val="tx1"/>
                        </w14:solidFill>
                      </w14:textFill>
                    </w:rPr>
                    <w:t>监测点位</w:t>
                  </w:r>
                </w:p>
              </w:tc>
              <w:tc>
                <w:tcPr>
                  <w:tcW w:w="1024" w:type="pct"/>
                  <w:vAlign w:val="center"/>
                </w:tcPr>
                <w:p>
                  <w:pPr>
                    <w:pStyle w:val="47"/>
                    <w:rPr>
                      <w:b/>
                      <w:bCs/>
                      <w:color w:val="000000" w:themeColor="text1"/>
                      <w:u w:val="single"/>
                      <w14:textFill>
                        <w14:solidFill>
                          <w14:schemeClr w14:val="tx1"/>
                        </w14:solidFill>
                      </w14:textFill>
                    </w:rPr>
                  </w:pPr>
                  <w:r>
                    <w:rPr>
                      <w:b/>
                      <w:bCs/>
                      <w:color w:val="000000" w:themeColor="text1"/>
                      <w:u w:val="single"/>
                      <w14:textFill>
                        <w14:solidFill>
                          <w14:schemeClr w14:val="tx1"/>
                        </w14:solidFill>
                      </w14:textFill>
                    </w:rPr>
                    <w:t>监测因子</w:t>
                  </w:r>
                </w:p>
              </w:tc>
              <w:tc>
                <w:tcPr>
                  <w:tcW w:w="990" w:type="pct"/>
                  <w:vAlign w:val="center"/>
                </w:tcPr>
                <w:p>
                  <w:pPr>
                    <w:pStyle w:val="47"/>
                    <w:rPr>
                      <w:b/>
                      <w:bCs/>
                      <w:color w:val="000000" w:themeColor="text1"/>
                      <w:u w:val="single"/>
                      <w14:textFill>
                        <w14:solidFill>
                          <w14:schemeClr w14:val="tx1"/>
                        </w14:solidFill>
                      </w14:textFill>
                    </w:rPr>
                  </w:pPr>
                  <w:r>
                    <w:rPr>
                      <w:b/>
                      <w:bCs/>
                      <w:color w:val="000000" w:themeColor="text1"/>
                      <w:u w:val="single"/>
                      <w14:textFill>
                        <w14:solidFill>
                          <w14:schemeClr w14:val="tx1"/>
                        </w14:solidFill>
                      </w14:textFill>
                    </w:rPr>
                    <w:t>监测频次</w:t>
                  </w:r>
                </w:p>
              </w:tc>
              <w:tc>
                <w:tcPr>
                  <w:tcW w:w="2014" w:type="pct"/>
                  <w:vAlign w:val="center"/>
                </w:tcPr>
                <w:p>
                  <w:pPr>
                    <w:pStyle w:val="47"/>
                    <w:rPr>
                      <w:b/>
                      <w:bCs/>
                      <w:color w:val="000000" w:themeColor="text1"/>
                      <w:u w:val="single"/>
                      <w14:textFill>
                        <w14:solidFill>
                          <w14:schemeClr w14:val="tx1"/>
                        </w14:solidFill>
                      </w14:textFill>
                    </w:rPr>
                  </w:pPr>
                  <w:r>
                    <w:rPr>
                      <w:rFonts w:hint="eastAsia"/>
                      <w:b/>
                      <w:bCs/>
                      <w:color w:val="000000" w:themeColor="text1"/>
                      <w:u w:val="single"/>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pct"/>
                  <w:vMerge w:val="restart"/>
                  <w:vAlign w:val="center"/>
                </w:tcPr>
                <w:p>
                  <w:pPr>
                    <w:pStyle w:val="47"/>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D</w:t>
                  </w:r>
                  <w:r>
                    <w:rPr>
                      <w:color w:val="000000" w:themeColor="text1"/>
                      <w:u w:val="single"/>
                      <w14:textFill>
                        <w14:solidFill>
                          <w14:schemeClr w14:val="tx1"/>
                        </w14:solidFill>
                      </w14:textFill>
                    </w:rPr>
                    <w:t>A001</w:t>
                  </w:r>
                  <w:r>
                    <w:rPr>
                      <w:rFonts w:hint="eastAsia"/>
                      <w:color w:val="000000" w:themeColor="text1"/>
                      <w:u w:val="single"/>
                      <w14:textFill>
                        <w14:solidFill>
                          <w14:schemeClr w14:val="tx1"/>
                        </w14:solidFill>
                      </w14:textFill>
                    </w:rPr>
                    <w:t>排放口</w:t>
                  </w:r>
                </w:p>
              </w:tc>
              <w:tc>
                <w:tcPr>
                  <w:tcW w:w="1024" w:type="pct"/>
                  <w:vAlign w:val="center"/>
                </w:tcPr>
                <w:p>
                  <w:pPr>
                    <w:pStyle w:val="47"/>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颗粒物</w:t>
                  </w:r>
                </w:p>
              </w:tc>
              <w:tc>
                <w:tcPr>
                  <w:tcW w:w="990" w:type="pct"/>
                  <w:vAlign w:val="center"/>
                </w:tcPr>
                <w:p>
                  <w:pPr>
                    <w:pStyle w:val="47"/>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1月1次</w:t>
                  </w:r>
                </w:p>
              </w:tc>
              <w:tc>
                <w:tcPr>
                  <w:tcW w:w="2014" w:type="pct"/>
                  <w:vMerge w:val="restart"/>
                  <w:vAlign w:val="center"/>
                </w:tcPr>
                <w:p>
                  <w:pPr>
                    <w:pStyle w:val="47"/>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《锅炉大气污染物排放标准》（GB13271-2014）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pct"/>
                  <w:vMerge w:val="continue"/>
                  <w:vAlign w:val="center"/>
                </w:tcPr>
                <w:p>
                  <w:pPr>
                    <w:pStyle w:val="47"/>
                    <w:rPr>
                      <w:color w:val="000000" w:themeColor="text1"/>
                      <w:u w:val="single"/>
                      <w14:textFill>
                        <w14:solidFill>
                          <w14:schemeClr w14:val="tx1"/>
                        </w14:solidFill>
                      </w14:textFill>
                    </w:rPr>
                  </w:pPr>
                </w:p>
              </w:tc>
              <w:tc>
                <w:tcPr>
                  <w:tcW w:w="1024" w:type="pct"/>
                  <w:vAlign w:val="center"/>
                </w:tcPr>
                <w:p>
                  <w:pPr>
                    <w:pStyle w:val="47"/>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二氧化硫</w:t>
                  </w:r>
                </w:p>
              </w:tc>
              <w:tc>
                <w:tcPr>
                  <w:tcW w:w="990" w:type="pct"/>
                  <w:vAlign w:val="center"/>
                </w:tcPr>
                <w:p>
                  <w:pPr>
                    <w:pStyle w:val="47"/>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1月1次</w:t>
                  </w:r>
                </w:p>
              </w:tc>
              <w:tc>
                <w:tcPr>
                  <w:tcW w:w="2014" w:type="pct"/>
                  <w:vMerge w:val="continue"/>
                  <w:vAlign w:val="center"/>
                </w:tcPr>
                <w:p>
                  <w:pPr>
                    <w:pStyle w:val="47"/>
                    <w:rPr>
                      <w:color w:val="000000" w:themeColor="text1"/>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pct"/>
                  <w:vMerge w:val="continue"/>
                  <w:vAlign w:val="center"/>
                </w:tcPr>
                <w:p>
                  <w:pPr>
                    <w:pStyle w:val="47"/>
                    <w:rPr>
                      <w:color w:val="000000" w:themeColor="text1"/>
                      <w:u w:val="single"/>
                      <w14:textFill>
                        <w14:solidFill>
                          <w14:schemeClr w14:val="tx1"/>
                        </w14:solidFill>
                      </w14:textFill>
                    </w:rPr>
                  </w:pPr>
                </w:p>
              </w:tc>
              <w:tc>
                <w:tcPr>
                  <w:tcW w:w="1024" w:type="pct"/>
                  <w:vAlign w:val="center"/>
                </w:tcPr>
                <w:p>
                  <w:pPr>
                    <w:pStyle w:val="47"/>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氮氧化物</w:t>
                  </w:r>
                </w:p>
              </w:tc>
              <w:tc>
                <w:tcPr>
                  <w:tcW w:w="990" w:type="pct"/>
                  <w:vAlign w:val="center"/>
                </w:tcPr>
                <w:p>
                  <w:pPr>
                    <w:pStyle w:val="47"/>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1月1次</w:t>
                  </w:r>
                </w:p>
              </w:tc>
              <w:tc>
                <w:tcPr>
                  <w:tcW w:w="2014" w:type="pct"/>
                  <w:vMerge w:val="continue"/>
                  <w:vAlign w:val="center"/>
                </w:tcPr>
                <w:p>
                  <w:pPr>
                    <w:pStyle w:val="47"/>
                    <w:rPr>
                      <w:color w:val="000000" w:themeColor="text1"/>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pct"/>
                  <w:vMerge w:val="continue"/>
                  <w:vAlign w:val="center"/>
                </w:tcPr>
                <w:p>
                  <w:pPr>
                    <w:pStyle w:val="47"/>
                    <w:rPr>
                      <w:color w:val="000000" w:themeColor="text1"/>
                      <w:u w:val="single"/>
                      <w14:textFill>
                        <w14:solidFill>
                          <w14:schemeClr w14:val="tx1"/>
                        </w14:solidFill>
                      </w14:textFill>
                    </w:rPr>
                  </w:pPr>
                </w:p>
              </w:tc>
              <w:tc>
                <w:tcPr>
                  <w:tcW w:w="1024" w:type="pct"/>
                  <w:vAlign w:val="center"/>
                </w:tcPr>
                <w:p>
                  <w:pPr>
                    <w:pStyle w:val="47"/>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林格曼黑度</w:t>
                  </w:r>
                </w:p>
              </w:tc>
              <w:tc>
                <w:tcPr>
                  <w:tcW w:w="990" w:type="pct"/>
                  <w:vAlign w:val="center"/>
                </w:tcPr>
                <w:p>
                  <w:pPr>
                    <w:pStyle w:val="47"/>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1月1次</w:t>
                  </w:r>
                </w:p>
              </w:tc>
              <w:tc>
                <w:tcPr>
                  <w:tcW w:w="2014" w:type="pct"/>
                  <w:vMerge w:val="continue"/>
                  <w:vAlign w:val="center"/>
                </w:tcPr>
                <w:p>
                  <w:pPr>
                    <w:pStyle w:val="47"/>
                    <w:rPr>
                      <w:color w:val="000000" w:themeColor="text1"/>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pct"/>
                  <w:vMerge w:val="restart"/>
                  <w:vAlign w:val="center"/>
                </w:tcPr>
                <w:p>
                  <w:pPr>
                    <w:pStyle w:val="47"/>
                    <w:rPr>
                      <w:rFonts w:hint="eastAsia" w:eastAsia="宋体"/>
                      <w:color w:val="000000" w:themeColor="text1"/>
                      <w:u w:val="single"/>
                      <w:lang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厂界</w:t>
                  </w:r>
                </w:p>
              </w:tc>
              <w:tc>
                <w:tcPr>
                  <w:tcW w:w="1024" w:type="pct"/>
                  <w:vAlign w:val="center"/>
                </w:tcPr>
                <w:p>
                  <w:pPr>
                    <w:pStyle w:val="47"/>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颗粒物</w:t>
                  </w:r>
                </w:p>
              </w:tc>
              <w:tc>
                <w:tcPr>
                  <w:tcW w:w="990" w:type="pct"/>
                  <w:vAlign w:val="center"/>
                </w:tcPr>
                <w:p>
                  <w:pPr>
                    <w:pStyle w:val="47"/>
                    <w:rPr>
                      <w:color w:val="000000" w:themeColor="text1"/>
                      <w:u w:val="single"/>
                      <w14:textFill>
                        <w14:solidFill>
                          <w14:schemeClr w14:val="tx1"/>
                        </w14:solidFill>
                      </w14:textFill>
                    </w:rPr>
                  </w:pPr>
                  <w:r>
                    <w:rPr>
                      <w:color w:val="000000" w:themeColor="text1"/>
                      <w:u w:val="single"/>
                      <w14:textFill>
                        <w14:solidFill>
                          <w14:schemeClr w14:val="tx1"/>
                        </w14:solidFill>
                      </w14:textFill>
                    </w:rPr>
                    <w:t>1</w:t>
                  </w:r>
                  <w:r>
                    <w:rPr>
                      <w:rFonts w:hint="eastAsia"/>
                      <w:color w:val="000000" w:themeColor="text1"/>
                      <w:u w:val="single"/>
                      <w:lang w:val="en-US" w:eastAsia="zh-CN"/>
                      <w14:textFill>
                        <w14:solidFill>
                          <w14:schemeClr w14:val="tx1"/>
                        </w14:solidFill>
                      </w14:textFill>
                    </w:rPr>
                    <w:t>季度</w:t>
                  </w:r>
                  <w:r>
                    <w:rPr>
                      <w:color w:val="000000" w:themeColor="text1"/>
                      <w:u w:val="single"/>
                      <w14:textFill>
                        <w14:solidFill>
                          <w14:schemeClr w14:val="tx1"/>
                        </w14:solidFill>
                      </w14:textFill>
                    </w:rPr>
                    <w:t>1次</w:t>
                  </w:r>
                </w:p>
              </w:tc>
              <w:tc>
                <w:tcPr>
                  <w:tcW w:w="2014" w:type="pct"/>
                  <w:vAlign w:val="center"/>
                </w:tcPr>
                <w:p>
                  <w:pPr>
                    <w:pStyle w:val="47"/>
                    <w:rPr>
                      <w:color w:val="000000" w:themeColor="text1"/>
                      <w:szCs w:val="18"/>
                      <w:u w:val="single"/>
                      <w14:textFill>
                        <w14:solidFill>
                          <w14:schemeClr w14:val="tx1"/>
                        </w14:solidFill>
                      </w14:textFill>
                    </w:rPr>
                  </w:pPr>
                  <w:r>
                    <w:rPr>
                      <w:color w:val="000000" w:themeColor="text1"/>
                      <w:u w:val="single"/>
                      <w:shd w:val="clear" w:color="auto" w:fill="FFFFFF"/>
                      <w14:textFill>
                        <w14:solidFill>
                          <w14:schemeClr w14:val="tx1"/>
                        </w14:solidFill>
                      </w14:textFill>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0" w:type="pct"/>
                  <w:vMerge w:val="continue"/>
                  <w:vAlign w:val="center"/>
                </w:tcPr>
                <w:p>
                  <w:pPr>
                    <w:pStyle w:val="47"/>
                    <w:rPr>
                      <w:color w:val="000000" w:themeColor="text1"/>
                      <w:u w:val="single"/>
                      <w14:textFill>
                        <w14:solidFill>
                          <w14:schemeClr w14:val="tx1"/>
                        </w14:solidFill>
                      </w14:textFill>
                    </w:rPr>
                  </w:pPr>
                </w:p>
              </w:tc>
              <w:tc>
                <w:tcPr>
                  <w:tcW w:w="1024" w:type="pct"/>
                  <w:vAlign w:val="center"/>
                </w:tcPr>
                <w:p>
                  <w:pPr>
                    <w:pStyle w:val="47"/>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臭气浓度</w:t>
                  </w:r>
                </w:p>
              </w:tc>
              <w:tc>
                <w:tcPr>
                  <w:tcW w:w="990" w:type="pct"/>
                  <w:vAlign w:val="center"/>
                </w:tcPr>
                <w:p>
                  <w:pPr>
                    <w:pStyle w:val="47"/>
                    <w:rPr>
                      <w:color w:val="000000" w:themeColor="text1"/>
                      <w:u w:val="single"/>
                      <w14:textFill>
                        <w14:solidFill>
                          <w14:schemeClr w14:val="tx1"/>
                        </w14:solidFill>
                      </w14:textFill>
                    </w:rPr>
                  </w:pPr>
                  <w:r>
                    <w:rPr>
                      <w:color w:val="000000" w:themeColor="text1"/>
                      <w:u w:val="single"/>
                      <w14:textFill>
                        <w14:solidFill>
                          <w14:schemeClr w14:val="tx1"/>
                        </w14:solidFill>
                      </w14:textFill>
                    </w:rPr>
                    <w:t>1年1次</w:t>
                  </w:r>
                </w:p>
              </w:tc>
              <w:tc>
                <w:tcPr>
                  <w:tcW w:w="2014" w:type="pct"/>
                  <w:vAlign w:val="center"/>
                </w:tcPr>
                <w:p>
                  <w:pPr>
                    <w:pStyle w:val="47"/>
                    <w:rPr>
                      <w:color w:val="000000" w:themeColor="text1"/>
                      <w:u w:val="single"/>
                      <w:shd w:val="clear" w:color="auto" w:fill="FFFFFF"/>
                      <w14:textFill>
                        <w14:solidFill>
                          <w14:schemeClr w14:val="tx1"/>
                        </w14:solidFill>
                      </w14:textFill>
                    </w:rPr>
                  </w:pPr>
                  <w:r>
                    <w:rPr>
                      <w:color w:val="000000" w:themeColor="text1"/>
                      <w:u w:val="single"/>
                      <w:shd w:val="clear" w:color="auto" w:fill="FFFFFF"/>
                      <w14:textFill>
                        <w14:solidFill>
                          <w14:schemeClr w14:val="tx1"/>
                        </w14:solidFill>
                      </w14:textFill>
                    </w:rPr>
                    <w:t>《</w:t>
                  </w:r>
                  <w:r>
                    <w:rPr>
                      <w:rFonts w:hint="eastAsia"/>
                      <w:color w:val="000000" w:themeColor="text1"/>
                      <w:u w:val="single"/>
                      <w:shd w:val="clear" w:color="auto" w:fill="FFFFFF"/>
                      <w14:textFill>
                        <w14:solidFill>
                          <w14:schemeClr w14:val="tx1"/>
                        </w14:solidFill>
                      </w14:textFill>
                    </w:rPr>
                    <w:t>恶臭污染物排放浓度</w:t>
                  </w:r>
                  <w:r>
                    <w:rPr>
                      <w:color w:val="000000" w:themeColor="text1"/>
                      <w:u w:val="single"/>
                      <w:shd w:val="clear" w:color="auto" w:fill="FFFFFF"/>
                      <w14:textFill>
                        <w14:solidFill>
                          <w14:schemeClr w14:val="tx1"/>
                        </w14:solidFill>
                      </w14:textFill>
                    </w:rPr>
                    <w:t>》（GB14554-93）</w:t>
                  </w:r>
                </w:p>
              </w:tc>
            </w:tr>
          </w:tbl>
          <w:p>
            <w:pPr>
              <w:ind w:firstLine="480"/>
              <w:rPr>
                <w:u w:val="single"/>
              </w:rPr>
            </w:pPr>
            <w:r>
              <w:rPr>
                <w:u w:val="single"/>
              </w:rPr>
              <w:t>排放口基本情况见下表。</w:t>
            </w:r>
          </w:p>
          <w:p>
            <w:pPr>
              <w:spacing w:line="240" w:lineRule="auto"/>
              <w:ind w:firstLine="0" w:firstLineChars="0"/>
              <w:jc w:val="center"/>
              <w:rPr>
                <w:b/>
                <w:kern w:val="0"/>
                <w:sz w:val="21"/>
                <w:u w:val="single"/>
              </w:rPr>
            </w:pPr>
            <w:r>
              <w:rPr>
                <w:b/>
                <w:kern w:val="0"/>
                <w:sz w:val="21"/>
                <w:u w:val="single"/>
              </w:rPr>
              <w:t>表4</w:t>
            </w:r>
            <w:r>
              <w:rPr>
                <w:rFonts w:hint="eastAsia"/>
                <w:b/>
                <w:kern w:val="0"/>
                <w:sz w:val="21"/>
                <w:u w:val="single"/>
              </w:rPr>
              <w:t>-</w:t>
            </w:r>
            <w:r>
              <w:rPr>
                <w:rFonts w:hint="eastAsia"/>
                <w:b/>
                <w:kern w:val="0"/>
                <w:sz w:val="21"/>
                <w:u w:val="single"/>
                <w:lang w:val="en-US" w:eastAsia="zh-CN"/>
              </w:rPr>
              <w:t>12</w:t>
            </w:r>
            <w:r>
              <w:rPr>
                <w:rFonts w:hint="eastAsia"/>
                <w:b/>
                <w:kern w:val="0"/>
                <w:sz w:val="21"/>
                <w:u w:val="single"/>
              </w:rPr>
              <w:t>废</w:t>
            </w:r>
            <w:r>
              <w:rPr>
                <w:b/>
                <w:kern w:val="0"/>
                <w:sz w:val="21"/>
                <w:u w:val="single"/>
              </w:rPr>
              <w:t>气排放口基本情况一览表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895"/>
              <w:gridCol w:w="1200"/>
              <w:gridCol w:w="1291"/>
              <w:gridCol w:w="1206"/>
              <w:gridCol w:w="1201"/>
              <w:gridCol w:w="740"/>
              <w:gridCol w:w="737"/>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90" w:type="pct"/>
                  <w:vMerge w:val="restart"/>
                  <w:vAlign w:val="center"/>
                </w:tcPr>
                <w:p>
                  <w:pPr>
                    <w:spacing w:line="240" w:lineRule="auto"/>
                    <w:ind w:firstLine="0" w:firstLineChars="0"/>
                    <w:jc w:val="center"/>
                    <w:rPr>
                      <w:b/>
                      <w:color w:val="000000" w:themeColor="text1"/>
                      <w:sz w:val="21"/>
                      <w:u w:val="single"/>
                      <w14:textFill>
                        <w14:solidFill>
                          <w14:schemeClr w14:val="tx1"/>
                        </w14:solidFill>
                      </w14:textFill>
                    </w:rPr>
                  </w:pPr>
                  <w:r>
                    <w:rPr>
                      <w:rFonts w:hint="eastAsia"/>
                      <w:b/>
                      <w:color w:val="000000" w:themeColor="text1"/>
                      <w:sz w:val="21"/>
                      <w:u w:val="single"/>
                      <w14:textFill>
                        <w14:solidFill>
                          <w14:schemeClr w14:val="tx1"/>
                        </w14:solidFill>
                      </w14:textFill>
                    </w:rPr>
                    <w:t>序号</w:t>
                  </w:r>
                </w:p>
              </w:tc>
              <w:tc>
                <w:tcPr>
                  <w:tcW w:w="504" w:type="pct"/>
                  <w:vMerge w:val="restart"/>
                  <w:vAlign w:val="center"/>
                </w:tcPr>
                <w:p>
                  <w:pPr>
                    <w:spacing w:line="240" w:lineRule="auto"/>
                    <w:ind w:firstLine="0" w:firstLineChars="0"/>
                    <w:jc w:val="center"/>
                    <w:rPr>
                      <w:b/>
                      <w:color w:val="000000" w:themeColor="text1"/>
                      <w:sz w:val="21"/>
                      <w:u w:val="single"/>
                      <w14:textFill>
                        <w14:solidFill>
                          <w14:schemeClr w14:val="tx1"/>
                        </w14:solidFill>
                      </w14:textFill>
                    </w:rPr>
                  </w:pPr>
                  <w:r>
                    <w:rPr>
                      <w:rFonts w:hint="eastAsia"/>
                      <w:b/>
                      <w:color w:val="000000" w:themeColor="text1"/>
                      <w:sz w:val="21"/>
                      <w:u w:val="single"/>
                      <w14:textFill>
                        <w14:solidFill>
                          <w14:schemeClr w14:val="tx1"/>
                        </w14:solidFill>
                      </w14:textFill>
                    </w:rPr>
                    <w:t>编号</w:t>
                  </w:r>
                </w:p>
              </w:tc>
              <w:tc>
                <w:tcPr>
                  <w:tcW w:w="673" w:type="pct"/>
                  <w:vMerge w:val="restart"/>
                  <w:vAlign w:val="center"/>
                </w:tcPr>
                <w:p>
                  <w:pPr>
                    <w:spacing w:line="240" w:lineRule="auto"/>
                    <w:ind w:firstLine="0" w:firstLineChars="0"/>
                    <w:jc w:val="center"/>
                    <w:rPr>
                      <w:b/>
                      <w:color w:val="000000" w:themeColor="text1"/>
                      <w:sz w:val="21"/>
                      <w:u w:val="single"/>
                      <w14:textFill>
                        <w14:solidFill>
                          <w14:schemeClr w14:val="tx1"/>
                        </w14:solidFill>
                      </w14:textFill>
                    </w:rPr>
                  </w:pPr>
                  <w:r>
                    <w:rPr>
                      <w:rFonts w:hint="eastAsia"/>
                      <w:b/>
                      <w:color w:val="000000" w:themeColor="text1"/>
                      <w:sz w:val="21"/>
                      <w:u w:val="single"/>
                      <w14:textFill>
                        <w14:solidFill>
                          <w14:schemeClr w14:val="tx1"/>
                        </w14:solidFill>
                      </w14:textFill>
                    </w:rPr>
                    <w:t>名称</w:t>
                  </w:r>
                </w:p>
              </w:tc>
              <w:tc>
                <w:tcPr>
                  <w:tcW w:w="724" w:type="pct"/>
                  <w:vMerge w:val="restart"/>
                  <w:vAlign w:val="center"/>
                </w:tcPr>
                <w:p>
                  <w:pPr>
                    <w:spacing w:line="240" w:lineRule="auto"/>
                    <w:ind w:firstLine="0" w:firstLineChars="0"/>
                    <w:jc w:val="center"/>
                    <w:rPr>
                      <w:b/>
                      <w:color w:val="000000" w:themeColor="text1"/>
                      <w:sz w:val="21"/>
                      <w:u w:val="single"/>
                      <w14:textFill>
                        <w14:solidFill>
                          <w14:schemeClr w14:val="tx1"/>
                        </w14:solidFill>
                      </w14:textFill>
                    </w:rPr>
                  </w:pPr>
                  <w:r>
                    <w:rPr>
                      <w:rFonts w:hint="eastAsia"/>
                      <w:b/>
                      <w:color w:val="000000" w:themeColor="text1"/>
                      <w:sz w:val="21"/>
                      <w:u w:val="single"/>
                      <w14:textFill>
                        <w14:solidFill>
                          <w14:schemeClr w14:val="tx1"/>
                        </w14:solidFill>
                      </w14:textFill>
                    </w:rPr>
                    <w:t>污染物种类</w:t>
                  </w:r>
                </w:p>
              </w:tc>
              <w:tc>
                <w:tcPr>
                  <w:tcW w:w="1290" w:type="pct"/>
                  <w:gridSpan w:val="2"/>
                  <w:vAlign w:val="center"/>
                </w:tcPr>
                <w:p>
                  <w:pPr>
                    <w:spacing w:line="240" w:lineRule="auto"/>
                    <w:ind w:firstLine="0" w:firstLineChars="0"/>
                    <w:jc w:val="center"/>
                    <w:rPr>
                      <w:b/>
                      <w:color w:val="000000" w:themeColor="text1"/>
                      <w:sz w:val="21"/>
                      <w:u w:val="single"/>
                      <w14:textFill>
                        <w14:solidFill>
                          <w14:schemeClr w14:val="tx1"/>
                        </w14:solidFill>
                      </w14:textFill>
                    </w:rPr>
                  </w:pPr>
                  <w:r>
                    <w:rPr>
                      <w:rFonts w:hint="eastAsia"/>
                      <w:b/>
                      <w:color w:val="000000" w:themeColor="text1"/>
                      <w:sz w:val="21"/>
                      <w:u w:val="single"/>
                      <w14:textFill>
                        <w14:solidFill>
                          <w14:schemeClr w14:val="tx1"/>
                        </w14:solidFill>
                      </w14:textFill>
                    </w:rPr>
                    <w:t>排放口地理坐标</w:t>
                  </w:r>
                </w:p>
              </w:tc>
              <w:tc>
                <w:tcPr>
                  <w:tcW w:w="418" w:type="pct"/>
                  <w:vMerge w:val="restart"/>
                  <w:vAlign w:val="center"/>
                </w:tcPr>
                <w:p>
                  <w:pPr>
                    <w:spacing w:line="240" w:lineRule="auto"/>
                    <w:ind w:firstLine="0" w:firstLineChars="0"/>
                    <w:jc w:val="center"/>
                    <w:rPr>
                      <w:b/>
                      <w:color w:val="000000" w:themeColor="text1"/>
                      <w:sz w:val="21"/>
                      <w:u w:val="single"/>
                      <w14:textFill>
                        <w14:solidFill>
                          <w14:schemeClr w14:val="tx1"/>
                        </w14:solidFill>
                      </w14:textFill>
                    </w:rPr>
                  </w:pPr>
                  <w:r>
                    <w:rPr>
                      <w:rFonts w:hint="eastAsia"/>
                      <w:b/>
                      <w:color w:val="000000" w:themeColor="text1"/>
                      <w:sz w:val="21"/>
                      <w:u w:val="single"/>
                      <w14:textFill>
                        <w14:solidFill>
                          <w14:schemeClr w14:val="tx1"/>
                        </w14:solidFill>
                      </w14:textFill>
                    </w:rPr>
                    <w:t>排气筒高度/</w:t>
                  </w:r>
                  <w:r>
                    <w:rPr>
                      <w:b/>
                      <w:color w:val="000000" w:themeColor="text1"/>
                      <w:sz w:val="21"/>
                      <w:u w:val="single"/>
                      <w14:textFill>
                        <w14:solidFill>
                          <w14:schemeClr w14:val="tx1"/>
                        </w14:solidFill>
                      </w14:textFill>
                    </w:rPr>
                    <w:t>m</w:t>
                  </w:r>
                </w:p>
              </w:tc>
              <w:tc>
                <w:tcPr>
                  <w:tcW w:w="416" w:type="pct"/>
                  <w:vMerge w:val="restart"/>
                  <w:vAlign w:val="center"/>
                </w:tcPr>
                <w:p>
                  <w:pPr>
                    <w:spacing w:line="240" w:lineRule="auto"/>
                    <w:ind w:firstLine="0" w:firstLineChars="0"/>
                    <w:jc w:val="center"/>
                    <w:rPr>
                      <w:b/>
                      <w:color w:val="000000" w:themeColor="text1"/>
                      <w:sz w:val="21"/>
                      <w:u w:val="single"/>
                      <w14:textFill>
                        <w14:solidFill>
                          <w14:schemeClr w14:val="tx1"/>
                        </w14:solidFill>
                      </w14:textFill>
                    </w:rPr>
                  </w:pPr>
                  <w:r>
                    <w:rPr>
                      <w:rFonts w:hint="eastAsia"/>
                      <w:b/>
                      <w:color w:val="000000" w:themeColor="text1"/>
                      <w:sz w:val="21"/>
                      <w:u w:val="single"/>
                      <w14:textFill>
                        <w14:solidFill>
                          <w14:schemeClr w14:val="tx1"/>
                        </w14:solidFill>
                      </w14:textFill>
                    </w:rPr>
                    <w:t>排气口内径/</w:t>
                  </w:r>
                  <w:r>
                    <w:rPr>
                      <w:b/>
                      <w:color w:val="000000" w:themeColor="text1"/>
                      <w:sz w:val="21"/>
                      <w:u w:val="single"/>
                      <w14:textFill>
                        <w14:solidFill>
                          <w14:schemeClr w14:val="tx1"/>
                        </w14:solidFill>
                      </w14:textFill>
                    </w:rPr>
                    <w:t>m</w:t>
                  </w:r>
                </w:p>
              </w:tc>
              <w:tc>
                <w:tcPr>
                  <w:tcW w:w="680" w:type="pct"/>
                  <w:vMerge w:val="restart"/>
                  <w:vAlign w:val="center"/>
                </w:tcPr>
                <w:p>
                  <w:pPr>
                    <w:spacing w:line="240" w:lineRule="auto"/>
                    <w:ind w:firstLine="0" w:firstLineChars="0"/>
                    <w:jc w:val="center"/>
                    <w:rPr>
                      <w:b/>
                      <w:color w:val="000000" w:themeColor="text1"/>
                      <w:sz w:val="21"/>
                      <w:u w:val="single"/>
                      <w14:textFill>
                        <w14:solidFill>
                          <w14:schemeClr w14:val="tx1"/>
                        </w14:solidFill>
                      </w14:textFill>
                    </w:rPr>
                  </w:pPr>
                  <w:r>
                    <w:rPr>
                      <w:rFonts w:hint="eastAsia"/>
                      <w:b/>
                      <w:color w:val="000000" w:themeColor="text1"/>
                      <w:sz w:val="21"/>
                      <w:u w:val="single"/>
                      <w14:textFill>
                        <w14:solidFill>
                          <w14:schemeClr w14:val="tx1"/>
                        </w14:solidFill>
                      </w14:textFill>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90" w:type="pct"/>
                  <w:vMerge w:val="continue"/>
                  <w:vAlign w:val="center"/>
                </w:tcPr>
                <w:p>
                  <w:pPr>
                    <w:spacing w:line="240" w:lineRule="auto"/>
                    <w:ind w:firstLine="0" w:firstLineChars="0"/>
                    <w:jc w:val="center"/>
                    <w:rPr>
                      <w:bCs/>
                      <w:color w:val="000000" w:themeColor="text1"/>
                      <w:sz w:val="21"/>
                      <w:u w:val="single"/>
                      <w14:textFill>
                        <w14:solidFill>
                          <w14:schemeClr w14:val="tx1"/>
                        </w14:solidFill>
                      </w14:textFill>
                    </w:rPr>
                  </w:pPr>
                </w:p>
              </w:tc>
              <w:tc>
                <w:tcPr>
                  <w:tcW w:w="504" w:type="pct"/>
                  <w:vMerge w:val="continue"/>
                  <w:vAlign w:val="center"/>
                </w:tcPr>
                <w:p>
                  <w:pPr>
                    <w:spacing w:line="240" w:lineRule="auto"/>
                    <w:ind w:firstLine="0" w:firstLineChars="0"/>
                    <w:jc w:val="center"/>
                    <w:rPr>
                      <w:bCs/>
                      <w:color w:val="000000" w:themeColor="text1"/>
                      <w:sz w:val="21"/>
                      <w:u w:val="single"/>
                      <w14:textFill>
                        <w14:solidFill>
                          <w14:schemeClr w14:val="tx1"/>
                        </w14:solidFill>
                      </w14:textFill>
                    </w:rPr>
                  </w:pPr>
                </w:p>
              </w:tc>
              <w:tc>
                <w:tcPr>
                  <w:tcW w:w="673" w:type="pct"/>
                  <w:vMerge w:val="continue"/>
                  <w:vAlign w:val="center"/>
                </w:tcPr>
                <w:p>
                  <w:pPr>
                    <w:spacing w:line="240" w:lineRule="auto"/>
                    <w:ind w:firstLine="0" w:firstLineChars="0"/>
                    <w:jc w:val="center"/>
                    <w:rPr>
                      <w:bCs/>
                      <w:color w:val="000000" w:themeColor="text1"/>
                      <w:sz w:val="21"/>
                      <w:u w:val="single"/>
                      <w14:textFill>
                        <w14:solidFill>
                          <w14:schemeClr w14:val="tx1"/>
                        </w14:solidFill>
                      </w14:textFill>
                    </w:rPr>
                  </w:pPr>
                </w:p>
              </w:tc>
              <w:tc>
                <w:tcPr>
                  <w:tcW w:w="724" w:type="pct"/>
                  <w:vMerge w:val="continue"/>
                  <w:vAlign w:val="center"/>
                </w:tcPr>
                <w:p>
                  <w:pPr>
                    <w:spacing w:line="240" w:lineRule="auto"/>
                    <w:ind w:firstLine="0" w:firstLineChars="0"/>
                    <w:jc w:val="center"/>
                    <w:rPr>
                      <w:bCs/>
                      <w:color w:val="000000" w:themeColor="text1"/>
                      <w:sz w:val="21"/>
                      <w:u w:val="single"/>
                      <w14:textFill>
                        <w14:solidFill>
                          <w14:schemeClr w14:val="tx1"/>
                        </w14:solidFill>
                      </w14:textFill>
                    </w:rPr>
                  </w:pPr>
                </w:p>
              </w:tc>
              <w:tc>
                <w:tcPr>
                  <w:tcW w:w="616" w:type="pct"/>
                  <w:vAlign w:val="center"/>
                </w:tcPr>
                <w:p>
                  <w:pPr>
                    <w:spacing w:line="240" w:lineRule="auto"/>
                    <w:ind w:firstLine="0" w:firstLineChars="0"/>
                    <w:jc w:val="center"/>
                    <w:rPr>
                      <w:b/>
                      <w:color w:val="000000" w:themeColor="text1"/>
                      <w:sz w:val="21"/>
                      <w:u w:val="single"/>
                      <w14:textFill>
                        <w14:solidFill>
                          <w14:schemeClr w14:val="tx1"/>
                        </w14:solidFill>
                      </w14:textFill>
                    </w:rPr>
                  </w:pPr>
                  <w:r>
                    <w:rPr>
                      <w:rFonts w:hint="eastAsia"/>
                      <w:b/>
                      <w:color w:val="000000" w:themeColor="text1"/>
                      <w:sz w:val="21"/>
                      <w:u w:val="single"/>
                      <w14:textFill>
                        <w14:solidFill>
                          <w14:schemeClr w14:val="tx1"/>
                        </w14:solidFill>
                      </w14:textFill>
                    </w:rPr>
                    <w:t>经度</w:t>
                  </w:r>
                </w:p>
              </w:tc>
              <w:tc>
                <w:tcPr>
                  <w:tcW w:w="673" w:type="pct"/>
                  <w:vAlign w:val="center"/>
                </w:tcPr>
                <w:p>
                  <w:pPr>
                    <w:spacing w:line="240" w:lineRule="auto"/>
                    <w:ind w:firstLine="0" w:firstLineChars="0"/>
                    <w:jc w:val="center"/>
                    <w:rPr>
                      <w:b/>
                      <w:color w:val="000000" w:themeColor="text1"/>
                      <w:sz w:val="21"/>
                      <w:u w:val="single"/>
                      <w14:textFill>
                        <w14:solidFill>
                          <w14:schemeClr w14:val="tx1"/>
                        </w14:solidFill>
                      </w14:textFill>
                    </w:rPr>
                  </w:pPr>
                  <w:r>
                    <w:rPr>
                      <w:rFonts w:hint="eastAsia"/>
                      <w:b/>
                      <w:color w:val="000000" w:themeColor="text1"/>
                      <w:sz w:val="21"/>
                      <w:u w:val="single"/>
                      <w14:textFill>
                        <w14:solidFill>
                          <w14:schemeClr w14:val="tx1"/>
                        </w14:solidFill>
                      </w14:textFill>
                    </w:rPr>
                    <w:t>纬度</w:t>
                  </w:r>
                </w:p>
              </w:tc>
              <w:tc>
                <w:tcPr>
                  <w:tcW w:w="418" w:type="pct"/>
                  <w:vMerge w:val="continue"/>
                  <w:vAlign w:val="center"/>
                </w:tcPr>
                <w:p>
                  <w:pPr>
                    <w:spacing w:line="240" w:lineRule="auto"/>
                    <w:ind w:firstLine="0" w:firstLineChars="0"/>
                    <w:jc w:val="center"/>
                    <w:rPr>
                      <w:bCs/>
                      <w:color w:val="000000" w:themeColor="text1"/>
                      <w:sz w:val="21"/>
                      <w:u w:val="single"/>
                      <w14:textFill>
                        <w14:solidFill>
                          <w14:schemeClr w14:val="tx1"/>
                        </w14:solidFill>
                      </w14:textFill>
                    </w:rPr>
                  </w:pPr>
                </w:p>
              </w:tc>
              <w:tc>
                <w:tcPr>
                  <w:tcW w:w="416" w:type="pct"/>
                  <w:vMerge w:val="continue"/>
                  <w:vAlign w:val="center"/>
                </w:tcPr>
                <w:p>
                  <w:pPr>
                    <w:spacing w:line="240" w:lineRule="auto"/>
                    <w:ind w:firstLine="0" w:firstLineChars="0"/>
                    <w:jc w:val="center"/>
                    <w:rPr>
                      <w:bCs/>
                      <w:color w:val="000000" w:themeColor="text1"/>
                      <w:sz w:val="21"/>
                      <w:u w:val="single"/>
                      <w14:textFill>
                        <w14:solidFill>
                          <w14:schemeClr w14:val="tx1"/>
                        </w14:solidFill>
                      </w14:textFill>
                    </w:rPr>
                  </w:pPr>
                </w:p>
              </w:tc>
              <w:tc>
                <w:tcPr>
                  <w:tcW w:w="680" w:type="pct"/>
                  <w:vMerge w:val="continue"/>
                  <w:vAlign w:val="center"/>
                </w:tcPr>
                <w:p>
                  <w:pPr>
                    <w:spacing w:line="240" w:lineRule="auto"/>
                    <w:ind w:firstLine="0" w:firstLineChars="0"/>
                    <w:jc w:val="center"/>
                    <w:rPr>
                      <w:bCs/>
                      <w:color w:val="000000" w:themeColor="text1"/>
                      <w:sz w:val="21"/>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90" w:type="pct"/>
                  <w:vAlign w:val="center"/>
                </w:tcPr>
                <w:p>
                  <w:pPr>
                    <w:spacing w:line="240" w:lineRule="auto"/>
                    <w:ind w:firstLine="0" w:firstLineChars="0"/>
                    <w:jc w:val="center"/>
                    <w:rPr>
                      <w:bCs/>
                      <w:color w:val="000000" w:themeColor="text1"/>
                      <w:sz w:val="21"/>
                      <w:u w:val="single"/>
                      <w14:textFill>
                        <w14:solidFill>
                          <w14:schemeClr w14:val="tx1"/>
                        </w14:solidFill>
                      </w14:textFill>
                    </w:rPr>
                  </w:pPr>
                  <w:r>
                    <w:rPr>
                      <w:rFonts w:hint="eastAsia"/>
                      <w:bCs/>
                      <w:color w:val="000000" w:themeColor="text1"/>
                      <w:sz w:val="21"/>
                      <w:u w:val="single"/>
                      <w14:textFill>
                        <w14:solidFill>
                          <w14:schemeClr w14:val="tx1"/>
                        </w14:solidFill>
                      </w14:textFill>
                    </w:rPr>
                    <w:t>1</w:t>
                  </w:r>
                </w:p>
              </w:tc>
              <w:tc>
                <w:tcPr>
                  <w:tcW w:w="504" w:type="pct"/>
                  <w:vAlign w:val="center"/>
                </w:tcPr>
                <w:p>
                  <w:pPr>
                    <w:spacing w:line="240" w:lineRule="auto"/>
                    <w:ind w:firstLine="0" w:firstLineChars="0"/>
                    <w:jc w:val="center"/>
                    <w:rPr>
                      <w:bCs/>
                      <w:color w:val="000000" w:themeColor="text1"/>
                      <w:sz w:val="21"/>
                      <w:u w:val="single"/>
                      <w14:textFill>
                        <w14:solidFill>
                          <w14:schemeClr w14:val="tx1"/>
                        </w14:solidFill>
                      </w14:textFill>
                    </w:rPr>
                  </w:pPr>
                  <w:r>
                    <w:rPr>
                      <w:rFonts w:hint="eastAsia"/>
                      <w:bCs/>
                      <w:color w:val="000000" w:themeColor="text1"/>
                      <w:sz w:val="21"/>
                      <w:u w:val="single"/>
                      <w14:textFill>
                        <w14:solidFill>
                          <w14:schemeClr w14:val="tx1"/>
                        </w14:solidFill>
                      </w14:textFill>
                    </w:rPr>
                    <w:t>D</w:t>
                  </w:r>
                  <w:r>
                    <w:rPr>
                      <w:bCs/>
                      <w:color w:val="000000" w:themeColor="text1"/>
                      <w:sz w:val="21"/>
                      <w:u w:val="single"/>
                      <w14:textFill>
                        <w14:solidFill>
                          <w14:schemeClr w14:val="tx1"/>
                        </w14:solidFill>
                      </w14:textFill>
                    </w:rPr>
                    <w:t>A001</w:t>
                  </w:r>
                </w:p>
              </w:tc>
              <w:tc>
                <w:tcPr>
                  <w:tcW w:w="673" w:type="pct"/>
                  <w:vAlign w:val="center"/>
                </w:tcPr>
                <w:p>
                  <w:pPr>
                    <w:spacing w:line="240" w:lineRule="auto"/>
                    <w:ind w:firstLine="0" w:firstLineChars="0"/>
                    <w:jc w:val="center"/>
                    <w:rPr>
                      <w:bCs/>
                      <w:color w:val="000000" w:themeColor="text1"/>
                      <w:sz w:val="21"/>
                      <w:u w:val="single"/>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6</w:t>
                  </w:r>
                  <w:r>
                    <w:rPr>
                      <w:rFonts w:hint="eastAsia"/>
                      <w:bCs/>
                      <w:color w:val="000000" w:themeColor="text1"/>
                      <w:sz w:val="21"/>
                      <w:u w:val="single"/>
                      <w:lang w:eastAsia="zh-CN"/>
                      <w14:textFill>
                        <w14:solidFill>
                          <w14:schemeClr w14:val="tx1"/>
                        </w14:solidFill>
                      </w14:textFill>
                    </w:rPr>
                    <w:t>t</w:t>
                  </w:r>
                  <w:r>
                    <w:rPr>
                      <w:rFonts w:hint="eastAsia"/>
                      <w:bCs/>
                      <w:color w:val="000000" w:themeColor="text1"/>
                      <w:sz w:val="21"/>
                      <w:u w:val="single"/>
                      <w14:textFill>
                        <w14:solidFill>
                          <w14:schemeClr w14:val="tx1"/>
                        </w14:solidFill>
                      </w14:textFill>
                    </w:rPr>
                    <w:t>/h</w:t>
                  </w:r>
                  <w:r>
                    <w:rPr>
                      <w:rFonts w:hint="eastAsia"/>
                      <w:bCs/>
                      <w:color w:val="000000" w:themeColor="text1"/>
                      <w:sz w:val="21"/>
                      <w:u w:val="single"/>
                      <w:lang w:val="en-US" w:eastAsia="zh-CN"/>
                      <w14:textFill>
                        <w14:solidFill>
                          <w14:schemeClr w14:val="tx1"/>
                        </w14:solidFill>
                      </w14:textFill>
                    </w:rPr>
                    <w:t>生物质</w:t>
                  </w:r>
                  <w:r>
                    <w:rPr>
                      <w:rFonts w:hint="eastAsia"/>
                      <w:bCs/>
                      <w:color w:val="000000" w:themeColor="text1"/>
                      <w:sz w:val="21"/>
                      <w:u w:val="single"/>
                      <w14:textFill>
                        <w14:solidFill>
                          <w14:schemeClr w14:val="tx1"/>
                        </w14:solidFill>
                      </w14:textFill>
                    </w:rPr>
                    <w:t>锅炉废气排放口</w:t>
                  </w:r>
                </w:p>
              </w:tc>
              <w:tc>
                <w:tcPr>
                  <w:tcW w:w="724" w:type="pct"/>
                  <w:vAlign w:val="center"/>
                </w:tcPr>
                <w:p>
                  <w:pPr>
                    <w:spacing w:line="240" w:lineRule="auto"/>
                    <w:ind w:firstLine="0" w:firstLineChars="0"/>
                    <w:jc w:val="center"/>
                    <w:rPr>
                      <w:bCs/>
                      <w:color w:val="000000" w:themeColor="text1"/>
                      <w:sz w:val="21"/>
                      <w:u w:val="single"/>
                      <w14:textFill>
                        <w14:solidFill>
                          <w14:schemeClr w14:val="tx1"/>
                        </w14:solidFill>
                      </w14:textFill>
                    </w:rPr>
                  </w:pPr>
                  <w:r>
                    <w:rPr>
                      <w:rFonts w:hint="eastAsia"/>
                      <w:bCs/>
                      <w:color w:val="000000" w:themeColor="text1"/>
                      <w:sz w:val="21"/>
                      <w:u w:val="single"/>
                      <w14:textFill>
                        <w14:solidFill>
                          <w14:schemeClr w14:val="tx1"/>
                        </w14:solidFill>
                      </w14:textFill>
                    </w:rPr>
                    <w:t>颗粒物、氮氧化物、二氧化硫、烟气黑度</w:t>
                  </w:r>
                </w:p>
              </w:tc>
              <w:tc>
                <w:tcPr>
                  <w:tcW w:w="616" w:type="pct"/>
                  <w:vAlign w:val="center"/>
                </w:tcPr>
                <w:p>
                  <w:pPr>
                    <w:spacing w:line="240" w:lineRule="auto"/>
                    <w:ind w:firstLine="0" w:firstLineChars="0"/>
                    <w:jc w:val="center"/>
                    <w:rPr>
                      <w:bCs/>
                      <w:color w:val="000000" w:themeColor="text1"/>
                      <w:sz w:val="21"/>
                      <w:u w:val="single"/>
                      <w14:textFill>
                        <w14:solidFill>
                          <w14:schemeClr w14:val="tx1"/>
                        </w14:solidFill>
                      </w14:textFill>
                    </w:rPr>
                  </w:pPr>
                  <w:r>
                    <w:rPr>
                      <w:rFonts w:hint="eastAsia"/>
                      <w:bCs/>
                      <w:color w:val="000000" w:themeColor="text1"/>
                      <w:sz w:val="21"/>
                      <w:u w:val="single"/>
                      <w14:textFill>
                        <w14:solidFill>
                          <w14:schemeClr w14:val="tx1"/>
                        </w14:solidFill>
                      </w14:textFill>
                    </w:rPr>
                    <w:t>112.763424</w:t>
                  </w:r>
                </w:p>
              </w:tc>
              <w:tc>
                <w:tcPr>
                  <w:tcW w:w="673" w:type="pct"/>
                  <w:vAlign w:val="center"/>
                </w:tcPr>
                <w:p>
                  <w:pPr>
                    <w:spacing w:line="240" w:lineRule="auto"/>
                    <w:ind w:firstLine="0" w:firstLineChars="0"/>
                    <w:jc w:val="center"/>
                    <w:rPr>
                      <w:bCs/>
                      <w:color w:val="000000" w:themeColor="text1"/>
                      <w:sz w:val="21"/>
                      <w:u w:val="single"/>
                      <w14:textFill>
                        <w14:solidFill>
                          <w14:schemeClr w14:val="tx1"/>
                        </w14:solidFill>
                      </w14:textFill>
                    </w:rPr>
                  </w:pPr>
                  <w:r>
                    <w:rPr>
                      <w:rFonts w:hint="eastAsia"/>
                      <w:bCs/>
                      <w:color w:val="000000" w:themeColor="text1"/>
                      <w:sz w:val="21"/>
                      <w:u w:val="single"/>
                      <w14:textFill>
                        <w14:solidFill>
                          <w14:schemeClr w14:val="tx1"/>
                        </w14:solidFill>
                      </w14:textFill>
                    </w:rPr>
                    <w:t>28.725413</w:t>
                  </w:r>
                </w:p>
              </w:tc>
              <w:tc>
                <w:tcPr>
                  <w:tcW w:w="418" w:type="pct"/>
                  <w:vAlign w:val="center"/>
                </w:tcPr>
                <w:p>
                  <w:pPr>
                    <w:spacing w:line="240" w:lineRule="auto"/>
                    <w:ind w:firstLine="0" w:firstLineChars="0"/>
                    <w:jc w:val="center"/>
                    <w:rPr>
                      <w:rFonts w:hint="default" w:eastAsia="宋体"/>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35</w:t>
                  </w:r>
                </w:p>
              </w:tc>
              <w:tc>
                <w:tcPr>
                  <w:tcW w:w="416" w:type="pct"/>
                  <w:vAlign w:val="center"/>
                </w:tcPr>
                <w:p>
                  <w:pPr>
                    <w:spacing w:line="240" w:lineRule="auto"/>
                    <w:ind w:firstLine="0" w:firstLineChars="0"/>
                    <w:jc w:val="center"/>
                    <w:rPr>
                      <w:bCs/>
                      <w:color w:val="000000" w:themeColor="text1"/>
                      <w:sz w:val="21"/>
                      <w:u w:val="single"/>
                      <w14:textFill>
                        <w14:solidFill>
                          <w14:schemeClr w14:val="tx1"/>
                        </w14:solidFill>
                      </w14:textFill>
                    </w:rPr>
                  </w:pPr>
                  <w:r>
                    <w:rPr>
                      <w:rFonts w:hint="eastAsia"/>
                      <w:bCs/>
                      <w:color w:val="000000" w:themeColor="text1"/>
                      <w:sz w:val="21"/>
                      <w:u w:val="single"/>
                      <w14:textFill>
                        <w14:solidFill>
                          <w14:schemeClr w14:val="tx1"/>
                        </w14:solidFill>
                      </w14:textFill>
                    </w:rPr>
                    <w:t>0</w:t>
                  </w:r>
                  <w:r>
                    <w:rPr>
                      <w:bCs/>
                      <w:color w:val="000000" w:themeColor="text1"/>
                      <w:sz w:val="21"/>
                      <w:u w:val="single"/>
                      <w14:textFill>
                        <w14:solidFill>
                          <w14:schemeClr w14:val="tx1"/>
                        </w14:solidFill>
                      </w14:textFill>
                    </w:rPr>
                    <w:t>.3</w:t>
                  </w:r>
                </w:p>
              </w:tc>
              <w:tc>
                <w:tcPr>
                  <w:tcW w:w="680" w:type="pct"/>
                  <w:vAlign w:val="center"/>
                </w:tcPr>
                <w:p>
                  <w:pPr>
                    <w:spacing w:line="240" w:lineRule="auto"/>
                    <w:ind w:firstLine="0" w:firstLineChars="0"/>
                    <w:jc w:val="center"/>
                    <w:rPr>
                      <w:bCs/>
                      <w:color w:val="000000" w:themeColor="text1"/>
                      <w:sz w:val="21"/>
                      <w:u w:val="single"/>
                      <w14:textFill>
                        <w14:solidFill>
                          <w14:schemeClr w14:val="tx1"/>
                        </w14:solidFill>
                      </w14:textFill>
                    </w:rPr>
                  </w:pPr>
                  <w:r>
                    <w:rPr>
                      <w:rFonts w:hint="eastAsia"/>
                      <w:bCs/>
                      <w:color w:val="000000" w:themeColor="text1"/>
                      <w:sz w:val="21"/>
                      <w:u w:val="single"/>
                      <w14:textFill>
                        <w14:solidFill>
                          <w14:schemeClr w14:val="tx1"/>
                        </w14:solidFill>
                      </w14:textFill>
                    </w:rPr>
                    <w:t>一般排放口</w:t>
                  </w:r>
                </w:p>
              </w:tc>
            </w:tr>
          </w:tbl>
          <w:p>
            <w:pPr>
              <w:ind w:firstLine="482"/>
              <w:rPr>
                <w:b/>
                <w:bCs/>
                <w:u w:val="single"/>
              </w:rPr>
            </w:pPr>
            <w:r>
              <w:rPr>
                <w:rFonts w:hint="eastAsia"/>
                <w:b/>
                <w:bCs/>
                <w:u w:val="single"/>
              </w:rPr>
              <w:t>1.3废气治理可行性分析</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1</w:t>
            </w:r>
            <w:r>
              <w:rPr>
                <w:rFonts w:hint="eastAsia" w:ascii="宋体" w:hAnsi="宋体" w:eastAsia="宋体" w:cs="宋体"/>
                <w:color w:val="000000"/>
                <w:kern w:val="0"/>
                <w:sz w:val="24"/>
                <w:szCs w:val="24"/>
                <w:u w:val="single"/>
                <w:lang w:val="en-US" w:eastAsia="zh-CN" w:bidi="ar"/>
              </w:rPr>
              <w:t xml:space="preserve">）排气筒高度设置的合理性 </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根据《锅炉大气污染物排放标准》（</w:t>
            </w:r>
            <w:r>
              <w:rPr>
                <w:rFonts w:hint="default" w:ascii="Times New Roman" w:hAnsi="Times New Roman" w:eastAsia="宋体" w:cs="Times New Roman"/>
                <w:color w:val="000000"/>
                <w:kern w:val="0"/>
                <w:sz w:val="24"/>
                <w:szCs w:val="24"/>
                <w:u w:val="single"/>
                <w:lang w:val="en-US" w:eastAsia="zh-CN" w:bidi="ar"/>
              </w:rPr>
              <w:t>GB13271-2014</w:t>
            </w:r>
            <w:r>
              <w:rPr>
                <w:rFonts w:hint="eastAsia" w:ascii="宋体" w:hAnsi="宋体" w:eastAsia="宋体" w:cs="宋体"/>
                <w:color w:val="000000"/>
                <w:kern w:val="0"/>
                <w:sz w:val="24"/>
                <w:szCs w:val="24"/>
                <w:u w:val="single"/>
                <w:lang w:val="en-US" w:eastAsia="zh-CN" w:bidi="ar"/>
              </w:rPr>
              <w:t>）</w:t>
            </w:r>
            <w:r>
              <w:rPr>
                <w:rFonts w:hint="eastAsia" w:ascii="宋体" w:hAnsi="宋体" w:cs="宋体"/>
                <w:color w:val="000000"/>
                <w:kern w:val="0"/>
                <w:sz w:val="24"/>
                <w:szCs w:val="24"/>
                <w:u w:val="single"/>
                <w:lang w:val="en-US" w:eastAsia="zh-CN" w:bidi="ar"/>
              </w:rPr>
              <w:t>中对生物质锅炉的排放控制要求：</w:t>
            </w:r>
            <w:r>
              <w:rPr>
                <w:rFonts w:hint="eastAsia" w:ascii="宋体" w:hAnsi="宋体" w:eastAsia="宋体" w:cs="宋体"/>
                <w:color w:val="000000"/>
                <w:kern w:val="0"/>
                <w:sz w:val="24"/>
                <w:szCs w:val="24"/>
                <w:u w:val="single"/>
                <w:lang w:val="en-US" w:eastAsia="zh-CN" w:bidi="ar"/>
              </w:rPr>
              <w:t>使用生物质成型燃料等的锅炉，参照本标准中燃煤锅炉排放控制要求执行。</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cs="宋体"/>
                <w:color w:val="000000"/>
                <w:kern w:val="0"/>
                <w:sz w:val="24"/>
                <w:szCs w:val="24"/>
                <w:u w:val="single"/>
                <w:lang w:val="en-US" w:eastAsia="zh-CN" w:bidi="ar"/>
              </w:rPr>
              <w:t>《标准》</w:t>
            </w:r>
            <w:r>
              <w:rPr>
                <w:rFonts w:hint="eastAsia" w:ascii="宋体" w:hAnsi="宋体" w:eastAsia="宋体" w:cs="宋体"/>
                <w:color w:val="000000"/>
                <w:kern w:val="0"/>
                <w:sz w:val="24"/>
                <w:szCs w:val="24"/>
                <w:u w:val="single"/>
                <w:lang w:val="en-US" w:eastAsia="zh-CN" w:bidi="ar"/>
              </w:rPr>
              <w:t>中关于排气筒高度的规定：每个新建燃煤锅炉房只能设一根烟囱，烟囱高度应根据锅炉房装机总容量，按表</w:t>
            </w:r>
            <w:r>
              <w:rPr>
                <w:rFonts w:hint="default" w:ascii="Times New Roman" w:hAnsi="Times New Roman" w:eastAsia="宋体" w:cs="Times New Roman"/>
                <w:color w:val="000000"/>
                <w:kern w:val="0"/>
                <w:sz w:val="24"/>
                <w:szCs w:val="24"/>
                <w:u w:val="single"/>
                <w:lang w:val="en-US" w:eastAsia="zh-CN" w:bidi="ar"/>
              </w:rPr>
              <w:t>4</w:t>
            </w:r>
            <w:r>
              <w:rPr>
                <w:rFonts w:hint="eastAsia" w:ascii="宋体" w:hAnsi="宋体" w:eastAsia="宋体" w:cs="宋体"/>
                <w:color w:val="000000"/>
                <w:kern w:val="0"/>
                <w:sz w:val="24"/>
                <w:szCs w:val="24"/>
                <w:u w:val="single"/>
                <w:lang w:val="en-US" w:eastAsia="zh-CN" w:bidi="ar"/>
              </w:rPr>
              <w:t>规定执行，燃油、燃气锅炉烟囱不低于</w:t>
            </w:r>
            <w:r>
              <w:rPr>
                <w:rFonts w:hint="default" w:ascii="Times New Roman" w:hAnsi="Times New Roman" w:eastAsia="宋体" w:cs="Times New Roman"/>
                <w:color w:val="000000"/>
                <w:kern w:val="0"/>
                <w:sz w:val="24"/>
                <w:szCs w:val="24"/>
                <w:u w:val="single"/>
                <w:lang w:val="en-US" w:eastAsia="zh-CN" w:bidi="ar"/>
              </w:rPr>
              <w:t>8</w:t>
            </w:r>
            <w:r>
              <w:rPr>
                <w:rFonts w:hint="eastAsia" w:ascii="宋体" w:hAnsi="宋体" w:eastAsia="宋体" w:cs="宋体"/>
                <w:color w:val="000000"/>
                <w:kern w:val="0"/>
                <w:sz w:val="24"/>
                <w:szCs w:val="24"/>
                <w:u w:val="single"/>
                <w:lang w:val="en-US" w:eastAsia="zh-CN" w:bidi="ar"/>
              </w:rPr>
              <w:t>米，锅炉烟囱的具体高度按批复的环境影响评价文件确定。新建锅炉房的烟囱周围半径</w:t>
            </w:r>
            <w:r>
              <w:rPr>
                <w:rFonts w:hint="default" w:ascii="Times New Roman" w:hAnsi="Times New Roman" w:eastAsia="宋体" w:cs="Times New Roman"/>
                <w:color w:val="000000"/>
                <w:kern w:val="0"/>
                <w:sz w:val="24"/>
                <w:szCs w:val="24"/>
                <w:u w:val="single"/>
                <w:lang w:val="en-US" w:eastAsia="zh-CN" w:bidi="ar"/>
              </w:rPr>
              <w:t>200m</w:t>
            </w:r>
            <w:r>
              <w:rPr>
                <w:rFonts w:hint="eastAsia" w:ascii="宋体" w:hAnsi="宋体" w:eastAsia="宋体" w:cs="宋体"/>
                <w:color w:val="000000"/>
                <w:kern w:val="0"/>
                <w:sz w:val="24"/>
                <w:szCs w:val="24"/>
                <w:u w:val="single"/>
                <w:lang w:val="en-US" w:eastAsia="zh-CN" w:bidi="ar"/>
              </w:rPr>
              <w:t>距离内有建筑物时，其烟囱应高出最高建筑物</w:t>
            </w:r>
            <w:r>
              <w:rPr>
                <w:rFonts w:hint="default" w:ascii="Times New Roman" w:hAnsi="Times New Roman" w:eastAsia="宋体" w:cs="Times New Roman"/>
                <w:color w:val="000000"/>
                <w:kern w:val="0"/>
                <w:sz w:val="24"/>
                <w:szCs w:val="24"/>
                <w:u w:val="single"/>
                <w:lang w:val="en-US" w:eastAsia="zh-CN" w:bidi="ar"/>
              </w:rPr>
              <w:t>3m</w:t>
            </w:r>
            <w:r>
              <w:rPr>
                <w:rFonts w:hint="eastAsia" w:ascii="宋体" w:hAnsi="宋体" w:eastAsia="宋体" w:cs="宋体"/>
                <w:color w:val="000000"/>
                <w:kern w:val="0"/>
                <w:sz w:val="24"/>
                <w:szCs w:val="24"/>
                <w:u w:val="single"/>
                <w:lang w:val="en-US" w:eastAsia="zh-CN" w:bidi="ar"/>
              </w:rPr>
              <w:t>以上。本项目锅炉为</w:t>
            </w:r>
            <w:r>
              <w:rPr>
                <w:rFonts w:hint="eastAsia" w:cs="Times New Roman"/>
                <w:color w:val="000000"/>
                <w:kern w:val="0"/>
                <w:sz w:val="24"/>
                <w:szCs w:val="24"/>
                <w:u w:val="single"/>
                <w:lang w:val="en-US" w:eastAsia="zh-CN" w:bidi="ar"/>
              </w:rPr>
              <w:t>6t/h</w:t>
            </w:r>
            <w:r>
              <w:rPr>
                <w:rFonts w:hint="eastAsia" w:ascii="宋体" w:hAnsi="宋体" w:eastAsia="宋体" w:cs="宋体"/>
                <w:color w:val="000000"/>
                <w:kern w:val="0"/>
                <w:sz w:val="24"/>
                <w:szCs w:val="24"/>
                <w:u w:val="single"/>
                <w:lang w:val="en-US" w:eastAsia="zh-CN" w:bidi="ar"/>
              </w:rPr>
              <w:t>的生物质锅炉，根据表</w:t>
            </w:r>
            <w:r>
              <w:rPr>
                <w:rFonts w:hint="default" w:ascii="Times New Roman" w:hAnsi="Times New Roman" w:eastAsia="宋体" w:cs="Times New Roman"/>
                <w:color w:val="000000"/>
                <w:kern w:val="0"/>
                <w:sz w:val="24"/>
                <w:szCs w:val="24"/>
                <w:u w:val="single"/>
                <w:lang w:val="en-US" w:eastAsia="zh-CN" w:bidi="ar"/>
              </w:rPr>
              <w:t>4</w:t>
            </w:r>
            <w:r>
              <w:rPr>
                <w:rFonts w:hint="eastAsia" w:ascii="宋体" w:hAnsi="宋体" w:eastAsia="宋体" w:cs="宋体"/>
                <w:color w:val="000000"/>
                <w:kern w:val="0"/>
                <w:sz w:val="24"/>
                <w:szCs w:val="24"/>
                <w:u w:val="single"/>
                <w:lang w:val="en-US" w:eastAsia="zh-CN" w:bidi="ar"/>
              </w:rPr>
              <w:t>规定，最低允许高度为</w:t>
            </w:r>
            <w:r>
              <w:rPr>
                <w:rFonts w:hint="default" w:ascii="Times New Roman" w:hAnsi="Times New Roman" w:eastAsia="宋体" w:cs="Times New Roman"/>
                <w:color w:val="000000"/>
                <w:kern w:val="0"/>
                <w:sz w:val="24"/>
                <w:szCs w:val="24"/>
                <w:u w:val="single"/>
                <w:lang w:val="en-US" w:eastAsia="zh-CN" w:bidi="ar"/>
              </w:rPr>
              <w:t>35m</w:t>
            </w:r>
            <w:r>
              <w:rPr>
                <w:rFonts w:hint="eastAsia" w:ascii="宋体" w:hAnsi="宋体" w:eastAsia="宋体" w:cs="宋体"/>
                <w:color w:val="000000"/>
                <w:kern w:val="0"/>
                <w:sz w:val="24"/>
                <w:szCs w:val="24"/>
                <w:u w:val="single"/>
                <w:lang w:val="en-US" w:eastAsia="zh-CN" w:bidi="ar"/>
              </w:rPr>
              <w:t>，根据现场勘查，周边</w:t>
            </w:r>
            <w:r>
              <w:rPr>
                <w:rFonts w:hint="default" w:ascii="Times New Roman" w:hAnsi="Times New Roman" w:eastAsia="宋体" w:cs="Times New Roman"/>
                <w:color w:val="000000"/>
                <w:kern w:val="0"/>
                <w:sz w:val="24"/>
                <w:szCs w:val="24"/>
                <w:u w:val="single"/>
                <w:lang w:val="en-US" w:eastAsia="zh-CN" w:bidi="ar"/>
              </w:rPr>
              <w:t>200m</w:t>
            </w:r>
            <w:r>
              <w:rPr>
                <w:rFonts w:hint="eastAsia" w:ascii="宋体" w:hAnsi="宋体" w:eastAsia="宋体" w:cs="宋体"/>
                <w:color w:val="000000"/>
                <w:kern w:val="0"/>
                <w:sz w:val="24"/>
                <w:szCs w:val="24"/>
                <w:u w:val="single"/>
                <w:lang w:val="en-US" w:eastAsia="zh-CN" w:bidi="ar"/>
              </w:rPr>
              <w:t>最高建筑物高度为</w:t>
            </w:r>
            <w:r>
              <w:rPr>
                <w:rFonts w:hint="eastAsia" w:ascii="Times New Roman" w:hAnsi="Times New Roman" w:eastAsia="宋体" w:cs="Times New Roman"/>
                <w:color w:val="000000"/>
                <w:kern w:val="0"/>
                <w:sz w:val="24"/>
                <w:szCs w:val="24"/>
                <w:u w:val="single"/>
                <w:lang w:val="en-US" w:eastAsia="zh-CN" w:bidi="ar"/>
              </w:rPr>
              <w:t>22m</w:t>
            </w:r>
            <w:r>
              <w:rPr>
                <w:rFonts w:hint="eastAsia" w:ascii="宋体" w:hAnsi="宋体" w:eastAsia="宋体" w:cs="宋体"/>
                <w:color w:val="000000"/>
                <w:kern w:val="0"/>
                <w:sz w:val="24"/>
                <w:szCs w:val="24"/>
                <w:u w:val="single"/>
                <w:lang w:val="en-US" w:eastAsia="zh-CN" w:bidi="ar"/>
              </w:rPr>
              <w:t>。同时《标准》对最低允许高度要求如下：</w:t>
            </w:r>
          </w:p>
          <w:p>
            <w:pPr>
              <w:spacing w:line="240" w:lineRule="auto"/>
              <w:ind w:firstLine="0" w:firstLineChars="0"/>
              <w:jc w:val="center"/>
              <w:rPr>
                <w:b/>
                <w:kern w:val="0"/>
                <w:sz w:val="21"/>
                <w:u w:val="single"/>
              </w:rPr>
            </w:pPr>
            <w:r>
              <w:rPr>
                <w:rFonts w:hint="eastAsia"/>
                <w:b/>
                <w:kern w:val="0"/>
                <w:sz w:val="21"/>
                <w:u w:val="single"/>
                <w:lang w:val="en-US" w:eastAsia="zh-CN"/>
              </w:rPr>
              <w:t xml:space="preserve">表 </w:t>
            </w:r>
            <w:r>
              <w:rPr>
                <w:rFonts w:hint="default"/>
                <w:b/>
                <w:kern w:val="0"/>
                <w:sz w:val="21"/>
                <w:u w:val="single"/>
                <w:lang w:val="en-US" w:eastAsia="zh-CN"/>
              </w:rPr>
              <w:t>4-</w:t>
            </w:r>
            <w:r>
              <w:rPr>
                <w:rFonts w:hint="eastAsia"/>
                <w:b/>
                <w:kern w:val="0"/>
                <w:sz w:val="21"/>
                <w:u w:val="single"/>
                <w:lang w:val="en-US" w:eastAsia="zh-CN"/>
              </w:rPr>
              <w:t>13</w:t>
            </w:r>
            <w:r>
              <w:rPr>
                <w:rFonts w:hint="default"/>
                <w:b/>
                <w:kern w:val="0"/>
                <w:sz w:val="21"/>
                <w:u w:val="single"/>
                <w:lang w:val="en-US" w:eastAsia="zh-CN"/>
              </w:rPr>
              <w:t xml:space="preserve"> </w:t>
            </w:r>
            <w:r>
              <w:rPr>
                <w:rFonts w:hint="eastAsia"/>
                <w:b/>
                <w:kern w:val="0"/>
                <w:sz w:val="21"/>
                <w:u w:val="single"/>
                <w:lang w:val="en-US" w:eastAsia="zh-CN"/>
              </w:rPr>
              <w:t>燃煤锅炉房烟囱最低允许高度</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1124"/>
              <w:gridCol w:w="1124"/>
              <w:gridCol w:w="1124"/>
              <w:gridCol w:w="1124"/>
              <w:gridCol w:w="1124"/>
              <w:gridCol w:w="1124"/>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vMerge w:val="restart"/>
                  <w:vAlign w:val="center"/>
                </w:tcPr>
                <w:p>
                  <w:pPr>
                    <w:spacing w:line="240" w:lineRule="auto"/>
                    <w:ind w:firstLine="0" w:firstLineChars="0"/>
                    <w:jc w:val="center"/>
                    <w:rPr>
                      <w:rFonts w:hint="default" w:eastAsia="宋体"/>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锅炉房装机总容量</w:t>
                  </w:r>
                </w:p>
              </w:tc>
              <w:tc>
                <w:tcPr>
                  <w:tcW w:w="625" w:type="pct"/>
                  <w:vAlign w:val="center"/>
                </w:tcPr>
                <w:p>
                  <w:pPr>
                    <w:spacing w:line="240" w:lineRule="auto"/>
                    <w:ind w:firstLine="0" w:firstLineChars="0"/>
                    <w:jc w:val="center"/>
                    <w:rPr>
                      <w:rFonts w:hint="default" w:eastAsia="宋体"/>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MW</w:t>
                  </w:r>
                </w:p>
              </w:tc>
              <w:tc>
                <w:tcPr>
                  <w:tcW w:w="625" w:type="pct"/>
                  <w:vAlign w:val="center"/>
                </w:tcPr>
                <w:p>
                  <w:pPr>
                    <w:spacing w:line="240" w:lineRule="auto"/>
                    <w:ind w:firstLine="0" w:firstLineChars="0"/>
                    <w:jc w:val="center"/>
                    <w:rPr>
                      <w:rFonts w:hint="default"/>
                      <w:bCs/>
                      <w:color w:val="000000" w:themeColor="text1"/>
                      <w:sz w:val="21"/>
                      <w:u w:val="single"/>
                      <w:lang w:val="en-US"/>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&lt;0.7</w:t>
                  </w:r>
                </w:p>
              </w:tc>
              <w:tc>
                <w:tcPr>
                  <w:tcW w:w="625" w:type="pct"/>
                  <w:vAlign w:val="center"/>
                </w:tcPr>
                <w:p>
                  <w:pPr>
                    <w:spacing w:line="240" w:lineRule="auto"/>
                    <w:ind w:firstLine="0" w:firstLineChars="0"/>
                    <w:jc w:val="center"/>
                    <w:rPr>
                      <w:rFonts w:hint="default"/>
                      <w:bCs/>
                      <w:color w:val="000000" w:themeColor="text1"/>
                      <w:sz w:val="21"/>
                      <w:u w:val="single"/>
                      <w:lang w:val="en-US"/>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0.7~&lt;1.4</w:t>
                  </w:r>
                </w:p>
              </w:tc>
              <w:tc>
                <w:tcPr>
                  <w:tcW w:w="625" w:type="pct"/>
                  <w:vAlign w:val="center"/>
                </w:tcPr>
                <w:p>
                  <w:pPr>
                    <w:spacing w:line="240" w:lineRule="auto"/>
                    <w:ind w:firstLine="0" w:firstLineChars="0"/>
                    <w:jc w:val="center"/>
                    <w:rPr>
                      <w:rFonts w:hint="default"/>
                      <w:bCs/>
                      <w:color w:val="000000" w:themeColor="text1"/>
                      <w:sz w:val="21"/>
                      <w:u w:val="single"/>
                      <w:lang w:val="en-US"/>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1.4~&lt;</w:t>
                  </w:r>
                  <w:r>
                    <w:rPr>
                      <w:rFonts w:hint="default"/>
                      <w:bCs/>
                      <w:color w:val="000000" w:themeColor="text1"/>
                      <w:sz w:val="21"/>
                      <w:u w:val="single"/>
                      <w:lang w:val="en-US" w:eastAsia="zh-CN"/>
                      <w14:textFill>
                        <w14:solidFill>
                          <w14:schemeClr w14:val="tx1"/>
                        </w14:solidFill>
                      </w14:textFill>
                    </w:rPr>
                    <w:t>2</w:t>
                  </w:r>
                  <w:r>
                    <w:rPr>
                      <w:rFonts w:hint="eastAsia"/>
                      <w:bCs/>
                      <w:color w:val="000000" w:themeColor="text1"/>
                      <w:sz w:val="21"/>
                      <w:u w:val="single"/>
                      <w:lang w:val="en-US" w:eastAsia="zh-CN"/>
                      <w14:textFill>
                        <w14:solidFill>
                          <w14:schemeClr w14:val="tx1"/>
                        </w14:solidFill>
                      </w14:textFill>
                    </w:rPr>
                    <w:t>.8</w:t>
                  </w:r>
                </w:p>
              </w:tc>
              <w:tc>
                <w:tcPr>
                  <w:tcW w:w="625" w:type="pct"/>
                  <w:vAlign w:val="center"/>
                </w:tcPr>
                <w:p>
                  <w:pPr>
                    <w:spacing w:line="240" w:lineRule="auto"/>
                    <w:ind w:firstLine="0" w:firstLineChars="0"/>
                    <w:jc w:val="center"/>
                    <w:rPr>
                      <w:rFonts w:hint="default"/>
                      <w:bCs/>
                      <w:color w:val="000000" w:themeColor="text1"/>
                      <w:sz w:val="21"/>
                      <w:u w:val="single"/>
                      <w:lang w:val="en-US"/>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2.8~&lt;7</w:t>
                  </w:r>
                </w:p>
              </w:tc>
              <w:tc>
                <w:tcPr>
                  <w:tcW w:w="625" w:type="pct"/>
                  <w:vAlign w:val="center"/>
                </w:tcPr>
                <w:p>
                  <w:pPr>
                    <w:spacing w:line="240" w:lineRule="auto"/>
                    <w:ind w:firstLine="0" w:firstLineChars="0"/>
                    <w:jc w:val="center"/>
                    <w:rPr>
                      <w:rFonts w:hint="default"/>
                      <w:bCs/>
                      <w:color w:val="000000" w:themeColor="text1"/>
                      <w:sz w:val="21"/>
                      <w:u w:val="single"/>
                      <w:lang w:val="en-US"/>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7~&lt;14</w:t>
                  </w:r>
                </w:p>
              </w:tc>
              <w:tc>
                <w:tcPr>
                  <w:tcW w:w="625" w:type="pct"/>
                  <w:vAlign w:val="center"/>
                </w:tcPr>
                <w:p>
                  <w:pPr>
                    <w:spacing w:line="240" w:lineRule="auto"/>
                    <w:ind w:firstLine="0" w:firstLineChars="0"/>
                    <w:jc w:val="center"/>
                    <w:rPr>
                      <w:rFonts w:hint="default"/>
                      <w:bCs/>
                      <w:color w:val="000000" w:themeColor="text1"/>
                      <w:sz w:val="21"/>
                      <w:u w:val="single"/>
                      <w:lang w:val="en-US"/>
                      <w14:textFill>
                        <w14:solidFill>
                          <w14:schemeClr w14:val="tx1"/>
                        </w14:solidFill>
                      </w14:textFill>
                    </w:rPr>
                  </w:pPr>
                  <w:r>
                    <w:rPr>
                      <w:rFonts w:hint="eastAsia" w:ascii="宋体" w:hAnsi="宋体" w:eastAsia="宋体" w:cs="宋体"/>
                      <w:bCs/>
                      <w:color w:val="000000" w:themeColor="text1"/>
                      <w:sz w:val="21"/>
                      <w:u w:val="single"/>
                      <w14:textFill>
                        <w14:solidFill>
                          <w14:schemeClr w14:val="tx1"/>
                        </w14:solidFill>
                      </w14:textFill>
                    </w:rPr>
                    <w:t>≥</w:t>
                  </w:r>
                  <w:r>
                    <w:rPr>
                      <w:rFonts w:hint="eastAsia" w:ascii="宋体" w:hAnsi="宋体" w:cs="宋体"/>
                      <w:bCs/>
                      <w:color w:val="000000" w:themeColor="text1"/>
                      <w:sz w:val="21"/>
                      <w:u w:val="single"/>
                      <w:lang w:val="en-US" w:eastAsia="zh-CN"/>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vMerge w:val="continue"/>
                  <w:vAlign w:val="center"/>
                </w:tcPr>
                <w:p>
                  <w:pPr>
                    <w:spacing w:line="240" w:lineRule="auto"/>
                    <w:ind w:firstLine="0" w:firstLineChars="0"/>
                    <w:jc w:val="center"/>
                    <w:rPr>
                      <w:rFonts w:hint="eastAsia"/>
                      <w:bCs/>
                      <w:color w:val="000000" w:themeColor="text1"/>
                      <w:sz w:val="21"/>
                      <w:u w:val="single"/>
                      <w14:textFill>
                        <w14:solidFill>
                          <w14:schemeClr w14:val="tx1"/>
                        </w14:solidFill>
                      </w14:textFill>
                    </w:rPr>
                  </w:pPr>
                </w:p>
              </w:tc>
              <w:tc>
                <w:tcPr>
                  <w:tcW w:w="625" w:type="pct"/>
                  <w:vAlign w:val="center"/>
                </w:tcPr>
                <w:p>
                  <w:pPr>
                    <w:spacing w:line="240" w:lineRule="auto"/>
                    <w:ind w:firstLine="0" w:firstLineChars="0"/>
                    <w:jc w:val="center"/>
                    <w:rPr>
                      <w:rFonts w:hint="default"/>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t/h</w:t>
                  </w:r>
                </w:p>
              </w:tc>
              <w:tc>
                <w:tcPr>
                  <w:tcW w:w="625" w:type="pct"/>
                  <w:vAlign w:val="center"/>
                </w:tcPr>
                <w:p>
                  <w:pPr>
                    <w:spacing w:line="240" w:lineRule="auto"/>
                    <w:ind w:firstLine="0" w:firstLineChars="0"/>
                    <w:jc w:val="center"/>
                    <w:rPr>
                      <w:rFonts w:hint="eastAsia"/>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&lt;1</w:t>
                  </w:r>
                </w:p>
              </w:tc>
              <w:tc>
                <w:tcPr>
                  <w:tcW w:w="625" w:type="pct"/>
                  <w:vAlign w:val="center"/>
                </w:tcPr>
                <w:p>
                  <w:pPr>
                    <w:spacing w:line="240" w:lineRule="auto"/>
                    <w:ind w:firstLine="0" w:firstLineChars="0"/>
                    <w:jc w:val="center"/>
                    <w:rPr>
                      <w:rFonts w:hint="eastAsia"/>
                      <w:bCs/>
                      <w:color w:val="000000" w:themeColor="text1"/>
                      <w:sz w:val="21"/>
                      <w:u w:val="single"/>
                      <w:lang w:val="en-US" w:eastAsia="zh-CN"/>
                      <w14:textFill>
                        <w14:solidFill>
                          <w14:schemeClr w14:val="tx1"/>
                        </w14:solidFill>
                      </w14:textFill>
                    </w:rPr>
                  </w:pPr>
                  <w:r>
                    <w:rPr>
                      <w:rFonts w:hint="default"/>
                      <w:bCs/>
                      <w:color w:val="000000" w:themeColor="text1"/>
                      <w:sz w:val="21"/>
                      <w:u w:val="single"/>
                      <w:lang w:val="en-US" w:eastAsia="zh-CN"/>
                      <w14:textFill>
                        <w14:solidFill>
                          <w14:schemeClr w14:val="tx1"/>
                        </w14:solidFill>
                      </w14:textFill>
                    </w:rPr>
                    <w:t>1</w:t>
                  </w:r>
                  <w:r>
                    <w:rPr>
                      <w:rFonts w:hint="eastAsia"/>
                      <w:bCs/>
                      <w:color w:val="000000" w:themeColor="text1"/>
                      <w:sz w:val="21"/>
                      <w:u w:val="single"/>
                      <w:lang w:val="en-US" w:eastAsia="zh-CN"/>
                      <w14:textFill>
                        <w14:solidFill>
                          <w14:schemeClr w14:val="tx1"/>
                        </w14:solidFill>
                      </w14:textFill>
                    </w:rPr>
                    <w:t>~&lt;</w:t>
                  </w:r>
                  <w:r>
                    <w:rPr>
                      <w:rFonts w:hint="default"/>
                      <w:bCs/>
                      <w:color w:val="000000" w:themeColor="text1"/>
                      <w:sz w:val="21"/>
                      <w:u w:val="single"/>
                      <w:lang w:val="en-US" w:eastAsia="zh-CN"/>
                      <w14:textFill>
                        <w14:solidFill>
                          <w14:schemeClr w14:val="tx1"/>
                        </w14:solidFill>
                      </w14:textFill>
                    </w:rPr>
                    <w:t>2</w:t>
                  </w:r>
                </w:p>
              </w:tc>
              <w:tc>
                <w:tcPr>
                  <w:tcW w:w="625" w:type="pct"/>
                  <w:vAlign w:val="center"/>
                </w:tcPr>
                <w:p>
                  <w:pPr>
                    <w:spacing w:line="240" w:lineRule="auto"/>
                    <w:ind w:firstLine="0" w:firstLineChars="0"/>
                    <w:jc w:val="center"/>
                    <w:rPr>
                      <w:rFonts w:hint="eastAsia"/>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2~&lt;4</w:t>
                  </w:r>
                </w:p>
              </w:tc>
              <w:tc>
                <w:tcPr>
                  <w:tcW w:w="625" w:type="pct"/>
                  <w:vAlign w:val="center"/>
                </w:tcPr>
                <w:p>
                  <w:pPr>
                    <w:spacing w:line="240" w:lineRule="auto"/>
                    <w:ind w:firstLine="0" w:firstLineChars="0"/>
                    <w:jc w:val="center"/>
                    <w:rPr>
                      <w:rFonts w:hint="default"/>
                      <w:bCs/>
                      <w:color w:val="000000" w:themeColor="text1"/>
                      <w:sz w:val="21"/>
                      <w:u w:val="single"/>
                      <w:lang w:val="en-US"/>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4~&lt;10</w:t>
                  </w:r>
                </w:p>
              </w:tc>
              <w:tc>
                <w:tcPr>
                  <w:tcW w:w="625" w:type="pct"/>
                  <w:vAlign w:val="center"/>
                </w:tcPr>
                <w:p>
                  <w:pPr>
                    <w:spacing w:line="240" w:lineRule="auto"/>
                    <w:ind w:firstLine="0" w:firstLineChars="0"/>
                    <w:jc w:val="center"/>
                    <w:rPr>
                      <w:rFonts w:hint="default"/>
                      <w:bCs/>
                      <w:color w:val="000000" w:themeColor="text1"/>
                      <w:sz w:val="21"/>
                      <w:u w:val="single"/>
                      <w:lang w:val="en-US"/>
                      <w14:textFill>
                        <w14:solidFill>
                          <w14:schemeClr w14:val="tx1"/>
                        </w14:solidFill>
                      </w14:textFill>
                    </w:rPr>
                  </w:pPr>
                  <w:r>
                    <w:rPr>
                      <w:rFonts w:hint="default"/>
                      <w:bCs/>
                      <w:color w:val="000000" w:themeColor="text1"/>
                      <w:sz w:val="21"/>
                      <w:u w:val="single"/>
                      <w:lang w:val="en-US" w:eastAsia="zh-CN"/>
                      <w14:textFill>
                        <w14:solidFill>
                          <w14:schemeClr w14:val="tx1"/>
                        </w14:solidFill>
                      </w14:textFill>
                    </w:rPr>
                    <w:t>1</w:t>
                  </w:r>
                  <w:r>
                    <w:rPr>
                      <w:rFonts w:hint="eastAsia"/>
                      <w:bCs/>
                      <w:color w:val="000000" w:themeColor="text1"/>
                      <w:sz w:val="21"/>
                      <w:u w:val="single"/>
                      <w:lang w:val="en-US" w:eastAsia="zh-CN"/>
                      <w14:textFill>
                        <w14:solidFill>
                          <w14:schemeClr w14:val="tx1"/>
                        </w14:solidFill>
                      </w14:textFill>
                    </w:rPr>
                    <w:t>0~&lt;</w:t>
                  </w:r>
                  <w:r>
                    <w:rPr>
                      <w:rFonts w:hint="default"/>
                      <w:bCs/>
                      <w:color w:val="000000" w:themeColor="text1"/>
                      <w:sz w:val="21"/>
                      <w:u w:val="single"/>
                      <w:lang w:val="en-US" w:eastAsia="zh-CN"/>
                      <w14:textFill>
                        <w14:solidFill>
                          <w14:schemeClr w14:val="tx1"/>
                        </w14:solidFill>
                      </w14:textFill>
                    </w:rPr>
                    <w:t>2</w:t>
                  </w:r>
                  <w:r>
                    <w:rPr>
                      <w:rFonts w:hint="eastAsia"/>
                      <w:bCs/>
                      <w:color w:val="000000" w:themeColor="text1"/>
                      <w:sz w:val="21"/>
                      <w:u w:val="single"/>
                      <w:lang w:val="en-US" w:eastAsia="zh-CN"/>
                      <w14:textFill>
                        <w14:solidFill>
                          <w14:schemeClr w14:val="tx1"/>
                        </w14:solidFill>
                      </w14:textFill>
                    </w:rPr>
                    <w:t>0</w:t>
                  </w:r>
                </w:p>
              </w:tc>
              <w:tc>
                <w:tcPr>
                  <w:tcW w:w="625" w:type="pct"/>
                  <w:vAlign w:val="center"/>
                </w:tcPr>
                <w:p>
                  <w:pPr>
                    <w:spacing w:line="240" w:lineRule="auto"/>
                    <w:ind w:firstLine="0" w:firstLineChars="0"/>
                    <w:jc w:val="center"/>
                    <w:rPr>
                      <w:rFonts w:hint="default" w:ascii="宋体" w:hAnsi="宋体" w:eastAsia="宋体" w:cs="宋体"/>
                      <w:bCs/>
                      <w:color w:val="000000" w:themeColor="text1"/>
                      <w:sz w:val="21"/>
                      <w:u w:val="single"/>
                      <w:lang w:val="en-US" w:eastAsia="zh-CN"/>
                      <w14:textFill>
                        <w14:solidFill>
                          <w14:schemeClr w14:val="tx1"/>
                        </w14:solidFill>
                      </w14:textFill>
                    </w:rPr>
                  </w:pPr>
                  <w:r>
                    <w:rPr>
                      <w:rFonts w:hint="eastAsia" w:ascii="宋体" w:hAnsi="宋体" w:eastAsia="宋体" w:cs="宋体"/>
                      <w:bCs/>
                      <w:color w:val="000000" w:themeColor="text1"/>
                      <w:sz w:val="21"/>
                      <w:u w:val="single"/>
                      <w14:textFill>
                        <w14:solidFill>
                          <w14:schemeClr w14:val="tx1"/>
                        </w14:solidFill>
                      </w14:textFill>
                    </w:rPr>
                    <w:t>≥</w:t>
                  </w:r>
                  <w:r>
                    <w:rPr>
                      <w:rFonts w:hint="eastAsia" w:ascii="宋体" w:hAnsi="宋体" w:cs="宋体"/>
                      <w:bCs/>
                      <w:color w:val="000000" w:themeColor="text1"/>
                      <w:sz w:val="21"/>
                      <w:u w:val="single"/>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pct"/>
                  <w:vAlign w:val="center"/>
                </w:tcPr>
                <w:p>
                  <w:pPr>
                    <w:spacing w:line="240" w:lineRule="auto"/>
                    <w:ind w:firstLine="0" w:firstLineChars="0"/>
                    <w:jc w:val="center"/>
                    <w:rPr>
                      <w:rFonts w:hint="default" w:eastAsia="宋体"/>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烟囱最低允许高度</w:t>
                  </w:r>
                </w:p>
              </w:tc>
              <w:tc>
                <w:tcPr>
                  <w:tcW w:w="625" w:type="pct"/>
                  <w:vAlign w:val="center"/>
                </w:tcPr>
                <w:p>
                  <w:pPr>
                    <w:spacing w:line="240" w:lineRule="auto"/>
                    <w:ind w:firstLine="0" w:firstLineChars="0"/>
                    <w:jc w:val="center"/>
                    <w:rPr>
                      <w:rFonts w:hint="eastAsia" w:eastAsia="宋体"/>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m</w:t>
                  </w:r>
                </w:p>
              </w:tc>
              <w:tc>
                <w:tcPr>
                  <w:tcW w:w="625" w:type="pct"/>
                  <w:vAlign w:val="center"/>
                </w:tcPr>
                <w:p>
                  <w:pPr>
                    <w:spacing w:line="240" w:lineRule="auto"/>
                    <w:ind w:firstLine="0" w:firstLineChars="0"/>
                    <w:jc w:val="center"/>
                    <w:rPr>
                      <w:rFonts w:hint="default" w:eastAsia="宋体"/>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20</w:t>
                  </w:r>
                </w:p>
              </w:tc>
              <w:tc>
                <w:tcPr>
                  <w:tcW w:w="625" w:type="pct"/>
                  <w:vAlign w:val="center"/>
                </w:tcPr>
                <w:p>
                  <w:pPr>
                    <w:spacing w:line="240" w:lineRule="auto"/>
                    <w:ind w:firstLine="0" w:firstLineChars="0"/>
                    <w:jc w:val="center"/>
                    <w:rPr>
                      <w:rFonts w:hint="default" w:eastAsia="宋体"/>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25</w:t>
                  </w:r>
                </w:p>
              </w:tc>
              <w:tc>
                <w:tcPr>
                  <w:tcW w:w="625" w:type="pct"/>
                  <w:vAlign w:val="center"/>
                </w:tcPr>
                <w:p>
                  <w:pPr>
                    <w:spacing w:line="240" w:lineRule="auto"/>
                    <w:ind w:firstLine="0" w:firstLineChars="0"/>
                    <w:jc w:val="center"/>
                    <w:rPr>
                      <w:rFonts w:hint="default" w:eastAsia="宋体"/>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30</w:t>
                  </w:r>
                </w:p>
              </w:tc>
              <w:tc>
                <w:tcPr>
                  <w:tcW w:w="625" w:type="pct"/>
                  <w:vAlign w:val="center"/>
                </w:tcPr>
                <w:p>
                  <w:pPr>
                    <w:spacing w:line="240" w:lineRule="auto"/>
                    <w:ind w:firstLine="0" w:firstLineChars="0"/>
                    <w:jc w:val="center"/>
                    <w:rPr>
                      <w:rFonts w:hint="default" w:eastAsia="宋体"/>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35</w:t>
                  </w:r>
                </w:p>
              </w:tc>
              <w:tc>
                <w:tcPr>
                  <w:tcW w:w="625" w:type="pct"/>
                  <w:vAlign w:val="center"/>
                </w:tcPr>
                <w:p>
                  <w:pPr>
                    <w:spacing w:line="240" w:lineRule="auto"/>
                    <w:ind w:firstLine="0" w:firstLineChars="0"/>
                    <w:jc w:val="center"/>
                    <w:rPr>
                      <w:rFonts w:hint="default" w:eastAsia="宋体"/>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40</w:t>
                  </w:r>
                </w:p>
              </w:tc>
              <w:tc>
                <w:tcPr>
                  <w:tcW w:w="625" w:type="pct"/>
                  <w:vAlign w:val="center"/>
                </w:tcPr>
                <w:p>
                  <w:pPr>
                    <w:spacing w:line="240" w:lineRule="auto"/>
                    <w:ind w:firstLine="0" w:firstLineChars="0"/>
                    <w:jc w:val="center"/>
                    <w:rPr>
                      <w:rFonts w:hint="default" w:eastAsia="宋体"/>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45</w:t>
                  </w:r>
                </w:p>
              </w:tc>
            </w:tr>
          </w:tbl>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本项目锅炉为</w:t>
            </w:r>
            <w:r>
              <w:rPr>
                <w:rFonts w:hint="eastAsia" w:ascii="宋体" w:hAnsi="宋体" w:cs="宋体"/>
                <w:color w:val="000000"/>
                <w:kern w:val="0"/>
                <w:sz w:val="24"/>
                <w:szCs w:val="24"/>
                <w:u w:val="single"/>
                <w:lang w:val="en-US" w:eastAsia="zh-CN" w:bidi="ar"/>
              </w:rPr>
              <w:t>6t/h</w:t>
            </w:r>
            <w:r>
              <w:rPr>
                <w:rFonts w:hint="eastAsia" w:ascii="宋体" w:hAnsi="宋体" w:eastAsia="宋体" w:cs="宋体"/>
                <w:color w:val="000000"/>
                <w:kern w:val="0"/>
                <w:sz w:val="24"/>
                <w:szCs w:val="24"/>
                <w:u w:val="single"/>
                <w:lang w:val="en-US" w:eastAsia="zh-CN" w:bidi="ar"/>
              </w:rPr>
              <w:t>，则排气筒高度设置</w:t>
            </w:r>
            <w:r>
              <w:rPr>
                <w:rFonts w:hint="default" w:ascii="Times New Roman" w:hAnsi="Times New Roman" w:eastAsia="宋体" w:cs="Times New Roman"/>
                <w:color w:val="000000"/>
                <w:kern w:val="0"/>
                <w:sz w:val="24"/>
                <w:szCs w:val="24"/>
                <w:u w:val="single"/>
                <w:lang w:val="en-US" w:eastAsia="zh-CN" w:bidi="ar"/>
              </w:rPr>
              <w:t>35m</w:t>
            </w:r>
            <w:r>
              <w:rPr>
                <w:rFonts w:hint="eastAsia" w:ascii="宋体" w:hAnsi="宋体" w:eastAsia="宋体" w:cs="宋体"/>
                <w:color w:val="000000"/>
                <w:kern w:val="0"/>
                <w:sz w:val="24"/>
                <w:szCs w:val="24"/>
                <w:u w:val="single"/>
                <w:lang w:val="en-US" w:eastAsia="zh-CN" w:bidi="ar"/>
              </w:rPr>
              <w:t>合理。</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2</w:t>
            </w:r>
            <w:r>
              <w:rPr>
                <w:rFonts w:hint="eastAsia" w:ascii="宋体" w:hAnsi="宋体" w:eastAsia="宋体" w:cs="宋体"/>
                <w:color w:val="000000"/>
                <w:kern w:val="0"/>
                <w:sz w:val="24"/>
                <w:szCs w:val="24"/>
                <w:u w:val="single"/>
                <w:lang w:val="en-US" w:eastAsia="zh-CN" w:bidi="ar"/>
              </w:rPr>
              <w:t xml:space="preserve">）排气筒规范化设置要求 </w:t>
            </w:r>
          </w:p>
          <w:p>
            <w:pPr>
              <w:adjustRightInd w:val="0"/>
              <w:snapToGrid w:val="0"/>
              <w:ind w:firstLine="480"/>
              <w:rPr>
                <w:rFonts w:hint="eastAsia" w:ascii="宋体" w:hAnsi="宋体" w:eastAsia="宋体" w:cs="宋体"/>
                <w:color w:val="000000"/>
                <w:kern w:val="0"/>
                <w:sz w:val="24"/>
                <w:szCs w:val="24"/>
                <w:u w:val="single"/>
                <w:lang w:val="en-US" w:eastAsia="zh-CN" w:bidi="ar"/>
              </w:rPr>
            </w:pPr>
            <w:r>
              <w:rPr>
                <w:rFonts w:hint="eastAsia"/>
                <w:color w:val="000000"/>
                <w:u w:val="single"/>
                <w:lang w:val="en-US" w:eastAsia="zh-CN"/>
              </w:rPr>
              <w:t>建设单位应根据《固定源废气监测技术规范》（</w:t>
            </w:r>
            <w:r>
              <w:rPr>
                <w:rFonts w:hint="default"/>
                <w:color w:val="000000"/>
                <w:u w:val="single"/>
                <w:lang w:val="en-US" w:eastAsia="zh-CN"/>
              </w:rPr>
              <w:t>HJ/T397-2007</w:t>
            </w:r>
            <w:r>
              <w:rPr>
                <w:rFonts w:hint="eastAsia"/>
                <w:color w:val="000000"/>
                <w:u w:val="single"/>
                <w:lang w:val="en-US" w:eastAsia="zh-CN"/>
              </w:rPr>
              <w:t>）中关于采样位置的要求，在排气筒应设置检测采样孔。采样位置应优先选择在垂直管段，应避开烟道弯头和断面急剧变化的部位。采样位置应设置在距弯头、阀门、变径管下游方向不小于</w:t>
            </w:r>
            <w:r>
              <w:rPr>
                <w:rFonts w:hint="default"/>
                <w:color w:val="000000"/>
                <w:u w:val="single"/>
                <w:lang w:val="en-US" w:eastAsia="zh-CN"/>
              </w:rPr>
              <w:t>6</w:t>
            </w:r>
            <w:r>
              <w:rPr>
                <w:rFonts w:hint="eastAsia"/>
                <w:color w:val="000000"/>
                <w:u w:val="single"/>
                <w:lang w:val="en-US" w:eastAsia="zh-CN"/>
              </w:rPr>
              <w:t>倍直径，和距上述部件上游方向不小于</w:t>
            </w:r>
            <w:r>
              <w:rPr>
                <w:rFonts w:hint="default"/>
                <w:color w:val="000000"/>
                <w:u w:val="single"/>
                <w:lang w:val="en-US" w:eastAsia="zh-CN"/>
              </w:rPr>
              <w:t>3</w:t>
            </w:r>
            <w:r>
              <w:rPr>
                <w:rFonts w:hint="eastAsia"/>
                <w:color w:val="000000"/>
                <w:u w:val="single"/>
                <w:lang w:val="en-US" w:eastAsia="zh-CN"/>
              </w:rPr>
              <w:t>倍直径处，对矩形烟道，其当量直径</w:t>
            </w:r>
            <w:r>
              <w:rPr>
                <w:rFonts w:hint="default"/>
                <w:color w:val="000000"/>
                <w:u w:val="single"/>
                <w:lang w:val="en-US" w:eastAsia="zh-CN"/>
              </w:rPr>
              <w:t>D</w:t>
            </w:r>
            <w:r>
              <w:rPr>
                <w:rFonts w:hint="eastAsia"/>
                <w:color w:val="000000"/>
                <w:u w:val="single"/>
                <w:lang w:val="en-US" w:eastAsia="zh-CN"/>
              </w:rPr>
              <w:t>＝</w:t>
            </w:r>
            <w:r>
              <w:rPr>
                <w:rFonts w:hint="default"/>
                <w:color w:val="000000"/>
                <w:u w:val="single"/>
                <w:lang w:val="en-US" w:eastAsia="zh-CN"/>
              </w:rPr>
              <w:t>2AB/(A+B)</w:t>
            </w:r>
            <w:r>
              <w:rPr>
                <w:rFonts w:hint="eastAsia"/>
                <w:color w:val="000000"/>
                <w:u w:val="single"/>
                <w:lang w:val="en-US" w:eastAsia="zh-CN"/>
              </w:rPr>
              <w:t>，式中</w:t>
            </w:r>
            <w:r>
              <w:rPr>
                <w:rFonts w:hint="default"/>
                <w:color w:val="000000"/>
                <w:u w:val="single"/>
                <w:lang w:val="en-US" w:eastAsia="zh-CN"/>
              </w:rPr>
              <w:t>A</w:t>
            </w:r>
            <w:r>
              <w:rPr>
                <w:rFonts w:hint="eastAsia"/>
                <w:color w:val="000000"/>
                <w:u w:val="single"/>
                <w:lang w:val="en-US" w:eastAsia="zh-CN"/>
              </w:rPr>
              <w:t>、</w:t>
            </w:r>
            <w:r>
              <w:rPr>
                <w:rFonts w:hint="default"/>
                <w:color w:val="000000"/>
                <w:u w:val="single"/>
                <w:lang w:val="en-US" w:eastAsia="zh-CN"/>
              </w:rPr>
              <w:t>B</w:t>
            </w:r>
            <w:r>
              <w:rPr>
                <w:rFonts w:hint="eastAsia"/>
                <w:color w:val="000000"/>
                <w:u w:val="single"/>
                <w:lang w:val="en-US" w:eastAsia="zh-CN"/>
              </w:rPr>
              <w:t>为边长。在选定的测定位置上开设采样孔，采样孔内径应不小于</w:t>
            </w:r>
            <w:r>
              <w:rPr>
                <w:rFonts w:hint="default"/>
                <w:color w:val="000000"/>
                <w:u w:val="single"/>
                <w:lang w:val="en-US" w:eastAsia="zh-CN"/>
              </w:rPr>
              <w:t>80mm</w:t>
            </w:r>
            <w:r>
              <w:rPr>
                <w:rFonts w:hint="eastAsia"/>
                <w:color w:val="000000"/>
                <w:u w:val="single"/>
                <w:lang w:val="en-US" w:eastAsia="zh-CN"/>
              </w:rPr>
              <w:t>，采样孔管应不大于</w:t>
            </w:r>
            <w:r>
              <w:rPr>
                <w:rFonts w:hint="default"/>
                <w:color w:val="000000"/>
                <w:u w:val="single"/>
                <w:lang w:val="en-US" w:eastAsia="zh-CN"/>
              </w:rPr>
              <w:t>50mm</w:t>
            </w:r>
            <w:r>
              <w:rPr>
                <w:rFonts w:hint="eastAsia"/>
                <w:color w:val="000000"/>
                <w:u w:val="single"/>
                <w:lang w:val="en-US" w:eastAsia="zh-CN"/>
              </w:rPr>
              <w:t>，不使用时应用盖板、管堵或管帽封闭，当采样孔仅用于采集气态污染物时，其内径应不小于</w:t>
            </w:r>
            <w:r>
              <w:rPr>
                <w:rFonts w:hint="default"/>
                <w:color w:val="000000"/>
                <w:u w:val="single"/>
                <w:lang w:val="en-US" w:eastAsia="zh-CN"/>
              </w:rPr>
              <w:t>40mm</w:t>
            </w:r>
            <w:r>
              <w:rPr>
                <w:rFonts w:hint="eastAsia"/>
                <w:color w:val="000000"/>
                <w:u w:val="single"/>
                <w:lang w:val="en-US" w:eastAsia="zh-CN"/>
              </w:rPr>
              <w:t>。同时为检测人员设置采样平台，采样平台应有足够的工作面积使工作人员安全、方便地操作，平台面积应不小于</w:t>
            </w:r>
            <w:r>
              <w:rPr>
                <w:rFonts w:hint="default"/>
                <w:color w:val="000000"/>
                <w:u w:val="single"/>
                <w:lang w:val="en-US" w:eastAsia="zh-CN"/>
              </w:rPr>
              <w:t>1.5m</w:t>
            </w:r>
            <w:r>
              <w:rPr>
                <w:rFonts w:hint="default"/>
                <w:color w:val="000000"/>
                <w:u w:val="single"/>
                <w:vertAlign w:val="superscript"/>
                <w:lang w:val="en-US" w:eastAsia="zh-CN"/>
              </w:rPr>
              <w:t>2</w:t>
            </w:r>
            <w:r>
              <w:rPr>
                <w:rFonts w:hint="eastAsia"/>
                <w:color w:val="000000"/>
                <w:u w:val="single"/>
                <w:lang w:val="en-US" w:eastAsia="zh-CN"/>
              </w:rPr>
              <w:t>，并设有</w:t>
            </w:r>
            <w:r>
              <w:rPr>
                <w:rFonts w:hint="default"/>
                <w:color w:val="000000"/>
                <w:u w:val="single"/>
                <w:lang w:val="en-US" w:eastAsia="zh-CN"/>
              </w:rPr>
              <w:t xml:space="preserve">1.1m </w:t>
            </w:r>
            <w:r>
              <w:rPr>
                <w:rFonts w:hint="eastAsia"/>
                <w:color w:val="000000"/>
                <w:u w:val="single"/>
                <w:lang w:val="en-US" w:eastAsia="zh-CN"/>
              </w:rPr>
              <w:t>的护栏，采样孔距平台面约为</w:t>
            </w:r>
            <w:r>
              <w:rPr>
                <w:rFonts w:hint="default"/>
                <w:color w:val="000000"/>
                <w:u w:val="single"/>
                <w:lang w:val="en-US" w:eastAsia="zh-CN"/>
              </w:rPr>
              <w:t>1.2-1.3m</w:t>
            </w:r>
            <w:r>
              <w:rPr>
                <w:rFonts w:hint="eastAsia"/>
                <w:color w:val="000000"/>
                <w:u w:val="single"/>
                <w:lang w:val="en-US" w:eastAsia="zh-CN"/>
              </w:rPr>
              <w:t>。</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3</w:t>
            </w:r>
            <w:r>
              <w:rPr>
                <w:rFonts w:hint="eastAsia" w:ascii="宋体" w:hAnsi="宋体" w:eastAsia="宋体" w:cs="宋体"/>
                <w:color w:val="000000"/>
                <w:kern w:val="0"/>
                <w:sz w:val="24"/>
                <w:szCs w:val="24"/>
                <w:u w:val="single"/>
                <w:lang w:val="en-US" w:eastAsia="zh-CN" w:bidi="ar"/>
              </w:rPr>
              <w:t xml:space="preserve">）废气治理措施可行性分析 </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对照《排污许可证申请与核发技术规范 锅炉》（</w:t>
            </w:r>
            <w:r>
              <w:rPr>
                <w:rFonts w:hint="default" w:ascii="Times New Roman" w:hAnsi="Times New Roman" w:eastAsia="宋体" w:cs="Times New Roman"/>
                <w:color w:val="000000"/>
                <w:kern w:val="0"/>
                <w:sz w:val="24"/>
                <w:szCs w:val="24"/>
                <w:u w:val="single"/>
                <w:lang w:val="en-US" w:eastAsia="zh-CN" w:bidi="ar"/>
              </w:rPr>
              <w:t>HJ953-2018</w:t>
            </w:r>
            <w:r>
              <w:rPr>
                <w:rFonts w:hint="eastAsia" w:ascii="宋体" w:hAnsi="宋体" w:eastAsia="宋体" w:cs="宋体"/>
                <w:color w:val="000000"/>
                <w:kern w:val="0"/>
                <w:sz w:val="24"/>
                <w:szCs w:val="24"/>
                <w:u w:val="single"/>
                <w:lang w:val="en-US" w:eastAsia="zh-CN" w:bidi="ar"/>
              </w:rPr>
              <w:t xml:space="preserve">）中污染防治可行技术可知，本项目采取的污染防治技术属于可行技术。本项目废气治理措施可行性分析一览表详见表 </w:t>
            </w:r>
            <w:r>
              <w:rPr>
                <w:rFonts w:hint="default" w:ascii="Times New Roman" w:hAnsi="Times New Roman" w:eastAsia="宋体" w:cs="Times New Roman"/>
                <w:color w:val="000000"/>
                <w:kern w:val="0"/>
                <w:sz w:val="24"/>
                <w:szCs w:val="24"/>
                <w:u w:val="single"/>
                <w:lang w:val="en-US" w:eastAsia="zh-CN" w:bidi="ar"/>
              </w:rPr>
              <w:t>4-</w:t>
            </w:r>
            <w:r>
              <w:rPr>
                <w:rFonts w:hint="eastAsia" w:cs="Times New Roman"/>
                <w:color w:val="000000"/>
                <w:kern w:val="0"/>
                <w:sz w:val="24"/>
                <w:szCs w:val="24"/>
                <w:u w:val="single"/>
                <w:lang w:val="en-US" w:eastAsia="zh-CN" w:bidi="ar"/>
              </w:rPr>
              <w:t>14</w:t>
            </w:r>
            <w:r>
              <w:rPr>
                <w:rFonts w:hint="eastAsia" w:ascii="宋体" w:hAnsi="宋体" w:eastAsia="宋体" w:cs="宋体"/>
                <w:color w:val="000000"/>
                <w:kern w:val="0"/>
                <w:sz w:val="24"/>
                <w:szCs w:val="24"/>
                <w:u w:val="single"/>
                <w:lang w:val="en-US" w:eastAsia="zh-CN" w:bidi="ar"/>
              </w:rPr>
              <w:t>。</w:t>
            </w:r>
          </w:p>
          <w:p>
            <w:pPr>
              <w:spacing w:line="240" w:lineRule="auto"/>
              <w:ind w:firstLine="0" w:firstLineChars="0"/>
              <w:jc w:val="center"/>
              <w:rPr>
                <w:rFonts w:hint="eastAsia"/>
                <w:b/>
                <w:kern w:val="0"/>
                <w:sz w:val="21"/>
                <w:u w:val="single"/>
                <w:lang w:val="en-US" w:eastAsia="zh-CN"/>
              </w:rPr>
            </w:pPr>
            <w:r>
              <w:rPr>
                <w:rFonts w:hint="eastAsia"/>
                <w:b/>
                <w:kern w:val="0"/>
                <w:sz w:val="21"/>
                <w:u w:val="single"/>
                <w:lang w:val="en-US" w:eastAsia="zh-CN"/>
              </w:rPr>
              <w:t xml:space="preserve">表 </w:t>
            </w:r>
            <w:r>
              <w:rPr>
                <w:rFonts w:hint="default"/>
                <w:b/>
                <w:kern w:val="0"/>
                <w:sz w:val="21"/>
                <w:u w:val="single"/>
                <w:lang w:val="en-US" w:eastAsia="zh-CN"/>
              </w:rPr>
              <w:t>4-</w:t>
            </w:r>
            <w:r>
              <w:rPr>
                <w:rFonts w:hint="eastAsia"/>
                <w:b/>
                <w:kern w:val="0"/>
                <w:sz w:val="21"/>
                <w:u w:val="single"/>
                <w:lang w:val="en-US" w:eastAsia="zh-CN"/>
              </w:rPr>
              <w:t>14</w:t>
            </w:r>
            <w:r>
              <w:rPr>
                <w:rFonts w:hint="default"/>
                <w:b/>
                <w:kern w:val="0"/>
                <w:sz w:val="21"/>
                <w:u w:val="single"/>
                <w:lang w:val="en-US" w:eastAsia="zh-CN"/>
              </w:rPr>
              <w:t xml:space="preserve"> </w:t>
            </w:r>
            <w:r>
              <w:rPr>
                <w:rFonts w:hint="eastAsia"/>
                <w:b/>
                <w:kern w:val="0"/>
                <w:sz w:val="21"/>
                <w:u w:val="single"/>
                <w:lang w:val="en-US" w:eastAsia="zh-CN"/>
              </w:rPr>
              <w:t>本项目治理措施可行性分析一览表</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410"/>
              <w:gridCol w:w="2779"/>
              <w:gridCol w:w="1385"/>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9" w:type="pct"/>
                  <w:gridSpan w:val="3"/>
                  <w:vAlign w:val="center"/>
                </w:tcPr>
                <w:p>
                  <w:pPr>
                    <w:spacing w:line="240" w:lineRule="auto"/>
                    <w:ind w:firstLine="0" w:firstLineChars="0"/>
                    <w:jc w:val="center"/>
                    <w:rPr>
                      <w:rFonts w:hint="eastAsia"/>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《排污许可证申请与核发技术规范 锅炉》（</w:t>
                  </w:r>
                  <w:r>
                    <w:rPr>
                      <w:rFonts w:hint="default"/>
                      <w:bCs/>
                      <w:color w:val="000000" w:themeColor="text1"/>
                      <w:sz w:val="21"/>
                      <w:u w:val="single"/>
                      <w:lang w:val="en-US" w:eastAsia="zh-CN"/>
                      <w14:textFill>
                        <w14:solidFill>
                          <w14:schemeClr w14:val="tx1"/>
                        </w14:solidFill>
                      </w14:textFill>
                    </w:rPr>
                    <w:t>HJ953-2018</w:t>
                  </w:r>
                  <w:r>
                    <w:rPr>
                      <w:rFonts w:hint="eastAsia"/>
                      <w:bCs/>
                      <w:color w:val="000000" w:themeColor="text1"/>
                      <w:sz w:val="21"/>
                      <w:u w:val="single"/>
                      <w:lang w:val="en-US" w:eastAsia="zh-CN"/>
                      <w14:textFill>
                        <w14:solidFill>
                          <w14:schemeClr w14:val="tx1"/>
                        </w14:solidFill>
                      </w14:textFill>
                    </w:rPr>
                    <w:t>）要求</w:t>
                  </w:r>
                </w:p>
              </w:tc>
              <w:tc>
                <w:tcPr>
                  <w:tcW w:w="2000" w:type="pct"/>
                  <w:gridSpan w:val="2"/>
                  <w:vAlign w:val="center"/>
                </w:tcPr>
                <w:p>
                  <w:pPr>
                    <w:spacing w:line="240" w:lineRule="auto"/>
                    <w:ind w:firstLine="0" w:firstLineChars="0"/>
                    <w:jc w:val="center"/>
                    <w:rPr>
                      <w:rFonts w:hint="eastAsia"/>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本项目可行性分析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pct"/>
                  <w:vAlign w:val="center"/>
                </w:tcPr>
                <w:p>
                  <w:pPr>
                    <w:spacing w:line="240" w:lineRule="auto"/>
                    <w:ind w:firstLine="0" w:firstLineChars="0"/>
                    <w:jc w:val="center"/>
                    <w:rPr>
                      <w:rFonts w:hint="default"/>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燃料类型</w:t>
                  </w:r>
                </w:p>
              </w:tc>
              <w:tc>
                <w:tcPr>
                  <w:tcW w:w="784" w:type="pct"/>
                  <w:vAlign w:val="center"/>
                </w:tcPr>
                <w:p>
                  <w:pPr>
                    <w:spacing w:line="240" w:lineRule="auto"/>
                    <w:ind w:firstLine="0" w:firstLineChars="0"/>
                    <w:jc w:val="center"/>
                    <w:rPr>
                      <w:rFonts w:hint="default"/>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污染物种类</w:t>
                  </w:r>
                </w:p>
              </w:tc>
              <w:tc>
                <w:tcPr>
                  <w:tcW w:w="1544" w:type="pct"/>
                  <w:vAlign w:val="center"/>
                </w:tcPr>
                <w:p>
                  <w:pPr>
                    <w:spacing w:line="240" w:lineRule="auto"/>
                    <w:ind w:firstLine="0" w:firstLineChars="0"/>
                    <w:jc w:val="center"/>
                    <w:rPr>
                      <w:rFonts w:hint="default"/>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可行技术</w:t>
                  </w:r>
                </w:p>
              </w:tc>
              <w:tc>
                <w:tcPr>
                  <w:tcW w:w="770" w:type="pct"/>
                  <w:vAlign w:val="center"/>
                </w:tcPr>
                <w:p>
                  <w:pPr>
                    <w:spacing w:line="240" w:lineRule="auto"/>
                    <w:ind w:firstLine="0" w:firstLineChars="0"/>
                    <w:jc w:val="center"/>
                    <w:rPr>
                      <w:rFonts w:hint="default"/>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采用措施</w:t>
                  </w:r>
                </w:p>
              </w:tc>
              <w:tc>
                <w:tcPr>
                  <w:tcW w:w="1230" w:type="pct"/>
                  <w:vAlign w:val="center"/>
                </w:tcPr>
                <w:p>
                  <w:pPr>
                    <w:spacing w:line="240" w:lineRule="auto"/>
                    <w:ind w:firstLine="0" w:firstLineChars="0"/>
                    <w:jc w:val="center"/>
                    <w:rPr>
                      <w:rFonts w:hint="default"/>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是否属于可行技术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pct"/>
                  <w:vMerge w:val="restart"/>
                  <w:vAlign w:val="center"/>
                </w:tcPr>
                <w:p>
                  <w:pPr>
                    <w:spacing w:line="240" w:lineRule="auto"/>
                    <w:ind w:firstLine="0" w:firstLineChars="0"/>
                    <w:jc w:val="center"/>
                    <w:rPr>
                      <w:rFonts w:hint="default"/>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生物质</w:t>
                  </w:r>
                </w:p>
              </w:tc>
              <w:tc>
                <w:tcPr>
                  <w:tcW w:w="784" w:type="pct"/>
                  <w:vAlign w:val="center"/>
                </w:tcPr>
                <w:p>
                  <w:pPr>
                    <w:spacing w:line="240" w:lineRule="auto"/>
                    <w:ind w:firstLine="0" w:firstLineChars="0"/>
                    <w:jc w:val="center"/>
                    <w:rPr>
                      <w:rFonts w:hint="default"/>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颗粒物</w:t>
                  </w:r>
                </w:p>
              </w:tc>
              <w:tc>
                <w:tcPr>
                  <w:tcW w:w="1544" w:type="pct"/>
                  <w:vAlign w:val="center"/>
                </w:tcPr>
                <w:p>
                  <w:pPr>
                    <w:spacing w:line="240" w:lineRule="auto"/>
                    <w:ind w:firstLine="0" w:firstLineChars="0"/>
                    <w:jc w:val="center"/>
                    <w:rPr>
                      <w:rFonts w:hint="eastAsia"/>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旋风除尘和袋式除尘组合技术</w:t>
                  </w:r>
                </w:p>
              </w:tc>
              <w:tc>
                <w:tcPr>
                  <w:tcW w:w="770" w:type="pct"/>
                  <w:vAlign w:val="center"/>
                </w:tcPr>
                <w:p>
                  <w:pPr>
                    <w:spacing w:line="240" w:lineRule="auto"/>
                    <w:ind w:firstLine="0" w:firstLineChars="0"/>
                    <w:jc w:val="center"/>
                    <w:rPr>
                      <w:rFonts w:hint="default"/>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多管+袋式除尘器</w:t>
                  </w:r>
                </w:p>
              </w:tc>
              <w:tc>
                <w:tcPr>
                  <w:tcW w:w="1230" w:type="pct"/>
                  <w:vAlign w:val="center"/>
                </w:tcPr>
                <w:p>
                  <w:pPr>
                    <w:spacing w:line="240" w:lineRule="auto"/>
                    <w:ind w:firstLine="0" w:firstLineChars="0"/>
                    <w:jc w:val="center"/>
                    <w:rPr>
                      <w:rFonts w:hint="eastAsia"/>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属于可行技术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pct"/>
                  <w:vMerge w:val="continue"/>
                  <w:vAlign w:val="center"/>
                </w:tcPr>
                <w:p>
                  <w:pPr>
                    <w:spacing w:line="240" w:lineRule="auto"/>
                    <w:ind w:firstLine="0" w:firstLineChars="0"/>
                    <w:jc w:val="center"/>
                    <w:rPr>
                      <w:rFonts w:hint="eastAsia"/>
                      <w:bCs/>
                      <w:color w:val="000000" w:themeColor="text1"/>
                      <w:sz w:val="21"/>
                      <w:u w:val="single"/>
                      <w:lang w:val="en-US" w:eastAsia="zh-CN"/>
                      <w14:textFill>
                        <w14:solidFill>
                          <w14:schemeClr w14:val="tx1"/>
                        </w14:solidFill>
                      </w14:textFill>
                    </w:rPr>
                  </w:pPr>
                </w:p>
              </w:tc>
              <w:tc>
                <w:tcPr>
                  <w:tcW w:w="784" w:type="pct"/>
                  <w:vAlign w:val="center"/>
                </w:tcPr>
                <w:p>
                  <w:pPr>
                    <w:spacing w:line="240" w:lineRule="auto"/>
                    <w:ind w:firstLine="0" w:firstLineChars="0"/>
                    <w:jc w:val="center"/>
                    <w:rPr>
                      <w:rFonts w:hint="default"/>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二氧化硫</w:t>
                  </w:r>
                </w:p>
              </w:tc>
              <w:tc>
                <w:tcPr>
                  <w:tcW w:w="1544" w:type="pct"/>
                  <w:vAlign w:val="center"/>
                </w:tcPr>
                <w:p>
                  <w:pPr>
                    <w:spacing w:line="240" w:lineRule="auto"/>
                    <w:ind w:firstLine="0" w:firstLineChars="0"/>
                    <w:jc w:val="center"/>
                    <w:rPr>
                      <w:rFonts w:hint="default"/>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w:t>
                  </w:r>
                </w:p>
              </w:tc>
              <w:tc>
                <w:tcPr>
                  <w:tcW w:w="770" w:type="pct"/>
                  <w:vAlign w:val="center"/>
                </w:tcPr>
                <w:p>
                  <w:pPr>
                    <w:spacing w:line="240" w:lineRule="auto"/>
                    <w:ind w:firstLine="0" w:firstLineChars="0"/>
                    <w:jc w:val="center"/>
                    <w:rPr>
                      <w:rFonts w:hint="default"/>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w:t>
                  </w:r>
                </w:p>
              </w:tc>
              <w:tc>
                <w:tcPr>
                  <w:tcW w:w="1230" w:type="pct"/>
                  <w:vAlign w:val="center"/>
                </w:tcPr>
                <w:p>
                  <w:pPr>
                    <w:spacing w:line="240" w:lineRule="auto"/>
                    <w:ind w:firstLine="0" w:firstLineChars="0"/>
                    <w:jc w:val="center"/>
                    <w:rPr>
                      <w:rFonts w:hint="default"/>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pct"/>
                  <w:vMerge w:val="continue"/>
                  <w:vAlign w:val="center"/>
                </w:tcPr>
                <w:p>
                  <w:pPr>
                    <w:spacing w:line="240" w:lineRule="auto"/>
                    <w:ind w:firstLine="0" w:firstLineChars="0"/>
                    <w:jc w:val="center"/>
                    <w:rPr>
                      <w:rFonts w:hint="eastAsia"/>
                      <w:bCs/>
                      <w:color w:val="000000" w:themeColor="text1"/>
                      <w:sz w:val="21"/>
                      <w:u w:val="single"/>
                      <w:lang w:val="en-US" w:eastAsia="zh-CN"/>
                      <w14:textFill>
                        <w14:solidFill>
                          <w14:schemeClr w14:val="tx1"/>
                        </w14:solidFill>
                      </w14:textFill>
                    </w:rPr>
                  </w:pPr>
                </w:p>
              </w:tc>
              <w:tc>
                <w:tcPr>
                  <w:tcW w:w="784" w:type="pct"/>
                  <w:vAlign w:val="center"/>
                </w:tcPr>
                <w:p>
                  <w:pPr>
                    <w:spacing w:line="240" w:lineRule="auto"/>
                    <w:ind w:firstLine="0" w:firstLineChars="0"/>
                    <w:jc w:val="center"/>
                    <w:rPr>
                      <w:rFonts w:hint="default"/>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氮氧化物</w:t>
                  </w:r>
                </w:p>
              </w:tc>
              <w:tc>
                <w:tcPr>
                  <w:tcW w:w="1544" w:type="pct"/>
                  <w:vAlign w:val="center"/>
                </w:tcPr>
                <w:p>
                  <w:pPr>
                    <w:spacing w:line="240" w:lineRule="auto"/>
                    <w:ind w:firstLine="0" w:firstLineChars="0"/>
                    <w:jc w:val="center"/>
                    <w:rPr>
                      <w:rFonts w:hint="eastAsia"/>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低氮燃烧</w:t>
                  </w:r>
                  <w:r>
                    <w:rPr>
                      <w:rFonts w:hint="default"/>
                      <w:bCs/>
                      <w:color w:val="000000" w:themeColor="text1"/>
                      <w:sz w:val="21"/>
                      <w:u w:val="single"/>
                      <w:lang w:val="en-US" w:eastAsia="zh-CN"/>
                      <w14:textFill>
                        <w14:solidFill>
                          <w14:schemeClr w14:val="tx1"/>
                        </w14:solidFill>
                      </w14:textFill>
                    </w:rPr>
                    <w:t>+SNCR</w:t>
                  </w:r>
                  <w:r>
                    <w:rPr>
                      <w:rFonts w:hint="eastAsia"/>
                      <w:bCs/>
                      <w:color w:val="000000" w:themeColor="text1"/>
                      <w:sz w:val="21"/>
                      <w:u w:val="single"/>
                      <w:lang w:val="en-US" w:eastAsia="zh-CN"/>
                      <w14:textFill>
                        <w14:solidFill>
                          <w14:schemeClr w14:val="tx1"/>
                        </w14:solidFill>
                      </w14:textFill>
                    </w:rPr>
                    <w:t>脱硝技术、低氮燃烧</w:t>
                  </w:r>
                  <w:r>
                    <w:rPr>
                      <w:rFonts w:hint="default"/>
                      <w:bCs/>
                      <w:color w:val="000000" w:themeColor="text1"/>
                      <w:sz w:val="21"/>
                      <w:u w:val="single"/>
                      <w:lang w:val="en-US" w:eastAsia="zh-CN"/>
                      <w14:textFill>
                        <w14:solidFill>
                          <w14:schemeClr w14:val="tx1"/>
                        </w14:solidFill>
                      </w14:textFill>
                    </w:rPr>
                    <w:t>+SCR</w:t>
                  </w:r>
                  <w:r>
                    <w:rPr>
                      <w:rFonts w:hint="eastAsia"/>
                      <w:bCs/>
                      <w:color w:val="000000" w:themeColor="text1"/>
                      <w:sz w:val="21"/>
                      <w:u w:val="single"/>
                      <w:lang w:val="en-US" w:eastAsia="zh-CN"/>
                      <w14:textFill>
                        <w14:solidFill>
                          <w14:schemeClr w14:val="tx1"/>
                        </w14:solidFill>
                      </w14:textFill>
                    </w:rPr>
                    <w:t>脱硝技术、低氮燃烧</w:t>
                  </w:r>
                  <w:r>
                    <w:rPr>
                      <w:rFonts w:hint="default"/>
                      <w:bCs/>
                      <w:color w:val="000000" w:themeColor="text1"/>
                      <w:sz w:val="21"/>
                      <w:u w:val="single"/>
                      <w:lang w:val="en-US" w:eastAsia="zh-CN"/>
                      <w14:textFill>
                        <w14:solidFill>
                          <w14:schemeClr w14:val="tx1"/>
                        </w14:solidFill>
                      </w14:textFill>
                    </w:rPr>
                    <w:t>+</w:t>
                  </w:r>
                  <w:r>
                    <w:rPr>
                      <w:rFonts w:hint="eastAsia"/>
                      <w:bCs/>
                      <w:color w:val="000000" w:themeColor="text1"/>
                      <w:sz w:val="21"/>
                      <w:u w:val="single"/>
                      <w:lang w:val="en-US" w:eastAsia="zh-CN"/>
                      <w14:textFill>
                        <w14:solidFill>
                          <w14:schemeClr w14:val="tx1"/>
                        </w14:solidFill>
                      </w14:textFill>
                    </w:rPr>
                    <w:t>（</w:t>
                  </w:r>
                  <w:r>
                    <w:rPr>
                      <w:rFonts w:hint="default"/>
                      <w:bCs/>
                      <w:color w:val="000000" w:themeColor="text1"/>
                      <w:sz w:val="21"/>
                      <w:u w:val="single"/>
                      <w:lang w:val="en-US" w:eastAsia="zh-CN"/>
                      <w14:textFill>
                        <w14:solidFill>
                          <w14:schemeClr w14:val="tx1"/>
                        </w14:solidFill>
                      </w14:textFill>
                    </w:rPr>
                    <w:t>SNCR-SCR</w:t>
                  </w:r>
                  <w:r>
                    <w:rPr>
                      <w:rFonts w:hint="eastAsia"/>
                      <w:bCs/>
                      <w:color w:val="000000" w:themeColor="text1"/>
                      <w:sz w:val="21"/>
                      <w:u w:val="single"/>
                      <w:lang w:val="en-US" w:eastAsia="zh-CN"/>
                      <w14:textFill>
                        <w14:solidFill>
                          <w14:schemeClr w14:val="tx1"/>
                        </w14:solidFill>
                      </w14:textFill>
                    </w:rPr>
                    <w:t>联合）脱硝技术、</w:t>
                  </w:r>
                  <w:r>
                    <w:rPr>
                      <w:rFonts w:hint="default"/>
                      <w:bCs/>
                      <w:color w:val="000000" w:themeColor="text1"/>
                      <w:sz w:val="21"/>
                      <w:u w:val="single"/>
                      <w:lang w:val="en-US" w:eastAsia="zh-CN"/>
                      <w14:textFill>
                        <w14:solidFill>
                          <w14:schemeClr w14:val="tx1"/>
                        </w14:solidFill>
                      </w14:textFill>
                    </w:rPr>
                    <w:t>SNCR</w:t>
                  </w:r>
                  <w:r>
                    <w:rPr>
                      <w:rFonts w:hint="eastAsia"/>
                      <w:bCs/>
                      <w:color w:val="000000" w:themeColor="text1"/>
                      <w:sz w:val="21"/>
                      <w:u w:val="single"/>
                      <w:lang w:val="en-US" w:eastAsia="zh-CN"/>
                      <w14:textFill>
                        <w14:solidFill>
                          <w14:schemeClr w14:val="tx1"/>
                        </w14:solidFill>
                      </w14:textFill>
                    </w:rPr>
                    <w:t>脱硝技术、</w:t>
                  </w:r>
                  <w:r>
                    <w:rPr>
                      <w:rFonts w:hint="default"/>
                      <w:bCs/>
                      <w:color w:val="000000" w:themeColor="text1"/>
                      <w:sz w:val="21"/>
                      <w:u w:val="single"/>
                      <w:lang w:val="en-US" w:eastAsia="zh-CN"/>
                      <w14:textFill>
                        <w14:solidFill>
                          <w14:schemeClr w14:val="tx1"/>
                        </w14:solidFill>
                      </w14:textFill>
                    </w:rPr>
                    <w:t>SCR</w:t>
                  </w:r>
                  <w:r>
                    <w:rPr>
                      <w:rFonts w:hint="eastAsia"/>
                      <w:bCs/>
                      <w:color w:val="000000" w:themeColor="text1"/>
                      <w:sz w:val="21"/>
                      <w:u w:val="single"/>
                      <w:lang w:val="en-US" w:eastAsia="zh-CN"/>
                      <w14:textFill>
                        <w14:solidFill>
                          <w14:schemeClr w14:val="tx1"/>
                        </w14:solidFill>
                      </w14:textFill>
                    </w:rPr>
                    <w:t>脱硝技术、</w:t>
                  </w:r>
                  <w:r>
                    <w:rPr>
                      <w:rFonts w:hint="default"/>
                      <w:bCs/>
                      <w:color w:val="000000" w:themeColor="text1"/>
                      <w:sz w:val="21"/>
                      <w:u w:val="single"/>
                      <w:lang w:val="en-US" w:eastAsia="zh-CN"/>
                      <w14:textFill>
                        <w14:solidFill>
                          <w14:schemeClr w14:val="tx1"/>
                        </w14:solidFill>
                      </w14:textFill>
                    </w:rPr>
                    <w:t>SNCR-SCR</w:t>
                  </w:r>
                  <w:r>
                    <w:rPr>
                      <w:rFonts w:hint="eastAsia"/>
                      <w:bCs/>
                      <w:color w:val="000000" w:themeColor="text1"/>
                      <w:sz w:val="21"/>
                      <w:u w:val="single"/>
                      <w:lang w:val="en-US" w:eastAsia="zh-CN"/>
                      <w14:textFill>
                        <w14:solidFill>
                          <w14:schemeClr w14:val="tx1"/>
                        </w14:solidFill>
                      </w14:textFill>
                    </w:rPr>
                    <w:t>脱硝技术</w:t>
                  </w:r>
                </w:p>
              </w:tc>
              <w:tc>
                <w:tcPr>
                  <w:tcW w:w="770" w:type="pct"/>
                  <w:vAlign w:val="center"/>
                </w:tcPr>
                <w:p>
                  <w:pPr>
                    <w:spacing w:line="240" w:lineRule="auto"/>
                    <w:ind w:firstLine="0" w:firstLineChars="0"/>
                    <w:jc w:val="center"/>
                    <w:rPr>
                      <w:rFonts w:hint="default"/>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w:t>
                  </w:r>
                </w:p>
              </w:tc>
              <w:tc>
                <w:tcPr>
                  <w:tcW w:w="1230" w:type="pct"/>
                  <w:vAlign w:val="center"/>
                </w:tcPr>
                <w:p>
                  <w:pPr>
                    <w:spacing w:line="240" w:lineRule="auto"/>
                    <w:ind w:firstLine="0" w:firstLineChars="0"/>
                    <w:jc w:val="center"/>
                    <w:rPr>
                      <w:rFonts w:hint="default"/>
                      <w:bCs/>
                      <w:color w:val="000000" w:themeColor="text1"/>
                      <w:sz w:val="21"/>
                      <w:u w:val="single"/>
                      <w:lang w:val="en-US" w:eastAsia="zh-CN"/>
                      <w14:textFill>
                        <w14:solidFill>
                          <w14:schemeClr w14:val="tx1"/>
                        </w14:solidFill>
                      </w14:textFill>
                    </w:rPr>
                  </w:pPr>
                  <w:r>
                    <w:rPr>
                      <w:rFonts w:hint="eastAsia"/>
                      <w:bCs/>
                      <w:color w:val="000000" w:themeColor="text1"/>
                      <w:sz w:val="21"/>
                      <w:u w:val="single"/>
                      <w:lang w:val="en-US" w:eastAsia="zh-CN"/>
                      <w14:textFill>
                        <w14:solidFill>
                          <w14:schemeClr w14:val="tx1"/>
                        </w14:solidFill>
                      </w14:textFill>
                    </w:rPr>
                    <w:t>产生浓度已达到</w:t>
                  </w:r>
                  <w:r>
                    <w:rPr>
                      <w:rFonts w:hint="default"/>
                      <w:bCs/>
                      <w:color w:val="000000" w:themeColor="text1"/>
                      <w:sz w:val="21"/>
                      <w:u w:val="single"/>
                      <w:lang w:val="en-US" w:eastAsia="zh-CN"/>
                      <w14:textFill>
                        <w14:solidFill>
                          <w14:schemeClr w14:val="tx1"/>
                        </w14:solidFill>
                      </w14:textFill>
                    </w:rPr>
                    <w:t>GB13271-2014</w:t>
                  </w:r>
                  <w:r>
                    <w:rPr>
                      <w:rFonts w:hint="eastAsia"/>
                      <w:bCs/>
                      <w:color w:val="000000" w:themeColor="text1"/>
                      <w:sz w:val="21"/>
                      <w:u w:val="single"/>
                      <w:lang w:val="en-US" w:eastAsia="zh-CN"/>
                      <w14:textFill>
                        <w14:solidFill>
                          <w14:schemeClr w14:val="tx1"/>
                        </w14:solidFill>
                      </w14:textFill>
                    </w:rPr>
                    <w:t>标准限值要求</w:t>
                  </w:r>
                </w:p>
              </w:tc>
            </w:tr>
          </w:tbl>
          <w:p>
            <w:pPr>
              <w:adjustRightInd w:val="0"/>
              <w:snapToGrid w:val="0"/>
              <w:ind w:firstLine="480"/>
              <w:rPr>
                <w:color w:val="000000"/>
                <w:u w:val="single"/>
              </w:rPr>
            </w:pPr>
            <w:r>
              <w:rPr>
                <w:rFonts w:hint="eastAsia"/>
                <w:color w:val="000000"/>
                <w:u w:val="single"/>
              </w:rPr>
              <w:t>食堂油烟经油烟净化装置处理后高空排放，经处理后，排气筒油烟达到《饮食业油烟排放标准》（GB18483-2001）要求。</w:t>
            </w:r>
          </w:p>
          <w:p>
            <w:pPr>
              <w:adjustRightInd w:val="0"/>
              <w:snapToGrid w:val="0"/>
              <w:ind w:firstLine="480"/>
              <w:rPr>
                <w:snapToGrid w:val="0"/>
                <w:color w:val="000000"/>
                <w:kern w:val="0"/>
                <w:u w:val="single"/>
              </w:rPr>
            </w:pPr>
            <w:r>
              <w:rPr>
                <w:rFonts w:hint="eastAsia"/>
                <w:color w:val="000000"/>
                <w:u w:val="single"/>
              </w:rPr>
              <w:t>综上所述，项目采取的废气污染治理设施满足相关技术规范要求，废气治理设施可行。</w:t>
            </w:r>
          </w:p>
          <w:p>
            <w:pPr>
              <w:ind w:firstLine="482"/>
              <w:rPr>
                <w:u w:val="none"/>
              </w:rPr>
            </w:pPr>
            <w:r>
              <w:rPr>
                <w:rFonts w:hint="eastAsia"/>
                <w:b/>
                <w:bCs/>
                <w:u w:val="none"/>
              </w:rPr>
              <w:t>2、废水</w:t>
            </w:r>
          </w:p>
          <w:p>
            <w:pPr>
              <w:ind w:firstLine="482"/>
              <w:rPr>
                <w:b/>
                <w:bCs/>
                <w:u w:val="none"/>
              </w:rPr>
            </w:pPr>
            <w:r>
              <w:rPr>
                <w:rFonts w:hint="eastAsia"/>
                <w:b/>
                <w:bCs/>
                <w:u w:val="none"/>
              </w:rPr>
              <w:t>2.1废水产排情况</w:t>
            </w:r>
          </w:p>
          <w:p>
            <w:pPr>
              <w:adjustRightInd w:val="0"/>
              <w:snapToGrid w:val="0"/>
              <w:spacing w:line="360" w:lineRule="auto"/>
              <w:ind w:firstLine="482" w:firstLineChars="200"/>
              <w:contextualSpacing/>
              <w:rPr>
                <w:rFonts w:hint="default" w:ascii="Times New Roman" w:hAnsi="Times New Roman" w:cs="Times New Roman"/>
                <w:b/>
                <w:color w:val="auto"/>
                <w:sz w:val="24"/>
                <w:u w:val="single" w:color="auto"/>
              </w:rPr>
            </w:pPr>
            <w:r>
              <w:rPr>
                <w:rFonts w:hint="eastAsia" w:ascii="Times New Roman" w:hAnsi="Times New Roman" w:cs="Times New Roman"/>
                <w:b/>
                <w:color w:val="auto"/>
                <w:sz w:val="24"/>
                <w:u w:val="single" w:color="auto"/>
                <w:lang w:eastAsia="zh-CN"/>
              </w:rPr>
              <w:t>(</w:t>
            </w:r>
            <w:r>
              <w:rPr>
                <w:rFonts w:hint="default" w:ascii="Times New Roman" w:hAnsi="Times New Roman" w:cs="Times New Roman"/>
                <w:b/>
                <w:color w:val="auto"/>
                <w:sz w:val="24"/>
                <w:u w:val="single" w:color="auto"/>
              </w:rPr>
              <w:t>1</w:t>
            </w:r>
            <w:r>
              <w:rPr>
                <w:rFonts w:hint="eastAsia" w:ascii="Times New Roman" w:hAnsi="Times New Roman" w:cs="Times New Roman"/>
                <w:b/>
                <w:color w:val="auto"/>
                <w:sz w:val="24"/>
                <w:u w:val="single" w:color="auto"/>
                <w:lang w:eastAsia="zh-CN"/>
              </w:rPr>
              <w:t>)</w:t>
            </w:r>
            <w:r>
              <w:rPr>
                <w:rFonts w:hint="default" w:ascii="Times New Roman" w:hAnsi="Times New Roman" w:cs="Times New Roman"/>
                <w:b/>
                <w:bCs/>
                <w:color w:val="auto"/>
                <w:sz w:val="24"/>
                <w:u w:val="single" w:color="auto"/>
                <w:lang w:val="en-GB"/>
              </w:rPr>
              <w:t>锅炉排污水+软化处理废水</w:t>
            </w:r>
          </w:p>
          <w:p>
            <w:pPr>
              <w:adjustRightInd w:val="0"/>
              <w:snapToGrid w:val="0"/>
              <w:spacing w:line="360" w:lineRule="auto"/>
              <w:ind w:firstLine="480" w:firstLineChars="200"/>
              <w:rPr>
                <w:rFonts w:hint="eastAsia" w:eastAsia="宋体" w:cs="Times New Roman"/>
                <w:bCs/>
                <w:color w:val="auto"/>
                <w:sz w:val="24"/>
                <w:u w:val="single" w:color="auto"/>
                <w:lang w:val="en-US" w:eastAsia="zh-CN"/>
              </w:rPr>
            </w:pPr>
            <w:r>
              <w:rPr>
                <w:rFonts w:hint="eastAsia" w:ascii="Times New Roman" w:hAnsi="Times New Roman" w:eastAsia="宋体" w:cs="Times New Roman"/>
                <w:bCs/>
                <w:color w:val="auto"/>
                <w:sz w:val="24"/>
                <w:u w:val="single" w:color="auto"/>
                <w:lang w:val="en-US" w:eastAsia="zh-CN"/>
              </w:rPr>
              <w:t>项目营运期废水主要为软水制备系统废水和锅炉排污水</w:t>
            </w:r>
            <w:r>
              <w:rPr>
                <w:rFonts w:hint="eastAsia" w:eastAsia="宋体" w:cs="Times New Roman"/>
                <w:bCs/>
                <w:color w:val="auto"/>
                <w:sz w:val="24"/>
                <w:u w:val="single" w:color="auto"/>
                <w:lang w:val="en-US" w:eastAsia="zh-CN"/>
              </w:rPr>
              <w:t>。</w:t>
            </w:r>
          </w:p>
          <w:p>
            <w:pPr>
              <w:adjustRightInd w:val="0"/>
              <w:snapToGrid w:val="0"/>
              <w:spacing w:line="360" w:lineRule="auto"/>
              <w:ind w:firstLine="480" w:firstLineChars="200"/>
              <w:rPr>
                <w:rFonts w:hint="eastAsia" w:ascii="Times New Roman" w:hAnsi="Times New Roman" w:eastAsia="宋体" w:cs="Times New Roman"/>
                <w:bCs/>
                <w:color w:val="auto"/>
                <w:sz w:val="24"/>
                <w:u w:val="single" w:color="auto"/>
                <w:lang w:val="en-US" w:eastAsia="zh-CN"/>
              </w:rPr>
            </w:pPr>
            <w:r>
              <w:rPr>
                <w:rFonts w:hint="eastAsia" w:cs="Times New Roman"/>
                <w:color w:val="auto"/>
                <w:sz w:val="24"/>
                <w:u w:val="single" w:color="auto"/>
                <w:lang w:val="en-US" w:eastAsia="zh-CN"/>
              </w:rPr>
              <w:t>本项目</w:t>
            </w:r>
            <w:r>
              <w:rPr>
                <w:rFonts w:hint="default" w:ascii="Times New Roman" w:hAnsi="Times New Roman" w:cs="Times New Roman"/>
                <w:color w:val="auto"/>
                <w:sz w:val="24"/>
                <w:u w:val="single" w:color="auto"/>
                <w:lang w:val="en-GB"/>
              </w:rPr>
              <w:t>锅炉排污水</w:t>
            </w:r>
            <w:r>
              <w:rPr>
                <w:rFonts w:hint="eastAsia" w:ascii="Times New Roman" w:hAnsi="Times New Roman" w:cs="Times New Roman"/>
                <w:color w:val="auto"/>
                <w:sz w:val="24"/>
                <w:u w:val="single" w:color="auto"/>
                <w:lang w:val="en-US" w:eastAsia="zh-CN"/>
              </w:rPr>
              <w:t>是指通过向锅炉内投入一定数量的软水剂，使锅炉给水中的结垢物质转变成泥垢</w:t>
            </w:r>
            <w:r>
              <w:rPr>
                <w:rFonts w:hint="eastAsia" w:cs="Times New Roman"/>
                <w:color w:val="auto"/>
                <w:sz w:val="24"/>
                <w:u w:val="single" w:color="auto"/>
                <w:lang w:val="en-US" w:eastAsia="zh-CN"/>
              </w:rPr>
              <w:t>，</w:t>
            </w:r>
            <w:r>
              <w:rPr>
                <w:rFonts w:hint="eastAsia" w:ascii="Times New Roman" w:hAnsi="Times New Roman" w:cs="Times New Roman"/>
                <w:color w:val="auto"/>
                <w:sz w:val="24"/>
                <w:u w:val="single" w:color="auto"/>
                <w:lang w:val="en-US" w:eastAsia="zh-CN"/>
              </w:rPr>
              <w:t>然后通过锅炉排污将沉渣排出锅炉</w:t>
            </w:r>
            <w:r>
              <w:rPr>
                <w:rFonts w:hint="eastAsia" w:cs="Times New Roman"/>
                <w:color w:val="auto"/>
                <w:sz w:val="24"/>
                <w:u w:val="single" w:color="auto"/>
                <w:lang w:val="en-US" w:eastAsia="zh-CN"/>
              </w:rPr>
              <w:t>，</w:t>
            </w:r>
            <w:r>
              <w:rPr>
                <w:rFonts w:hint="eastAsia" w:ascii="Times New Roman" w:hAnsi="Times New Roman" w:cs="Times New Roman"/>
                <w:color w:val="auto"/>
                <w:sz w:val="24"/>
                <w:u w:val="single" w:color="auto"/>
                <w:lang w:val="en-US" w:eastAsia="zh-CN"/>
              </w:rPr>
              <w:t>从而达到减缓或防止水垢结生的目的</w:t>
            </w:r>
            <w:r>
              <w:rPr>
                <w:rFonts w:hint="eastAsia" w:cs="Times New Roman"/>
                <w:color w:val="auto"/>
                <w:sz w:val="24"/>
                <w:u w:val="single" w:color="auto"/>
                <w:lang w:val="en-US" w:eastAsia="zh-CN"/>
              </w:rPr>
              <w:t>。</w:t>
            </w:r>
            <w:r>
              <w:rPr>
                <w:rFonts w:hint="eastAsia" w:ascii="Times New Roman" w:hAnsi="Times New Roman" w:eastAsia="宋体" w:cs="Times New Roman"/>
                <w:bCs/>
                <w:color w:val="auto"/>
                <w:sz w:val="24"/>
                <w:u w:val="single" w:color="auto"/>
                <w:lang w:val="en-US" w:eastAsia="zh-CN"/>
              </w:rPr>
              <w:t>据上文统计，锅炉废水排放量为</w:t>
            </w:r>
            <w:r>
              <w:rPr>
                <w:rFonts w:hint="eastAsia" w:cs="Times New Roman"/>
                <w:color w:val="auto"/>
                <w:sz w:val="24"/>
                <w:u w:val="single" w:color="auto"/>
                <w:lang w:val="en-US" w:eastAsia="zh-CN"/>
              </w:rPr>
              <w:t xml:space="preserve">660.77 </w:t>
            </w:r>
            <w:r>
              <w:rPr>
                <w:rFonts w:hint="default" w:ascii="Times New Roman" w:hAnsi="Times New Roman" w:eastAsia="宋体" w:cs="Times New Roman"/>
                <w:color w:val="auto"/>
                <w:kern w:val="0"/>
                <w:sz w:val="24"/>
                <w:szCs w:val="24"/>
                <w:u w:val="single" w:color="auto"/>
                <w:lang w:val="en-US" w:eastAsia="zh-CN" w:bidi="ar"/>
              </w:rPr>
              <w:t>m</w:t>
            </w:r>
            <w:r>
              <w:rPr>
                <w:rFonts w:hint="default" w:ascii="Times New Roman" w:hAnsi="Times New Roman" w:eastAsia="宋体" w:cs="Times New Roman"/>
                <w:color w:val="auto"/>
                <w:kern w:val="0"/>
                <w:sz w:val="24"/>
                <w:szCs w:val="24"/>
                <w:u w:val="single" w:color="auto"/>
                <w:vertAlign w:val="superscript"/>
                <w:lang w:val="en-US" w:eastAsia="zh-CN" w:bidi="ar"/>
              </w:rPr>
              <w:t>3</w:t>
            </w:r>
            <w:r>
              <w:rPr>
                <w:rFonts w:hint="default" w:ascii="Times New Roman" w:hAnsi="Times New Roman" w:cs="Times New Roman"/>
                <w:color w:val="auto"/>
                <w:sz w:val="24"/>
                <w:u w:val="single" w:color="auto"/>
                <w:lang w:val="en-GB"/>
              </w:rPr>
              <w:t>/a</w:t>
            </w:r>
            <w:r>
              <w:rPr>
                <w:rFonts w:hint="default" w:ascii="Times New Roman" w:hAnsi="Times New Roman" w:cs="Times New Roman"/>
                <w:color w:val="auto"/>
                <w:sz w:val="24"/>
                <w:u w:val="single" w:color="auto"/>
                <w:lang w:val="en-GB" w:eastAsia="zh-CN"/>
              </w:rPr>
              <w:t>(</w:t>
            </w:r>
            <w:r>
              <w:rPr>
                <w:rFonts w:hint="eastAsia" w:cs="Times New Roman"/>
                <w:color w:val="auto"/>
                <w:sz w:val="24"/>
                <w:u w:val="single" w:color="auto"/>
                <w:lang w:val="en-US" w:eastAsia="zh-CN"/>
              </w:rPr>
              <w:t>2.0</w:t>
            </w:r>
            <w:r>
              <w:rPr>
                <w:rFonts w:hint="default" w:ascii="Times New Roman" w:hAnsi="Times New Roman" w:eastAsia="宋体" w:cs="Times New Roman"/>
                <w:color w:val="auto"/>
                <w:kern w:val="0"/>
                <w:sz w:val="24"/>
                <w:szCs w:val="24"/>
                <w:u w:val="single" w:color="auto"/>
                <w:lang w:val="en-US" w:eastAsia="zh-CN" w:bidi="ar"/>
              </w:rPr>
              <w:t>m</w:t>
            </w:r>
            <w:r>
              <w:rPr>
                <w:rFonts w:hint="default" w:ascii="Times New Roman" w:hAnsi="Times New Roman" w:eastAsia="宋体" w:cs="Times New Roman"/>
                <w:color w:val="auto"/>
                <w:kern w:val="0"/>
                <w:sz w:val="24"/>
                <w:szCs w:val="24"/>
                <w:u w:val="single" w:color="auto"/>
                <w:vertAlign w:val="superscript"/>
                <w:lang w:val="en-US" w:eastAsia="zh-CN" w:bidi="ar"/>
              </w:rPr>
              <w:t>3</w:t>
            </w:r>
            <w:r>
              <w:rPr>
                <w:rFonts w:hint="default" w:ascii="Times New Roman" w:hAnsi="Times New Roman" w:cs="Times New Roman"/>
                <w:color w:val="auto"/>
                <w:sz w:val="24"/>
                <w:u w:val="single" w:color="auto"/>
                <w:lang w:val="en-GB"/>
              </w:rPr>
              <w:t>/d</w:t>
            </w:r>
            <w:r>
              <w:rPr>
                <w:rFonts w:hint="default" w:ascii="Times New Roman" w:hAnsi="Times New Roman" w:cs="Times New Roman"/>
                <w:color w:val="auto"/>
                <w:sz w:val="24"/>
                <w:u w:val="single" w:color="auto"/>
                <w:lang w:val="en-GB" w:eastAsia="zh-CN"/>
              </w:rPr>
              <w:t>)</w:t>
            </w:r>
            <w:r>
              <w:rPr>
                <w:rFonts w:hint="eastAsia" w:cs="Times New Roman"/>
                <w:color w:val="auto"/>
                <w:sz w:val="24"/>
                <w:u w:val="single" w:color="auto"/>
                <w:lang w:val="en-GB" w:eastAsia="zh-CN"/>
              </w:rPr>
              <w:t>。</w:t>
            </w:r>
          </w:p>
          <w:p>
            <w:pPr>
              <w:adjustRightInd w:val="0"/>
              <w:snapToGrid w:val="0"/>
              <w:spacing w:line="360" w:lineRule="auto"/>
              <w:ind w:firstLine="480" w:firstLineChars="200"/>
              <w:rPr>
                <w:rFonts w:hint="eastAsia" w:eastAsia="宋体" w:cs="Times New Roman"/>
                <w:bCs/>
                <w:color w:val="auto"/>
                <w:sz w:val="24"/>
                <w:u w:val="single" w:color="auto"/>
                <w:lang w:val="en-US" w:eastAsia="zh-CN"/>
              </w:rPr>
            </w:pPr>
            <w:r>
              <w:rPr>
                <w:rFonts w:hint="eastAsia" w:ascii="Times New Roman" w:hAnsi="Times New Roman" w:eastAsia="宋体" w:cs="Times New Roman"/>
                <w:bCs/>
                <w:color w:val="auto"/>
                <w:sz w:val="24"/>
                <w:u w:val="single" w:color="auto"/>
                <w:lang w:val="en-US" w:eastAsia="zh-CN"/>
              </w:rPr>
              <w:t>本项目</w:t>
            </w:r>
            <w:r>
              <w:rPr>
                <w:rFonts w:hint="eastAsia" w:eastAsia="宋体" w:cs="Times New Roman"/>
                <w:bCs/>
                <w:color w:val="auto"/>
                <w:sz w:val="24"/>
                <w:u w:val="single" w:color="auto"/>
                <w:lang w:val="en-US" w:eastAsia="zh-CN"/>
              </w:rPr>
              <w:t>软水制备系统废水</w:t>
            </w:r>
            <w:r>
              <w:rPr>
                <w:rFonts w:hint="eastAsia" w:ascii="Times New Roman" w:hAnsi="Times New Roman" w:eastAsia="宋体" w:cs="Times New Roman"/>
                <w:bCs/>
                <w:color w:val="auto"/>
                <w:sz w:val="24"/>
                <w:u w:val="single" w:color="auto"/>
                <w:lang w:val="en-US" w:eastAsia="zh-CN"/>
              </w:rPr>
              <w:t>，是指对进入锅炉之前的给水预先进行的各种预处理及软化、除碱或除盐等处理</w:t>
            </w:r>
            <w:r>
              <w:rPr>
                <w:rFonts w:hint="default" w:ascii="Times New Roman" w:hAnsi="Times New Roman" w:eastAsia="宋体" w:cs="Times New Roman"/>
                <w:bCs/>
                <w:color w:val="auto"/>
                <w:sz w:val="24"/>
                <w:u w:val="single" w:color="auto"/>
                <w:lang w:val="en-US" w:eastAsia="zh-CN"/>
              </w:rPr>
              <w:t>(</w:t>
            </w:r>
            <w:r>
              <w:rPr>
                <w:rFonts w:hint="eastAsia" w:ascii="Times New Roman" w:hAnsi="Times New Roman" w:eastAsia="宋体" w:cs="Times New Roman"/>
                <w:bCs/>
                <w:color w:val="auto"/>
                <w:sz w:val="24"/>
                <w:u w:val="single" w:color="auto"/>
                <w:lang w:val="en-US" w:eastAsia="zh-CN"/>
              </w:rPr>
              <w:t>主要是包括沉淀软化和水的离子交换软化</w:t>
            </w:r>
            <w:r>
              <w:rPr>
                <w:rFonts w:hint="default" w:ascii="Times New Roman" w:hAnsi="Times New Roman" w:eastAsia="宋体" w:cs="Times New Roman"/>
                <w:bCs/>
                <w:color w:val="auto"/>
                <w:sz w:val="24"/>
                <w:u w:val="single" w:color="auto"/>
                <w:lang w:val="en-US" w:eastAsia="zh-CN"/>
              </w:rPr>
              <w:t>)</w:t>
            </w:r>
            <w:r>
              <w:rPr>
                <w:rFonts w:hint="eastAsia" w:ascii="Times New Roman" w:hAnsi="Times New Roman" w:eastAsia="宋体" w:cs="Times New Roman"/>
                <w:bCs/>
                <w:color w:val="auto"/>
                <w:sz w:val="24"/>
                <w:u w:val="single" w:color="auto"/>
                <w:lang w:val="en-US" w:eastAsia="zh-CN"/>
              </w:rPr>
              <w:t>，使水质达到各种类型锅炉的要求，是锅炉水质处理的主要方式。</w:t>
            </w:r>
            <w:r>
              <w:rPr>
                <w:rFonts w:hint="default" w:ascii="Times New Roman" w:hAnsi="Times New Roman" w:eastAsia="宋体" w:cs="Times New Roman"/>
                <w:color w:val="auto"/>
                <w:kern w:val="0"/>
                <w:sz w:val="24"/>
                <w:szCs w:val="24"/>
                <w:u w:val="single" w:color="auto"/>
                <w:lang w:val="en-US" w:eastAsia="zh-CN" w:bidi="ar"/>
              </w:rPr>
              <w:t>软水制备废水量为</w:t>
            </w:r>
            <w:r>
              <w:rPr>
                <w:rFonts w:hint="eastAsia" w:cs="Times New Roman"/>
                <w:color w:val="auto"/>
                <w:kern w:val="0"/>
                <w:sz w:val="24"/>
                <w:szCs w:val="24"/>
                <w:u w:val="single" w:color="auto"/>
                <w:lang w:val="en-US" w:eastAsia="zh-CN" w:bidi="ar"/>
              </w:rPr>
              <w:t>1408.26</w:t>
            </w:r>
            <w:r>
              <w:rPr>
                <w:rFonts w:hint="default" w:ascii="Times New Roman" w:hAnsi="Times New Roman" w:eastAsia="宋体" w:cs="Times New Roman"/>
                <w:color w:val="auto"/>
                <w:kern w:val="0"/>
                <w:sz w:val="24"/>
                <w:szCs w:val="24"/>
                <w:u w:val="single" w:color="auto"/>
                <w:lang w:val="en-US" w:eastAsia="zh-CN" w:bidi="ar"/>
              </w:rPr>
              <w:t>m</w:t>
            </w:r>
            <w:r>
              <w:rPr>
                <w:rFonts w:hint="default" w:ascii="Times New Roman" w:hAnsi="Times New Roman" w:eastAsia="宋体" w:cs="Times New Roman"/>
                <w:color w:val="auto"/>
                <w:kern w:val="0"/>
                <w:sz w:val="24"/>
                <w:szCs w:val="24"/>
                <w:u w:val="single" w:color="auto"/>
                <w:vertAlign w:val="superscript"/>
                <w:lang w:val="en-US" w:eastAsia="zh-CN" w:bidi="ar"/>
              </w:rPr>
              <w:t>3</w:t>
            </w:r>
            <w:r>
              <w:rPr>
                <w:rFonts w:hint="default" w:ascii="Times New Roman" w:hAnsi="Times New Roman" w:eastAsia="宋体" w:cs="Times New Roman"/>
                <w:color w:val="auto"/>
                <w:kern w:val="0"/>
                <w:sz w:val="24"/>
                <w:szCs w:val="24"/>
                <w:u w:val="single" w:color="auto"/>
                <w:lang w:val="en-US" w:eastAsia="zh-CN" w:bidi="ar"/>
              </w:rPr>
              <w:t>/a（</w:t>
            </w:r>
            <w:r>
              <w:rPr>
                <w:rFonts w:hint="eastAsia" w:cs="Times New Roman"/>
                <w:color w:val="auto"/>
                <w:kern w:val="0"/>
                <w:sz w:val="24"/>
                <w:szCs w:val="24"/>
                <w:u w:val="single" w:color="auto"/>
                <w:lang w:val="en-US" w:eastAsia="zh-CN" w:bidi="ar"/>
              </w:rPr>
              <w:t>4.27</w:t>
            </w:r>
            <w:r>
              <w:rPr>
                <w:rFonts w:hint="default" w:ascii="Times New Roman" w:hAnsi="Times New Roman" w:eastAsia="宋体" w:cs="Times New Roman"/>
                <w:color w:val="auto"/>
                <w:kern w:val="0"/>
                <w:sz w:val="24"/>
                <w:szCs w:val="24"/>
                <w:u w:val="single" w:color="auto"/>
                <w:lang w:val="en-US" w:eastAsia="zh-CN" w:bidi="ar"/>
              </w:rPr>
              <w:t>m</w:t>
            </w:r>
            <w:r>
              <w:rPr>
                <w:rFonts w:hint="default" w:ascii="Times New Roman" w:hAnsi="Times New Roman" w:eastAsia="宋体" w:cs="Times New Roman"/>
                <w:color w:val="auto"/>
                <w:kern w:val="0"/>
                <w:sz w:val="24"/>
                <w:szCs w:val="24"/>
                <w:u w:val="single" w:color="auto"/>
                <w:vertAlign w:val="superscript"/>
                <w:lang w:val="en-US" w:eastAsia="zh-CN" w:bidi="ar"/>
              </w:rPr>
              <w:t>3</w:t>
            </w:r>
            <w:r>
              <w:rPr>
                <w:rFonts w:hint="default" w:ascii="Times New Roman" w:hAnsi="Times New Roman" w:eastAsia="宋体" w:cs="Times New Roman"/>
                <w:color w:val="auto"/>
                <w:kern w:val="0"/>
                <w:sz w:val="24"/>
                <w:szCs w:val="24"/>
                <w:u w:val="single" w:color="auto"/>
                <w:lang w:val="en-US" w:eastAsia="zh-CN" w:bidi="ar"/>
              </w:rPr>
              <w:t>/d）</w:t>
            </w:r>
            <w:r>
              <w:rPr>
                <w:rFonts w:hint="eastAsia" w:eastAsia="宋体" w:cs="Times New Roman"/>
                <w:bCs/>
                <w:color w:val="auto"/>
                <w:sz w:val="24"/>
                <w:u w:val="single" w:color="auto"/>
                <w:lang w:val="en-US" w:eastAsia="zh-CN"/>
              </w:rPr>
              <w:t>。</w:t>
            </w:r>
          </w:p>
          <w:p>
            <w:pPr>
              <w:adjustRightInd w:val="0"/>
              <w:snapToGrid w:val="0"/>
              <w:spacing w:line="360" w:lineRule="auto"/>
              <w:ind w:firstLine="480" w:firstLineChars="200"/>
              <w:rPr>
                <w:rFonts w:hint="default" w:ascii="Times New Roman" w:hAnsi="Times New Roman" w:eastAsia="宋体" w:cs="Times New Roman"/>
                <w:bCs/>
                <w:color w:val="auto"/>
                <w:sz w:val="24"/>
                <w:u w:val="single" w:color="auto"/>
              </w:rPr>
            </w:pPr>
            <w:r>
              <w:rPr>
                <w:rFonts w:hint="eastAsia" w:ascii="Times New Roman" w:hAnsi="Times New Roman" w:eastAsia="宋体" w:cs="Times New Roman"/>
                <w:bCs/>
                <w:color w:val="auto"/>
                <w:sz w:val="24"/>
                <w:u w:val="single" w:color="auto"/>
                <w:lang w:val="en-US" w:eastAsia="zh-CN"/>
              </w:rPr>
              <w:t>本项目锅炉废水主要为锅炉定期排污水及软水器反冲洗水，其污水成分简单，</w:t>
            </w:r>
            <w:r>
              <w:rPr>
                <w:u w:val="single" w:color="auto"/>
              </w:rPr>
              <w:t>主要污染物为少量盐分，主要包括Ca、Mg、Na，属于清净下水</w:t>
            </w:r>
            <w:r>
              <w:rPr>
                <w:rFonts w:hint="eastAsia" w:cs="Times New Roman"/>
                <w:bCs/>
                <w:color w:val="auto"/>
                <w:sz w:val="24"/>
                <w:u w:val="single" w:color="auto"/>
                <w:lang w:val="en-US" w:eastAsia="zh-CN"/>
              </w:rPr>
              <w:t>。</w:t>
            </w:r>
            <w:r>
              <w:rPr>
                <w:rFonts w:hint="eastAsia"/>
                <w:color w:val="auto"/>
                <w:u w:val="single" w:color="auto"/>
              </w:rPr>
              <w:t>由于</w:t>
            </w:r>
            <w:r>
              <w:rPr>
                <w:rFonts w:hint="default" w:ascii="Times New Roman" w:hAnsi="Times New Roman" w:eastAsia="宋体" w:cs="Times New Roman"/>
                <w:color w:val="auto"/>
                <w:u w:val="single" w:color="auto"/>
              </w:rPr>
              <w:t>配料、倒料拌料</w:t>
            </w:r>
            <w:r>
              <w:rPr>
                <w:rFonts w:hint="eastAsia" w:cs="Times New Roman"/>
                <w:color w:val="auto"/>
                <w:u w:val="single" w:color="auto"/>
                <w:lang w:val="en-US" w:eastAsia="zh-CN"/>
              </w:rPr>
              <w:t>工序</w:t>
            </w:r>
            <w:r>
              <w:rPr>
                <w:rFonts w:hint="eastAsia"/>
                <w:color w:val="auto"/>
                <w:u w:val="single" w:color="auto"/>
              </w:rPr>
              <w:t>对水质要求不高，经沉淀处理后的锅炉排污水、软水制备排浓水水质可完全回用于</w:t>
            </w:r>
            <w:r>
              <w:rPr>
                <w:rFonts w:hint="eastAsia"/>
                <w:color w:val="auto"/>
                <w:u w:val="single" w:color="auto"/>
                <w:lang w:val="en-US" w:eastAsia="zh-CN"/>
              </w:rPr>
              <w:t>主料预湿</w:t>
            </w:r>
            <w:r>
              <w:rPr>
                <w:rFonts w:hint="eastAsia"/>
                <w:color w:val="auto"/>
                <w:u w:val="single" w:color="auto"/>
              </w:rPr>
              <w:t>。同时，经计算锅炉排污水、软水制备排浓水产生量小于</w:t>
            </w:r>
            <w:r>
              <w:rPr>
                <w:rFonts w:hint="eastAsia"/>
                <w:color w:val="auto"/>
                <w:u w:val="single" w:color="auto"/>
                <w:lang w:val="en-US" w:eastAsia="zh-CN"/>
              </w:rPr>
              <w:t>主料预湿</w:t>
            </w:r>
            <w:r>
              <w:rPr>
                <w:rFonts w:hint="eastAsia"/>
                <w:color w:val="auto"/>
                <w:u w:val="single" w:color="auto"/>
              </w:rPr>
              <w:t>用水需求量，满足水量消纳需求</w:t>
            </w:r>
            <w:r>
              <w:rPr>
                <w:rFonts w:hint="eastAsia"/>
                <w:color w:val="auto"/>
                <w:u w:val="single" w:color="auto"/>
                <w:lang w:eastAsia="zh-CN"/>
              </w:rPr>
              <w:t>，</w:t>
            </w:r>
            <w:r>
              <w:rPr>
                <w:rFonts w:hint="eastAsia"/>
                <w:color w:val="auto"/>
                <w:u w:val="single" w:color="auto"/>
                <w:lang w:val="en-US" w:eastAsia="zh-CN"/>
              </w:rPr>
              <w:t>因此锅炉废水</w:t>
            </w:r>
            <w:r>
              <w:rPr>
                <w:rFonts w:hint="eastAsia" w:ascii="Times New Roman" w:hAnsi="Times New Roman" w:eastAsia="宋体" w:cs="Times New Roman"/>
                <w:bCs/>
                <w:color w:val="auto"/>
                <w:sz w:val="24"/>
                <w:u w:val="single" w:color="auto"/>
                <w:lang w:eastAsia="zh-CN"/>
              </w:rPr>
              <w:t>经沉淀后回用</w:t>
            </w:r>
            <w:r>
              <w:rPr>
                <w:rFonts w:hint="eastAsia" w:ascii="Times New Roman" w:hAnsi="Times New Roman" w:eastAsia="宋体" w:cs="Times New Roman"/>
                <w:bCs/>
                <w:color w:val="auto"/>
                <w:sz w:val="24"/>
                <w:u w:val="single" w:color="auto"/>
                <w:lang w:val="en-US" w:eastAsia="zh-CN"/>
              </w:rPr>
              <w:t>于</w:t>
            </w:r>
            <w:r>
              <w:rPr>
                <w:rFonts w:hint="default" w:ascii="Times New Roman" w:hAnsi="Times New Roman" w:eastAsia="宋体" w:cs="Times New Roman"/>
                <w:bCs/>
                <w:color w:val="auto"/>
                <w:sz w:val="24"/>
                <w:u w:val="single" w:color="auto"/>
                <w:lang w:val="en-US" w:eastAsia="zh-CN"/>
              </w:rPr>
              <w:t>主料预湿工序，</w:t>
            </w:r>
            <w:r>
              <w:rPr>
                <w:rFonts w:hint="eastAsia" w:cs="Times New Roman"/>
                <w:bCs/>
                <w:color w:val="auto"/>
                <w:sz w:val="24"/>
                <w:u w:val="single" w:color="auto"/>
                <w:lang w:val="en-US" w:eastAsia="zh-CN"/>
              </w:rPr>
              <w:t>措施可行</w:t>
            </w:r>
            <w:r>
              <w:rPr>
                <w:rFonts w:hint="default" w:ascii="Times New Roman" w:hAnsi="Times New Roman" w:eastAsia="宋体" w:cs="Times New Roman"/>
                <w:bCs/>
                <w:color w:val="auto"/>
                <w:sz w:val="24"/>
                <w:u w:val="single" w:color="auto"/>
              </w:rPr>
              <w:t>。</w:t>
            </w:r>
          </w:p>
          <w:p>
            <w:pPr>
              <w:keepNext w:val="0"/>
              <w:keepLines w:val="0"/>
              <w:widowControl/>
              <w:suppressLineNumbers w:val="0"/>
              <w:jc w:val="left"/>
              <w:rPr>
                <w:rFonts w:hint="default" w:ascii="Times New Roman" w:hAnsi="Times New Roman" w:eastAsia="宋体" w:cs="Times New Roman"/>
                <w:b/>
                <w:bCs/>
                <w:color w:val="auto"/>
                <w:sz w:val="24"/>
                <w:u w:val="single"/>
                <w:lang w:val="en-US" w:eastAsia="zh-CN"/>
              </w:rPr>
            </w:pPr>
            <w:r>
              <w:rPr>
                <w:rFonts w:hint="eastAsia" w:cs="Times New Roman"/>
                <w:b/>
                <w:bCs/>
                <w:color w:val="auto"/>
                <w:sz w:val="24"/>
                <w:u w:val="single"/>
                <w:lang w:eastAsia="zh-CN"/>
              </w:rPr>
              <w:t>（</w:t>
            </w:r>
            <w:r>
              <w:rPr>
                <w:rFonts w:hint="eastAsia" w:cs="Times New Roman"/>
                <w:b/>
                <w:bCs/>
                <w:color w:val="auto"/>
                <w:sz w:val="24"/>
                <w:u w:val="single"/>
                <w:lang w:val="en-US" w:eastAsia="zh-CN"/>
              </w:rPr>
              <w:t>2</w:t>
            </w:r>
            <w:r>
              <w:rPr>
                <w:rFonts w:hint="eastAsia" w:cs="Times New Roman"/>
                <w:b/>
                <w:bCs/>
                <w:color w:val="auto"/>
                <w:sz w:val="24"/>
                <w:u w:val="single"/>
                <w:lang w:eastAsia="zh-CN"/>
              </w:rPr>
              <w:t>）</w:t>
            </w:r>
            <w:r>
              <w:rPr>
                <w:rFonts w:hint="eastAsia" w:cs="Times New Roman"/>
                <w:b/>
                <w:bCs/>
                <w:color w:val="auto"/>
                <w:sz w:val="24"/>
                <w:u w:val="single"/>
                <w:lang w:val="en-US" w:eastAsia="zh-CN"/>
              </w:rPr>
              <w:t>生活污水</w:t>
            </w:r>
          </w:p>
          <w:p>
            <w:pPr>
              <w:adjustRightInd w:val="0"/>
              <w:snapToGrid w:val="0"/>
              <w:spacing w:line="360" w:lineRule="auto"/>
              <w:ind w:firstLine="480" w:firstLineChars="200"/>
              <w:rPr>
                <w:rFonts w:hint="default" w:ascii="Times New Roman" w:hAnsi="Times New Roman" w:eastAsia="宋体" w:cs="Times New Roman"/>
                <w:bCs/>
                <w:color w:val="auto"/>
                <w:sz w:val="24"/>
                <w:u w:val="single"/>
                <w:lang w:val="en-US" w:eastAsia="zh-CN"/>
              </w:rPr>
            </w:pPr>
            <w:r>
              <w:rPr>
                <w:rFonts w:hint="default" w:ascii="Times New Roman" w:hAnsi="Times New Roman" w:eastAsia="宋体" w:cs="Times New Roman"/>
                <w:color w:val="auto"/>
                <w:u w:val="single"/>
              </w:rPr>
              <w:t>根据湖南省地方标准《用水定额》（DB43/T388-2020）</w:t>
            </w:r>
            <w:r>
              <w:rPr>
                <w:rFonts w:hint="eastAsia" w:cs="Times New Roman"/>
                <w:color w:val="auto"/>
                <w:u w:val="single"/>
                <w:lang w:val="en-US" w:eastAsia="zh-CN"/>
              </w:rPr>
              <w:t>表31公共事业及公共建筑用水定额，办公楼用水括办公室、食堂、浴室、锅炉、空调、集体宿舍和绿化等与机关服务相关的用水量，不包括对外服务的政务大厅等用水量，通用定额为38m</w:t>
            </w:r>
            <w:r>
              <w:rPr>
                <w:rFonts w:hint="eastAsia" w:cs="Times New Roman"/>
                <w:color w:val="auto"/>
                <w:sz w:val="24"/>
                <w:u w:val="single"/>
                <w:vertAlign w:val="superscript"/>
                <w:lang w:val="en-US" w:eastAsia="zh-CN"/>
              </w:rPr>
              <w:t>3</w:t>
            </w:r>
            <w:r>
              <w:rPr>
                <w:rFonts w:hint="eastAsia" w:cs="Times New Roman"/>
                <w:color w:val="auto"/>
                <w:u w:val="single"/>
                <w:lang w:val="en-US" w:eastAsia="zh-CN"/>
              </w:rPr>
              <w:t>/人</w:t>
            </w:r>
            <w:r>
              <w:rPr>
                <w:rFonts w:hint="default" w:ascii="Times New Roman" w:hAnsi="Times New Roman" w:eastAsia="宋体" w:cs="Times New Roman"/>
                <w:color w:val="auto"/>
                <w:u w:val="single"/>
              </w:rPr>
              <w:t>·</w:t>
            </w:r>
            <w:r>
              <w:rPr>
                <w:rFonts w:hint="eastAsia" w:cs="Times New Roman"/>
                <w:color w:val="auto"/>
                <w:u w:val="single"/>
                <w:lang w:val="en-US" w:eastAsia="zh-CN"/>
              </w:rPr>
              <w:t>a</w:t>
            </w:r>
            <w:r>
              <w:rPr>
                <w:rFonts w:hint="eastAsia" w:ascii="Times New Roman" w:hAnsi="Times New Roman" w:eastAsia="宋体" w:cs="Times New Roman"/>
                <w:color w:val="auto"/>
                <w:u w:val="single"/>
                <w:lang w:eastAsia="zh-CN"/>
              </w:rPr>
              <w:t>。</w:t>
            </w:r>
            <w:r>
              <w:rPr>
                <w:rFonts w:hint="eastAsia" w:cs="Times New Roman"/>
                <w:color w:val="auto"/>
                <w:u w:val="single"/>
                <w:lang w:val="en-US" w:eastAsia="zh-CN"/>
              </w:rPr>
              <w:t>考虑本工程职工不在厂内住宿，其</w:t>
            </w:r>
            <w:r>
              <w:rPr>
                <w:rFonts w:hint="default" w:ascii="Times New Roman" w:hAnsi="Times New Roman" w:eastAsia="宋体" w:cs="Times New Roman"/>
                <w:color w:val="auto"/>
                <w:u w:val="single"/>
              </w:rPr>
              <w:t>生活用水量</w:t>
            </w:r>
            <w:r>
              <w:rPr>
                <w:rFonts w:hint="eastAsia" w:cs="Times New Roman"/>
                <w:color w:val="auto"/>
                <w:u w:val="single"/>
                <w:lang w:val="en-US" w:eastAsia="zh-CN"/>
              </w:rPr>
              <w:t>参考办公楼用水定额</w:t>
            </w:r>
            <w:r>
              <w:rPr>
                <w:rFonts w:hint="default" w:ascii="Times New Roman" w:hAnsi="Times New Roman" w:eastAsia="宋体" w:cs="Times New Roman"/>
                <w:color w:val="auto"/>
                <w:u w:val="single"/>
                <w:lang w:val="en-US" w:eastAsia="zh-CN"/>
              </w:rPr>
              <w:t>38</w:t>
            </w:r>
            <w:r>
              <w:rPr>
                <w:rFonts w:hint="eastAsia" w:cs="Times New Roman"/>
                <w:color w:val="auto"/>
                <w:u w:val="single"/>
                <w:lang w:val="en-US" w:eastAsia="zh-CN"/>
              </w:rPr>
              <w:t>m</w:t>
            </w:r>
            <w:r>
              <w:rPr>
                <w:rFonts w:hint="eastAsia" w:cs="Times New Roman"/>
                <w:color w:val="auto"/>
                <w:sz w:val="24"/>
                <w:u w:val="single"/>
                <w:vertAlign w:val="superscript"/>
                <w:lang w:val="en-US" w:eastAsia="zh-CN"/>
              </w:rPr>
              <w:t>3</w:t>
            </w:r>
            <w:r>
              <w:rPr>
                <w:rFonts w:hint="default" w:ascii="Times New Roman" w:hAnsi="Times New Roman" w:eastAsia="宋体" w:cs="Times New Roman"/>
                <w:color w:val="auto"/>
                <w:u w:val="single"/>
              </w:rPr>
              <w:t>/（人·</w:t>
            </w:r>
            <w:r>
              <w:rPr>
                <w:rFonts w:hint="eastAsia" w:cs="Times New Roman"/>
                <w:color w:val="auto"/>
                <w:u w:val="single"/>
                <w:lang w:val="en-US" w:eastAsia="zh-CN"/>
              </w:rPr>
              <w:t>a</w:t>
            </w:r>
            <w:r>
              <w:rPr>
                <w:rFonts w:hint="default" w:ascii="Times New Roman" w:hAnsi="Times New Roman" w:eastAsia="宋体" w:cs="Times New Roman"/>
                <w:color w:val="auto"/>
                <w:u w:val="single"/>
              </w:rPr>
              <w:t>）</w:t>
            </w:r>
            <w:r>
              <w:rPr>
                <w:rFonts w:hint="eastAsia" w:cs="Times New Roman"/>
                <w:color w:val="auto"/>
                <w:u w:val="single"/>
                <w:lang w:val="en-US" w:eastAsia="zh-CN"/>
              </w:rPr>
              <w:t>计算</w:t>
            </w:r>
            <w:r>
              <w:rPr>
                <w:rFonts w:hint="default" w:ascii="Times New Roman" w:hAnsi="Times New Roman" w:eastAsia="宋体" w:cs="Times New Roman"/>
                <w:color w:val="auto"/>
                <w:u w:val="single"/>
              </w:rPr>
              <w:t>，</w:t>
            </w:r>
            <w:r>
              <w:rPr>
                <w:rFonts w:hint="default" w:ascii="Times New Roman" w:hAnsi="Times New Roman" w:eastAsia="宋体" w:cs="Times New Roman"/>
                <w:bCs/>
                <w:color w:val="auto"/>
                <w:sz w:val="24"/>
                <w:u w:val="single"/>
              </w:rPr>
              <w:t>则本项目生活用水量</w:t>
            </w:r>
            <w:r>
              <w:rPr>
                <w:rFonts w:hint="eastAsia" w:cs="Times New Roman"/>
                <w:bCs/>
                <w:color w:val="auto"/>
                <w:sz w:val="24"/>
                <w:u w:val="single"/>
                <w:lang w:val="en-US" w:eastAsia="zh-CN"/>
              </w:rPr>
              <w:t>4940</w:t>
            </w:r>
            <w:r>
              <w:rPr>
                <w:rFonts w:hint="default" w:ascii="Times New Roman" w:hAnsi="Times New Roman" w:eastAsia="宋体" w:cs="Times New Roman"/>
                <w:bCs/>
                <w:color w:val="auto"/>
                <w:sz w:val="24"/>
                <w:u w:val="single"/>
              </w:rPr>
              <w:t>m</w:t>
            </w:r>
            <w:r>
              <w:rPr>
                <w:rFonts w:hint="default" w:ascii="Times New Roman" w:hAnsi="Times New Roman" w:eastAsia="宋体" w:cs="Times New Roman"/>
                <w:bCs/>
                <w:color w:val="auto"/>
                <w:sz w:val="24"/>
                <w:u w:val="single"/>
                <w:vertAlign w:val="superscript"/>
              </w:rPr>
              <w:t>3</w:t>
            </w:r>
            <w:r>
              <w:rPr>
                <w:rFonts w:hint="default" w:ascii="Times New Roman" w:hAnsi="Times New Roman" w:eastAsia="宋体" w:cs="Times New Roman"/>
                <w:bCs/>
                <w:color w:val="auto"/>
                <w:sz w:val="24"/>
                <w:u w:val="single"/>
              </w:rPr>
              <w:t>/a</w:t>
            </w:r>
            <w:r>
              <w:rPr>
                <w:rFonts w:hint="eastAsia" w:ascii="Times New Roman" w:hAnsi="Times New Roman" w:eastAsia="宋体" w:cs="Times New Roman"/>
                <w:bCs/>
                <w:color w:val="auto"/>
                <w:sz w:val="24"/>
                <w:u w:val="single"/>
                <w:lang w:eastAsia="zh-CN"/>
              </w:rPr>
              <w:t>，</w:t>
            </w:r>
            <w:r>
              <w:rPr>
                <w:rFonts w:hint="default" w:ascii="Times New Roman" w:hAnsi="Times New Roman" w:eastAsia="宋体" w:cs="Times New Roman"/>
                <w:bCs/>
                <w:color w:val="auto"/>
                <w:sz w:val="24"/>
                <w:u w:val="single"/>
              </w:rPr>
              <w:t>生活污水的排放系数取0.8，则本项目生活污水排放量</w:t>
            </w:r>
            <w:r>
              <w:rPr>
                <w:rFonts w:hint="eastAsia" w:cs="Times New Roman"/>
                <w:bCs/>
                <w:color w:val="auto"/>
                <w:sz w:val="24"/>
                <w:u w:val="single"/>
                <w:lang w:val="en-US" w:eastAsia="zh-CN"/>
              </w:rPr>
              <w:t>3952</w:t>
            </w:r>
            <w:r>
              <w:rPr>
                <w:rFonts w:hint="default" w:ascii="Times New Roman" w:hAnsi="Times New Roman" w:eastAsia="宋体" w:cs="Times New Roman"/>
                <w:bCs/>
                <w:color w:val="auto"/>
                <w:sz w:val="24"/>
                <w:u w:val="single"/>
              </w:rPr>
              <w:t>m</w:t>
            </w:r>
            <w:r>
              <w:rPr>
                <w:rFonts w:hint="default" w:ascii="Times New Roman" w:hAnsi="Times New Roman" w:eastAsia="宋体" w:cs="Times New Roman"/>
                <w:bCs/>
                <w:color w:val="auto"/>
                <w:sz w:val="24"/>
                <w:u w:val="single"/>
                <w:vertAlign w:val="superscript"/>
              </w:rPr>
              <w:t>3</w:t>
            </w:r>
            <w:r>
              <w:rPr>
                <w:rFonts w:hint="default" w:ascii="Times New Roman" w:hAnsi="Times New Roman" w:eastAsia="宋体" w:cs="Times New Roman"/>
                <w:bCs/>
                <w:color w:val="auto"/>
                <w:sz w:val="24"/>
                <w:u w:val="single"/>
              </w:rPr>
              <w:t>/a。</w:t>
            </w:r>
            <w:r>
              <w:rPr>
                <w:rFonts w:hint="default" w:ascii="Times New Roman" w:hAnsi="Times New Roman" w:cs="Times New Roman"/>
                <w:color w:val="auto"/>
                <w:sz w:val="24"/>
                <w:szCs w:val="24"/>
                <w:u w:val="single"/>
              </w:rPr>
              <w:t>典型生活污水水质为COD</w:t>
            </w:r>
            <w:r>
              <w:rPr>
                <w:rFonts w:hint="default" w:ascii="Times New Roman" w:hAnsi="Times New Roman" w:cs="Times New Roman"/>
                <w:color w:val="auto"/>
                <w:sz w:val="24"/>
                <w:szCs w:val="24"/>
                <w:u w:val="single"/>
                <w:lang w:eastAsia="zh-CN"/>
              </w:rPr>
              <w:t>：</w:t>
            </w:r>
            <w:r>
              <w:rPr>
                <w:rFonts w:hint="default" w:ascii="Times New Roman" w:hAnsi="Times New Roman" w:cs="Times New Roman"/>
                <w:color w:val="auto"/>
                <w:sz w:val="24"/>
                <w:szCs w:val="24"/>
                <w:u w:val="single"/>
                <w:lang w:val="en-US" w:eastAsia="zh-CN"/>
              </w:rPr>
              <w:t>18</w:t>
            </w:r>
            <w:r>
              <w:rPr>
                <w:rFonts w:hint="default" w:ascii="Times New Roman" w:hAnsi="Times New Roman" w:cs="Times New Roman"/>
                <w:color w:val="auto"/>
                <w:sz w:val="24"/>
                <w:szCs w:val="24"/>
                <w:u w:val="single"/>
              </w:rPr>
              <w:t>0mg/L、BOD</w:t>
            </w:r>
            <w:r>
              <w:rPr>
                <w:rFonts w:hint="default" w:ascii="Times New Roman" w:hAnsi="Times New Roman" w:cs="Times New Roman"/>
                <w:color w:val="auto"/>
                <w:sz w:val="24"/>
                <w:szCs w:val="24"/>
                <w:u w:val="single"/>
                <w:vertAlign w:val="subscript"/>
              </w:rPr>
              <w:t>5</w:t>
            </w:r>
            <w:r>
              <w:rPr>
                <w:rFonts w:hint="default" w:ascii="Times New Roman" w:hAnsi="Times New Roman" w:cs="Times New Roman"/>
                <w:color w:val="auto"/>
                <w:sz w:val="24"/>
                <w:szCs w:val="24"/>
                <w:u w:val="single"/>
                <w:lang w:eastAsia="zh-CN"/>
              </w:rPr>
              <w:t>：</w:t>
            </w:r>
            <w:r>
              <w:rPr>
                <w:rFonts w:hint="default" w:ascii="Times New Roman" w:hAnsi="Times New Roman" w:cs="Times New Roman"/>
                <w:color w:val="auto"/>
                <w:sz w:val="24"/>
                <w:szCs w:val="24"/>
                <w:u w:val="single"/>
              </w:rPr>
              <w:t>1</w:t>
            </w:r>
            <w:r>
              <w:rPr>
                <w:rFonts w:hint="default" w:ascii="Times New Roman" w:hAnsi="Times New Roman" w:cs="Times New Roman"/>
                <w:color w:val="auto"/>
                <w:sz w:val="24"/>
                <w:szCs w:val="24"/>
                <w:u w:val="single"/>
                <w:lang w:val="en-US" w:eastAsia="zh-CN"/>
              </w:rPr>
              <w:t>20</w:t>
            </w:r>
            <w:r>
              <w:rPr>
                <w:rFonts w:hint="default" w:ascii="Times New Roman" w:hAnsi="Times New Roman" w:cs="Times New Roman"/>
                <w:color w:val="auto"/>
                <w:sz w:val="24"/>
                <w:szCs w:val="24"/>
                <w:u w:val="single"/>
              </w:rPr>
              <w:t>mg/L、SS</w:t>
            </w:r>
            <w:r>
              <w:rPr>
                <w:rFonts w:hint="default" w:ascii="Times New Roman" w:hAnsi="Times New Roman" w:cs="Times New Roman"/>
                <w:color w:val="auto"/>
                <w:sz w:val="24"/>
                <w:szCs w:val="24"/>
                <w:u w:val="single"/>
                <w:lang w:val="en-US" w:eastAsia="zh-CN"/>
              </w:rPr>
              <w:t>150</w:t>
            </w:r>
            <w:r>
              <w:rPr>
                <w:rFonts w:hint="default" w:ascii="Times New Roman" w:hAnsi="Times New Roman" w:cs="Times New Roman"/>
                <w:color w:val="auto"/>
                <w:sz w:val="24"/>
                <w:szCs w:val="24"/>
                <w:u w:val="single"/>
              </w:rPr>
              <w:t>mg/L、NH</w:t>
            </w:r>
            <w:r>
              <w:rPr>
                <w:rFonts w:hint="default" w:ascii="Times New Roman" w:hAnsi="Times New Roman" w:cs="Times New Roman"/>
                <w:color w:val="auto"/>
                <w:sz w:val="24"/>
                <w:szCs w:val="24"/>
                <w:u w:val="single"/>
                <w:vertAlign w:val="subscript"/>
              </w:rPr>
              <w:t>3</w:t>
            </w:r>
            <w:r>
              <w:rPr>
                <w:rFonts w:hint="default" w:ascii="Times New Roman" w:hAnsi="Times New Roman" w:cs="Times New Roman"/>
                <w:color w:val="auto"/>
                <w:sz w:val="24"/>
                <w:szCs w:val="24"/>
                <w:u w:val="single"/>
              </w:rPr>
              <w:t>-N</w:t>
            </w:r>
            <w:r>
              <w:rPr>
                <w:rFonts w:hint="default" w:ascii="Times New Roman" w:hAnsi="Times New Roman" w:cs="Times New Roman"/>
                <w:color w:val="auto"/>
                <w:sz w:val="24"/>
                <w:szCs w:val="24"/>
                <w:u w:val="single"/>
                <w:lang w:val="en-US" w:eastAsia="zh-CN"/>
              </w:rPr>
              <w:t>18</w:t>
            </w:r>
            <w:r>
              <w:rPr>
                <w:rFonts w:hint="default" w:ascii="Times New Roman" w:hAnsi="Times New Roman" w:cs="Times New Roman"/>
                <w:color w:val="auto"/>
                <w:sz w:val="24"/>
                <w:szCs w:val="24"/>
                <w:u w:val="single"/>
              </w:rPr>
              <w:t>mg/L</w:t>
            </w:r>
            <w:r>
              <w:rPr>
                <w:rFonts w:hint="default" w:ascii="Times New Roman" w:hAnsi="Times New Roman" w:cs="Times New Roman"/>
                <w:color w:val="auto"/>
                <w:sz w:val="24"/>
                <w:szCs w:val="24"/>
                <w:u w:val="single"/>
                <w:lang w:eastAsia="zh-CN"/>
              </w:rPr>
              <w:t>、</w:t>
            </w:r>
            <w:r>
              <w:rPr>
                <w:rFonts w:hint="default" w:ascii="Times New Roman" w:hAnsi="Times New Roman" w:cs="Times New Roman"/>
                <w:color w:val="auto"/>
                <w:sz w:val="24"/>
                <w:szCs w:val="24"/>
                <w:u w:val="single"/>
                <w:lang w:val="en-US" w:eastAsia="zh-CN"/>
              </w:rPr>
              <w:t>TP</w:t>
            </w:r>
            <w:r>
              <w:rPr>
                <w:rFonts w:hint="eastAsia" w:ascii="Times New Roman" w:hAnsi="Times New Roman" w:cs="Times New Roman"/>
                <w:color w:val="auto"/>
                <w:sz w:val="24"/>
                <w:szCs w:val="24"/>
                <w:u w:val="single"/>
                <w:lang w:val="en-US" w:eastAsia="zh-CN"/>
              </w:rPr>
              <w:t>3</w:t>
            </w:r>
            <w:r>
              <w:rPr>
                <w:rFonts w:hint="default" w:ascii="Times New Roman" w:hAnsi="Times New Roman" w:cs="Times New Roman"/>
                <w:color w:val="auto"/>
                <w:sz w:val="24"/>
                <w:szCs w:val="24"/>
                <w:u w:val="single"/>
              </w:rPr>
              <w:t>mg/L</w:t>
            </w:r>
            <w:r>
              <w:rPr>
                <w:rFonts w:hint="default" w:ascii="Times New Roman" w:hAnsi="Times New Roman" w:cs="Times New Roman"/>
                <w:color w:val="auto"/>
                <w:sz w:val="24"/>
                <w:u w:val="single"/>
              </w:rPr>
              <w:t>，则污染物产生量分别为COD</w:t>
            </w:r>
            <w:r>
              <w:rPr>
                <w:rFonts w:hint="default" w:ascii="Times New Roman" w:hAnsi="Times New Roman" w:cs="Times New Roman"/>
                <w:color w:val="auto"/>
                <w:sz w:val="24"/>
                <w:u w:val="single"/>
                <w:lang w:eastAsia="zh-CN"/>
              </w:rPr>
              <w:t>：</w:t>
            </w:r>
            <w:r>
              <w:rPr>
                <w:rFonts w:hint="eastAsia" w:cs="Times New Roman"/>
                <w:color w:val="auto"/>
                <w:sz w:val="24"/>
                <w:u w:val="single"/>
                <w:lang w:val="en-US" w:eastAsia="zh-CN"/>
              </w:rPr>
              <w:t>0.711</w:t>
            </w:r>
            <w:r>
              <w:rPr>
                <w:rFonts w:hint="default" w:ascii="Times New Roman" w:hAnsi="Times New Roman" w:cs="Times New Roman"/>
                <w:color w:val="auto"/>
                <w:sz w:val="24"/>
                <w:u w:val="single"/>
              </w:rPr>
              <w:t>t/a，BOD</w:t>
            </w:r>
            <w:r>
              <w:rPr>
                <w:rFonts w:hint="default" w:ascii="Times New Roman" w:hAnsi="Times New Roman" w:cs="Times New Roman"/>
                <w:color w:val="auto"/>
                <w:sz w:val="24"/>
                <w:u w:val="single"/>
                <w:vertAlign w:val="subscript"/>
              </w:rPr>
              <w:t>5</w:t>
            </w:r>
            <w:r>
              <w:rPr>
                <w:rFonts w:hint="default" w:ascii="Times New Roman" w:hAnsi="Times New Roman" w:cs="Times New Roman"/>
                <w:color w:val="auto"/>
                <w:sz w:val="24"/>
                <w:u w:val="single"/>
                <w:lang w:eastAsia="zh-CN"/>
              </w:rPr>
              <w:t>：</w:t>
            </w:r>
            <w:r>
              <w:rPr>
                <w:rFonts w:hint="eastAsia" w:cs="Times New Roman"/>
                <w:color w:val="auto"/>
                <w:sz w:val="24"/>
                <w:u w:val="single"/>
                <w:lang w:val="en-US" w:eastAsia="zh-CN"/>
              </w:rPr>
              <w:t>0.474</w:t>
            </w:r>
            <w:r>
              <w:rPr>
                <w:rFonts w:hint="default" w:ascii="Times New Roman" w:hAnsi="Times New Roman" w:cs="Times New Roman"/>
                <w:color w:val="auto"/>
                <w:sz w:val="24"/>
                <w:u w:val="single"/>
              </w:rPr>
              <w:t>t/a，SS</w:t>
            </w:r>
            <w:r>
              <w:rPr>
                <w:rFonts w:hint="default" w:ascii="Times New Roman" w:hAnsi="Times New Roman" w:cs="Times New Roman"/>
                <w:color w:val="auto"/>
                <w:sz w:val="24"/>
                <w:u w:val="single"/>
                <w:lang w:eastAsia="zh-CN"/>
              </w:rPr>
              <w:t>：</w:t>
            </w:r>
            <w:r>
              <w:rPr>
                <w:rFonts w:hint="eastAsia" w:cs="Times New Roman"/>
                <w:color w:val="auto"/>
                <w:sz w:val="24"/>
                <w:u w:val="single"/>
                <w:lang w:val="en-US" w:eastAsia="zh-CN"/>
              </w:rPr>
              <w:t>0.593</w:t>
            </w:r>
            <w:r>
              <w:rPr>
                <w:rFonts w:hint="default" w:ascii="Times New Roman" w:hAnsi="Times New Roman" w:cs="Times New Roman"/>
                <w:color w:val="auto"/>
                <w:sz w:val="24"/>
                <w:u w:val="single"/>
              </w:rPr>
              <w:t>t/a，NH</w:t>
            </w:r>
            <w:r>
              <w:rPr>
                <w:rFonts w:hint="default" w:ascii="Times New Roman" w:hAnsi="Times New Roman" w:cs="Times New Roman"/>
                <w:color w:val="auto"/>
                <w:sz w:val="24"/>
                <w:u w:val="single"/>
                <w:vertAlign w:val="subscript"/>
              </w:rPr>
              <w:t>3</w:t>
            </w:r>
            <w:r>
              <w:rPr>
                <w:rFonts w:hint="default" w:ascii="Times New Roman" w:hAnsi="Times New Roman" w:cs="Times New Roman"/>
                <w:color w:val="auto"/>
                <w:sz w:val="24"/>
                <w:u w:val="single"/>
              </w:rPr>
              <w:t>-N</w:t>
            </w:r>
            <w:r>
              <w:rPr>
                <w:rFonts w:hint="default" w:ascii="Times New Roman" w:hAnsi="Times New Roman" w:cs="Times New Roman"/>
                <w:color w:val="auto"/>
                <w:sz w:val="24"/>
                <w:u w:val="single"/>
                <w:lang w:eastAsia="zh-CN"/>
              </w:rPr>
              <w:t>：</w:t>
            </w:r>
            <w:r>
              <w:rPr>
                <w:rFonts w:hint="eastAsia" w:cs="Times New Roman"/>
                <w:color w:val="auto"/>
                <w:sz w:val="24"/>
                <w:u w:val="single"/>
                <w:lang w:val="en-US" w:eastAsia="zh-CN"/>
              </w:rPr>
              <w:t>0.071</w:t>
            </w:r>
            <w:r>
              <w:rPr>
                <w:rFonts w:hint="default" w:ascii="Times New Roman" w:hAnsi="Times New Roman" w:cs="Times New Roman"/>
                <w:color w:val="auto"/>
                <w:sz w:val="24"/>
                <w:u w:val="single"/>
              </w:rPr>
              <w:t>t/a</w:t>
            </w:r>
            <w:r>
              <w:rPr>
                <w:rFonts w:hint="default" w:ascii="Times New Roman" w:hAnsi="Times New Roman" w:cs="Times New Roman"/>
                <w:color w:val="auto"/>
                <w:sz w:val="24"/>
                <w:u w:val="single"/>
                <w:lang w:eastAsia="zh-CN"/>
              </w:rPr>
              <w:t>、</w:t>
            </w:r>
            <w:r>
              <w:rPr>
                <w:rFonts w:hint="default" w:ascii="Times New Roman" w:hAnsi="Times New Roman" w:cs="Times New Roman"/>
                <w:color w:val="auto"/>
                <w:sz w:val="24"/>
                <w:szCs w:val="24"/>
                <w:u w:val="single"/>
                <w:lang w:val="en-US" w:eastAsia="zh-CN"/>
              </w:rPr>
              <w:t>TP：</w:t>
            </w:r>
            <w:r>
              <w:rPr>
                <w:rFonts w:hint="eastAsia" w:cs="Times New Roman"/>
                <w:color w:val="auto"/>
                <w:sz w:val="24"/>
                <w:szCs w:val="24"/>
                <w:u w:val="single"/>
                <w:lang w:val="en-US" w:eastAsia="zh-CN"/>
              </w:rPr>
              <w:t>0.012</w:t>
            </w:r>
            <w:r>
              <w:rPr>
                <w:rFonts w:hint="default" w:ascii="Times New Roman" w:hAnsi="Times New Roman" w:cs="Times New Roman"/>
                <w:color w:val="auto"/>
                <w:sz w:val="24"/>
                <w:szCs w:val="24"/>
                <w:u w:val="single"/>
                <w:lang w:val="en-US" w:eastAsia="zh-CN"/>
              </w:rPr>
              <w:t>t/a</w:t>
            </w:r>
            <w:r>
              <w:rPr>
                <w:rFonts w:hint="default" w:ascii="Times New Roman" w:hAnsi="Times New Roman" w:cs="Times New Roman"/>
                <w:color w:val="auto"/>
                <w:sz w:val="24"/>
                <w:u w:val="single"/>
              </w:rPr>
              <w:t>。本项目生活污水经</w:t>
            </w:r>
            <w:r>
              <w:rPr>
                <w:rFonts w:hint="eastAsia" w:cs="Times New Roman"/>
                <w:color w:val="auto"/>
                <w:sz w:val="24"/>
                <w:u w:val="single"/>
                <w:lang w:val="en-US" w:eastAsia="zh-CN"/>
              </w:rPr>
              <w:t>12t/d一体化污水处理设施</w:t>
            </w:r>
            <w:r>
              <w:rPr>
                <w:rFonts w:hint="default" w:ascii="Times New Roman" w:hAnsi="Times New Roman" w:cs="Times New Roman"/>
                <w:color w:val="auto"/>
                <w:sz w:val="24"/>
                <w:u w:val="single"/>
              </w:rPr>
              <w:t>处理</w:t>
            </w:r>
            <w:r>
              <w:rPr>
                <w:rFonts w:hint="default" w:ascii="Times New Roman" w:hAnsi="Times New Roman" w:cs="Times New Roman"/>
                <w:color w:val="auto"/>
                <w:sz w:val="24"/>
                <w:u w:val="single"/>
                <w:lang w:val="en-US" w:eastAsia="zh-CN"/>
              </w:rPr>
              <w:t>后</w:t>
            </w:r>
            <w:r>
              <w:rPr>
                <w:rFonts w:hint="eastAsia" w:cs="Times New Roman"/>
                <w:color w:val="auto"/>
                <w:sz w:val="24"/>
                <w:u w:val="single"/>
                <w:lang w:eastAsia="zh-CN"/>
              </w:rPr>
              <w:t>，</w:t>
            </w:r>
            <w:r>
              <w:rPr>
                <w:rFonts w:hint="eastAsia" w:cs="Times New Roman"/>
                <w:color w:val="auto"/>
                <w:sz w:val="24"/>
                <w:u w:val="single"/>
                <w:lang w:val="en-US" w:eastAsia="zh-CN"/>
              </w:rPr>
              <w:t>给周边菜地做为灌溉水，不外排</w:t>
            </w:r>
            <w:r>
              <w:rPr>
                <w:rFonts w:hint="default" w:ascii="Times New Roman" w:hAnsi="Times New Roman" w:eastAsia="宋体" w:cs="Times New Roman"/>
                <w:bCs/>
                <w:color w:val="auto"/>
                <w:sz w:val="24"/>
                <w:u w:val="single"/>
                <w:lang w:val="en-US" w:eastAsia="zh-CN"/>
              </w:rPr>
              <w:t>。</w:t>
            </w:r>
          </w:p>
          <w:p>
            <w:pPr>
              <w:pStyle w:val="97"/>
              <w:ind w:firstLine="480"/>
              <w:rPr>
                <w:rFonts w:eastAsiaTheme="minorEastAsia"/>
                <w:color w:val="auto"/>
                <w:szCs w:val="21"/>
                <w:u w:val="single"/>
                <w:lang w:val="en-US"/>
              </w:rPr>
            </w:pPr>
            <w:r>
              <w:rPr>
                <w:rFonts w:hint="eastAsia" w:eastAsiaTheme="minorEastAsia"/>
                <w:color w:val="auto"/>
                <w:szCs w:val="21"/>
                <w:u w:val="single"/>
                <w:lang w:val="en-US"/>
              </w:rPr>
              <w:t>项目生活</w:t>
            </w:r>
            <w:r>
              <w:rPr>
                <w:rFonts w:eastAsiaTheme="minorEastAsia"/>
                <w:color w:val="auto"/>
                <w:szCs w:val="21"/>
                <w:u w:val="single"/>
                <w:lang w:val="en-US"/>
              </w:rPr>
              <w:t>污水水质及产排情况见下表。</w:t>
            </w:r>
          </w:p>
          <w:p>
            <w:pPr>
              <w:pStyle w:val="98"/>
              <w:spacing w:line="240" w:lineRule="auto"/>
              <w:rPr>
                <w:rFonts w:eastAsiaTheme="minorEastAsia"/>
                <w:u w:val="single"/>
              </w:rPr>
            </w:pPr>
            <w:r>
              <w:rPr>
                <w:rFonts w:eastAsiaTheme="minorEastAsia"/>
                <w:u w:val="single"/>
              </w:rPr>
              <w:t>表</w:t>
            </w:r>
            <w:r>
              <w:rPr>
                <w:rFonts w:hint="eastAsia" w:eastAsiaTheme="minorEastAsia"/>
                <w:u w:val="single"/>
              </w:rPr>
              <w:t>4-1</w:t>
            </w:r>
            <w:r>
              <w:rPr>
                <w:rFonts w:hint="eastAsia" w:eastAsiaTheme="minorEastAsia"/>
                <w:u w:val="single"/>
                <w:lang w:val="en-US" w:eastAsia="zh-CN"/>
              </w:rPr>
              <w:t>5</w:t>
            </w:r>
            <w:r>
              <w:rPr>
                <w:rFonts w:hint="eastAsia" w:eastAsiaTheme="minorEastAsia"/>
                <w:u w:val="single"/>
              </w:rPr>
              <w:t xml:space="preserve">  项目生活</w:t>
            </w:r>
            <w:r>
              <w:rPr>
                <w:rFonts w:eastAsiaTheme="minorEastAsia"/>
                <w:u w:val="single"/>
              </w:rPr>
              <w:t>废水</w:t>
            </w:r>
            <w:r>
              <w:rPr>
                <w:rFonts w:hint="eastAsia" w:eastAsiaTheme="minorEastAsia"/>
                <w:u w:val="single"/>
              </w:rPr>
              <w:t>产排</w:t>
            </w:r>
            <w:r>
              <w:rPr>
                <w:rFonts w:eastAsiaTheme="minorEastAsia"/>
                <w:u w:val="single"/>
              </w:rPr>
              <w:t>情况表</w:t>
            </w:r>
          </w:p>
          <w:tbl>
            <w:tblPr>
              <w:tblStyle w:val="24"/>
              <w:tblW w:w="870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22"/>
              <w:gridCol w:w="1552"/>
              <w:gridCol w:w="1175"/>
              <w:gridCol w:w="1111"/>
              <w:gridCol w:w="1074"/>
              <w:gridCol w:w="1184"/>
              <w:gridCol w:w="10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767"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项目</w:t>
                  </w:r>
                </w:p>
              </w:tc>
              <w:tc>
                <w:tcPr>
                  <w:tcW w:w="67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COD</w:t>
                  </w:r>
                  <w:r>
                    <w:rPr>
                      <w:rFonts w:hint="default" w:ascii="Times New Roman" w:hAnsi="Times New Roman" w:eastAsia="宋体" w:cs="Times New Roman"/>
                      <w:i w:val="0"/>
                      <w:iCs w:val="0"/>
                      <w:color w:val="000000"/>
                      <w:kern w:val="0"/>
                      <w:sz w:val="21"/>
                      <w:szCs w:val="21"/>
                      <w:u w:val="single"/>
                      <w:vertAlign w:val="subscript"/>
                      <w:lang w:val="en-US" w:eastAsia="zh-CN" w:bidi="ar"/>
                    </w:rPr>
                    <w:t>Cr</w:t>
                  </w:r>
                </w:p>
              </w:tc>
              <w:tc>
                <w:tcPr>
                  <w:tcW w:w="63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BOD</w:t>
                  </w:r>
                  <w:r>
                    <w:rPr>
                      <w:rFonts w:hint="default" w:ascii="Times New Roman" w:hAnsi="Times New Roman" w:eastAsia="宋体" w:cs="Times New Roman"/>
                      <w:i w:val="0"/>
                      <w:iCs w:val="0"/>
                      <w:color w:val="000000"/>
                      <w:kern w:val="0"/>
                      <w:sz w:val="21"/>
                      <w:szCs w:val="21"/>
                      <w:u w:val="single"/>
                      <w:vertAlign w:val="subscript"/>
                      <w:lang w:val="en-US" w:eastAsia="zh-CN" w:bidi="ar"/>
                    </w:rPr>
                    <w:t>5</w:t>
                  </w:r>
                </w:p>
              </w:tc>
              <w:tc>
                <w:tcPr>
                  <w:tcW w:w="61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SS</w:t>
                  </w:r>
                </w:p>
              </w:tc>
              <w:tc>
                <w:tcPr>
                  <w:tcW w:w="68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NH</w:t>
                  </w:r>
                  <w:r>
                    <w:rPr>
                      <w:rFonts w:hint="default" w:ascii="Times New Roman" w:hAnsi="Times New Roman" w:eastAsia="宋体" w:cs="Times New Roman"/>
                      <w:i w:val="0"/>
                      <w:iCs w:val="0"/>
                      <w:color w:val="000000"/>
                      <w:kern w:val="0"/>
                      <w:sz w:val="21"/>
                      <w:szCs w:val="21"/>
                      <w:u w:val="single"/>
                      <w:vertAlign w:val="subscript"/>
                      <w:lang w:val="en-US" w:eastAsia="zh-CN" w:bidi="ar"/>
                    </w:rPr>
                    <w:t>3</w:t>
                  </w:r>
                  <w:r>
                    <w:rPr>
                      <w:rFonts w:hint="default" w:ascii="Times New Roman" w:hAnsi="Times New Roman" w:eastAsia="宋体" w:cs="Times New Roman"/>
                      <w:i w:val="0"/>
                      <w:iCs w:val="0"/>
                      <w:color w:val="000000"/>
                      <w:kern w:val="0"/>
                      <w:sz w:val="21"/>
                      <w:szCs w:val="21"/>
                      <w:u w:val="single"/>
                      <w:lang w:val="en-US" w:eastAsia="zh-CN" w:bidi="ar"/>
                    </w:rPr>
                    <w:t>-N</w:t>
                  </w:r>
                </w:p>
              </w:tc>
              <w:tc>
                <w:tcPr>
                  <w:tcW w:w="62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TP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75" w:type="pct"/>
                  <w:vMerge w:val="restart"/>
                  <w:tcBorders>
                    <w:top w:val="nil"/>
                    <w:left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single"/>
                      <w:lang w:val="en-US" w:eastAsia="zh-CN" w:bidi="ar"/>
                    </w:rPr>
                  </w:pPr>
                  <w:r>
                    <w:rPr>
                      <w:rFonts w:hint="eastAsia" w:ascii="宋体" w:hAnsi="宋体" w:eastAsia="宋体" w:cs="宋体"/>
                      <w:i w:val="0"/>
                      <w:iCs w:val="0"/>
                      <w:color w:val="000000"/>
                      <w:kern w:val="0"/>
                      <w:sz w:val="21"/>
                      <w:szCs w:val="21"/>
                      <w:u w:val="single"/>
                      <w:lang w:val="en-US" w:eastAsia="zh-CN" w:bidi="ar"/>
                    </w:rPr>
                    <w:t>生活污水</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single"/>
                    </w:rPr>
                  </w:pPr>
                  <w:r>
                    <w:rPr>
                      <w:rFonts w:hint="eastAsia" w:cs="Times New Roman"/>
                      <w:i w:val="0"/>
                      <w:iCs w:val="0"/>
                      <w:color w:val="000000"/>
                      <w:kern w:val="0"/>
                      <w:sz w:val="21"/>
                      <w:szCs w:val="21"/>
                      <w:u w:val="single"/>
                      <w:lang w:val="en-US" w:eastAsia="zh-CN" w:bidi="ar"/>
                    </w:rPr>
                    <w:t>3952</w:t>
                  </w:r>
                  <w:r>
                    <w:rPr>
                      <w:rFonts w:hint="default" w:ascii="Times New Roman" w:hAnsi="Times New Roman" w:eastAsia="宋体" w:cs="Times New Roman"/>
                      <w:i w:val="0"/>
                      <w:iCs w:val="0"/>
                      <w:color w:val="000000"/>
                      <w:kern w:val="0"/>
                      <w:sz w:val="21"/>
                      <w:szCs w:val="21"/>
                      <w:u w:val="single"/>
                      <w:lang w:val="en-US" w:eastAsia="zh-CN" w:bidi="ar"/>
                    </w:rPr>
                    <w:t>m</w:t>
                  </w:r>
                  <w:r>
                    <w:rPr>
                      <w:rFonts w:hint="default" w:ascii="Times New Roman" w:hAnsi="Times New Roman" w:eastAsia="宋体" w:cs="Times New Roman"/>
                      <w:i w:val="0"/>
                      <w:iCs w:val="0"/>
                      <w:color w:val="000000"/>
                      <w:kern w:val="0"/>
                      <w:sz w:val="21"/>
                      <w:szCs w:val="21"/>
                      <w:u w:val="single"/>
                      <w:vertAlign w:val="superscript"/>
                      <w:lang w:val="en-US" w:eastAsia="zh-CN" w:bidi="ar"/>
                    </w:rPr>
                    <w:t>3</w:t>
                  </w:r>
                  <w:r>
                    <w:rPr>
                      <w:rFonts w:hint="default" w:ascii="Times New Roman" w:hAnsi="Times New Roman" w:eastAsia="宋体" w:cs="Times New Roman"/>
                      <w:i w:val="0"/>
                      <w:iCs w:val="0"/>
                      <w:color w:val="000000"/>
                      <w:kern w:val="0"/>
                      <w:sz w:val="21"/>
                      <w:szCs w:val="21"/>
                      <w:u w:val="single"/>
                      <w:lang w:val="en-US" w:eastAsia="zh-CN" w:bidi="ar"/>
                    </w:rPr>
                    <w:t>/a</w:t>
                  </w:r>
                </w:p>
              </w:tc>
              <w:tc>
                <w:tcPr>
                  <w:tcW w:w="891"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产生浓度</w:t>
                  </w:r>
                  <w:r>
                    <w:rPr>
                      <w:rFonts w:hint="default" w:ascii="Times New Roman" w:hAnsi="Times New Roman" w:eastAsia="宋体" w:cs="Times New Roman"/>
                      <w:i w:val="0"/>
                      <w:iCs w:val="0"/>
                      <w:color w:val="000000"/>
                      <w:kern w:val="0"/>
                      <w:sz w:val="21"/>
                      <w:szCs w:val="21"/>
                      <w:u w:val="single"/>
                      <w:lang w:val="en-US" w:eastAsia="zh-CN" w:bidi="ar"/>
                    </w:rPr>
                    <w:t>(mg/L)</w:t>
                  </w:r>
                </w:p>
              </w:tc>
              <w:tc>
                <w:tcPr>
                  <w:tcW w:w="67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180</w:t>
                  </w:r>
                </w:p>
              </w:tc>
              <w:tc>
                <w:tcPr>
                  <w:tcW w:w="63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120</w:t>
                  </w:r>
                </w:p>
              </w:tc>
              <w:tc>
                <w:tcPr>
                  <w:tcW w:w="61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150</w:t>
                  </w:r>
                </w:p>
              </w:tc>
              <w:tc>
                <w:tcPr>
                  <w:tcW w:w="68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18</w:t>
                  </w:r>
                </w:p>
              </w:tc>
              <w:tc>
                <w:tcPr>
                  <w:tcW w:w="62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75" w:type="pct"/>
                  <w:vMerge w:val="continue"/>
                  <w:tcBorders>
                    <w:left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single"/>
                    </w:rPr>
                  </w:pPr>
                </w:p>
              </w:tc>
              <w:tc>
                <w:tcPr>
                  <w:tcW w:w="891"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产生量（</w:t>
                  </w:r>
                  <w:r>
                    <w:rPr>
                      <w:rFonts w:hint="default" w:ascii="Times New Roman" w:hAnsi="Times New Roman" w:eastAsia="宋体" w:cs="Times New Roman"/>
                      <w:i w:val="0"/>
                      <w:iCs w:val="0"/>
                      <w:color w:val="000000"/>
                      <w:kern w:val="0"/>
                      <w:sz w:val="21"/>
                      <w:szCs w:val="21"/>
                      <w:u w:val="single"/>
                      <w:lang w:val="en-US" w:eastAsia="zh-CN" w:bidi="ar"/>
                    </w:rPr>
                    <w:t>t/a</w:t>
                  </w:r>
                  <w:r>
                    <w:rPr>
                      <w:rFonts w:hint="eastAsia" w:ascii="宋体" w:hAnsi="宋体" w:eastAsia="宋体" w:cs="宋体"/>
                      <w:i w:val="0"/>
                      <w:iCs w:val="0"/>
                      <w:color w:val="000000"/>
                      <w:kern w:val="0"/>
                      <w:sz w:val="21"/>
                      <w:szCs w:val="21"/>
                      <w:u w:val="single"/>
                      <w:lang w:val="en-US" w:eastAsia="zh-CN" w:bidi="ar"/>
                    </w:rPr>
                    <w:t>）</w:t>
                  </w:r>
                </w:p>
              </w:tc>
              <w:tc>
                <w:tcPr>
                  <w:tcW w:w="11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 xml:space="preserve">0.711 </w:t>
                  </w:r>
                </w:p>
              </w:tc>
              <w:tc>
                <w:tcPr>
                  <w:tcW w:w="111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 xml:space="preserve">0.474 </w:t>
                  </w:r>
                </w:p>
              </w:tc>
              <w:tc>
                <w:tcPr>
                  <w:tcW w:w="107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 xml:space="preserve">0.593 </w:t>
                  </w:r>
                </w:p>
              </w:tc>
              <w:tc>
                <w:tcPr>
                  <w:tcW w:w="11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 xml:space="preserve">0.071 </w:t>
                  </w:r>
                </w:p>
              </w:tc>
              <w:tc>
                <w:tcPr>
                  <w:tcW w:w="108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 xml:space="preserve">0.012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75" w:type="pct"/>
                  <w:vMerge w:val="continue"/>
                  <w:tcBorders>
                    <w:left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single"/>
                    </w:rPr>
                  </w:pPr>
                </w:p>
              </w:tc>
              <w:tc>
                <w:tcPr>
                  <w:tcW w:w="4124" w:type="pct"/>
                  <w:gridSpan w:val="6"/>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sz w:val="21"/>
                      <w:szCs w:val="21"/>
                      <w:u w:val="single"/>
                      <w:lang w:val="en-US"/>
                    </w:rPr>
                  </w:pPr>
                  <w:r>
                    <w:rPr>
                      <w:rFonts w:hint="eastAsia" w:ascii="宋体" w:hAnsi="宋体" w:eastAsia="宋体" w:cs="宋体"/>
                      <w:i w:val="0"/>
                      <w:iCs w:val="0"/>
                      <w:color w:val="000000"/>
                      <w:kern w:val="0"/>
                      <w:sz w:val="21"/>
                      <w:szCs w:val="21"/>
                      <w:u w:val="single"/>
                      <w:lang w:val="en-US" w:eastAsia="zh-CN" w:bidi="ar"/>
                    </w:rPr>
                    <w:t>生活污水治理设施：化粪池</w:t>
                  </w:r>
                  <w:r>
                    <w:rPr>
                      <w:rFonts w:hint="eastAsia" w:ascii="宋体" w:hAnsi="宋体" w:cs="宋体"/>
                      <w:i w:val="0"/>
                      <w:iCs w:val="0"/>
                      <w:color w:val="000000"/>
                      <w:kern w:val="0"/>
                      <w:sz w:val="21"/>
                      <w:szCs w:val="21"/>
                      <w:u w:val="single"/>
                      <w:lang w:val="en-US" w:eastAsia="zh-CN" w:bidi="ar"/>
                    </w:rPr>
                    <w:t>、隔油池、一体化污水处理设施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75" w:type="pct"/>
                  <w:vMerge w:val="continue"/>
                  <w:tcBorders>
                    <w:left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single"/>
                    </w:rPr>
                  </w:pPr>
                </w:p>
              </w:tc>
              <w:tc>
                <w:tcPr>
                  <w:tcW w:w="891"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处理效率</w:t>
                  </w:r>
                </w:p>
              </w:tc>
              <w:tc>
                <w:tcPr>
                  <w:tcW w:w="67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70%</w:t>
                  </w:r>
                </w:p>
              </w:tc>
              <w:tc>
                <w:tcPr>
                  <w:tcW w:w="63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80%</w:t>
                  </w:r>
                </w:p>
              </w:tc>
              <w:tc>
                <w:tcPr>
                  <w:tcW w:w="61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90%</w:t>
                  </w:r>
                </w:p>
              </w:tc>
              <w:tc>
                <w:tcPr>
                  <w:tcW w:w="68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10%</w:t>
                  </w:r>
                </w:p>
              </w:tc>
              <w:tc>
                <w:tcPr>
                  <w:tcW w:w="62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75" w:type="pct"/>
                  <w:vMerge w:val="continue"/>
                  <w:tcBorders>
                    <w:left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single"/>
                    </w:rPr>
                  </w:pPr>
                </w:p>
              </w:tc>
              <w:tc>
                <w:tcPr>
                  <w:tcW w:w="891"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处理后浓度</w:t>
                  </w:r>
                  <w:r>
                    <w:rPr>
                      <w:rFonts w:hint="default" w:ascii="Times New Roman" w:hAnsi="Times New Roman" w:eastAsia="宋体" w:cs="Times New Roman"/>
                      <w:i w:val="0"/>
                      <w:iCs w:val="0"/>
                      <w:color w:val="000000"/>
                      <w:kern w:val="0"/>
                      <w:sz w:val="21"/>
                      <w:szCs w:val="21"/>
                      <w:u w:val="single"/>
                      <w:lang w:val="en-US" w:eastAsia="zh-CN" w:bidi="ar"/>
                    </w:rPr>
                    <w:t>(mg/L)</w:t>
                  </w:r>
                </w:p>
              </w:tc>
              <w:tc>
                <w:tcPr>
                  <w:tcW w:w="67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54</w:t>
                  </w:r>
                </w:p>
              </w:tc>
              <w:tc>
                <w:tcPr>
                  <w:tcW w:w="63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24</w:t>
                  </w:r>
                </w:p>
              </w:tc>
              <w:tc>
                <w:tcPr>
                  <w:tcW w:w="61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15</w:t>
                  </w:r>
                </w:p>
              </w:tc>
              <w:tc>
                <w:tcPr>
                  <w:tcW w:w="68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16.2</w:t>
                  </w:r>
                </w:p>
              </w:tc>
              <w:tc>
                <w:tcPr>
                  <w:tcW w:w="621"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75" w:type="pct"/>
                  <w:vMerge w:val="continue"/>
                  <w:tcBorders>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u w:val="single"/>
                    </w:rPr>
                  </w:pPr>
                </w:p>
              </w:tc>
              <w:tc>
                <w:tcPr>
                  <w:tcW w:w="891"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排放量（</w:t>
                  </w:r>
                  <w:r>
                    <w:rPr>
                      <w:rFonts w:hint="default" w:ascii="Times New Roman" w:hAnsi="Times New Roman" w:eastAsia="宋体" w:cs="Times New Roman"/>
                      <w:i w:val="0"/>
                      <w:iCs w:val="0"/>
                      <w:color w:val="000000"/>
                      <w:kern w:val="0"/>
                      <w:sz w:val="21"/>
                      <w:szCs w:val="21"/>
                      <w:u w:val="single"/>
                      <w:lang w:val="en-US" w:eastAsia="zh-CN" w:bidi="ar"/>
                    </w:rPr>
                    <w:t>t/a</w:t>
                  </w:r>
                  <w:r>
                    <w:rPr>
                      <w:rFonts w:hint="eastAsia" w:ascii="宋体" w:hAnsi="宋体" w:eastAsia="宋体" w:cs="宋体"/>
                      <w:i w:val="0"/>
                      <w:iCs w:val="0"/>
                      <w:color w:val="000000"/>
                      <w:kern w:val="0"/>
                      <w:sz w:val="21"/>
                      <w:szCs w:val="21"/>
                      <w:u w:val="single"/>
                      <w:lang w:val="en-US" w:eastAsia="zh-CN" w:bidi="ar"/>
                    </w:rPr>
                    <w:t>）</w:t>
                  </w:r>
                </w:p>
              </w:tc>
              <w:tc>
                <w:tcPr>
                  <w:tcW w:w="3232" w:type="pct"/>
                  <w:gridSpan w:val="5"/>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定期清掏，用于农肥不外排。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67" w:type="pct"/>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农田灌溉水质标准</w:t>
                  </w:r>
                </w:p>
              </w:tc>
              <w:tc>
                <w:tcPr>
                  <w:tcW w:w="67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100</w:t>
                  </w:r>
                </w:p>
              </w:tc>
              <w:tc>
                <w:tcPr>
                  <w:tcW w:w="63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40</w:t>
                  </w:r>
                </w:p>
              </w:tc>
              <w:tc>
                <w:tcPr>
                  <w:tcW w:w="61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60</w:t>
                  </w:r>
                </w:p>
              </w:tc>
              <w:tc>
                <w:tcPr>
                  <w:tcW w:w="68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w:t>
                  </w:r>
                </w:p>
              </w:tc>
              <w:tc>
                <w:tcPr>
                  <w:tcW w:w="62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u w:val="single"/>
              </w:rPr>
            </w:pPr>
            <w:r>
              <w:rPr>
                <w:rFonts w:hint="eastAsia" w:ascii="Times New Roman" w:hAnsi="Times New Roman" w:eastAsia="宋体" w:cs="Times New Roman"/>
                <w:color w:val="auto"/>
                <w:sz w:val="24"/>
                <w:u w:val="single"/>
              </w:rPr>
              <w:t>本项目建成后生活污水总排水量为</w:t>
            </w:r>
            <w:r>
              <w:rPr>
                <w:rFonts w:hint="eastAsia" w:cs="Times New Roman"/>
                <w:color w:val="auto"/>
                <w:sz w:val="24"/>
                <w:u w:val="single"/>
                <w:lang w:val="en-US" w:eastAsia="zh-CN"/>
              </w:rPr>
              <w:t>3952</w:t>
            </w:r>
            <w:r>
              <w:rPr>
                <w:rFonts w:ascii="Times New Roman" w:hAnsi="Times New Roman" w:eastAsia="宋体" w:cs="Times New Roman"/>
                <w:color w:val="auto"/>
                <w:sz w:val="24"/>
                <w:u w:val="single"/>
              </w:rPr>
              <w:t>m</w:t>
            </w:r>
            <w:r>
              <w:rPr>
                <w:rFonts w:ascii="Times New Roman" w:hAnsi="Times New Roman" w:eastAsia="宋体" w:cs="Times New Roman"/>
                <w:color w:val="auto"/>
                <w:sz w:val="24"/>
                <w:u w:val="single"/>
                <w:vertAlign w:val="superscript"/>
              </w:rPr>
              <w:t>3</w:t>
            </w:r>
            <w:r>
              <w:rPr>
                <w:rFonts w:ascii="Times New Roman" w:hAnsi="Times New Roman" w:eastAsia="宋体" w:cs="Times New Roman"/>
                <w:color w:val="auto"/>
                <w:sz w:val="24"/>
                <w:u w:val="single"/>
              </w:rPr>
              <w:t>/a</w:t>
            </w:r>
            <w:r>
              <w:rPr>
                <w:rFonts w:hint="eastAsia" w:cs="Times New Roman"/>
                <w:color w:val="auto"/>
                <w:sz w:val="24"/>
                <w:u w:val="single"/>
                <w:lang w:eastAsia="zh-CN"/>
              </w:rPr>
              <w:t>（</w:t>
            </w:r>
            <w:r>
              <w:rPr>
                <w:rFonts w:hint="eastAsia" w:cs="Times New Roman"/>
                <w:color w:val="auto"/>
                <w:sz w:val="24"/>
                <w:u w:val="single"/>
                <w:lang w:val="en-US" w:eastAsia="zh-CN"/>
              </w:rPr>
              <w:t>11.98m</w:t>
            </w:r>
            <w:r>
              <w:rPr>
                <w:rFonts w:hint="eastAsia" w:cs="Times New Roman"/>
                <w:color w:val="auto"/>
                <w:sz w:val="24"/>
                <w:u w:val="single"/>
                <w:vertAlign w:val="superscript"/>
                <w:lang w:val="en-US" w:eastAsia="zh-CN"/>
              </w:rPr>
              <w:t>3</w:t>
            </w:r>
            <w:r>
              <w:rPr>
                <w:rFonts w:hint="eastAsia" w:cs="Times New Roman"/>
                <w:color w:val="auto"/>
                <w:sz w:val="24"/>
                <w:u w:val="single"/>
                <w:lang w:val="en-US" w:eastAsia="zh-CN"/>
              </w:rPr>
              <w:t>/d</w:t>
            </w:r>
            <w:r>
              <w:rPr>
                <w:rFonts w:hint="eastAsia" w:cs="Times New Roman"/>
                <w:color w:val="auto"/>
                <w:sz w:val="24"/>
                <w:u w:val="single"/>
                <w:lang w:eastAsia="zh-CN"/>
              </w:rPr>
              <w:t>）</w:t>
            </w:r>
            <w:r>
              <w:rPr>
                <w:rFonts w:hint="eastAsia" w:ascii="Times New Roman" w:hAnsi="Times New Roman" w:eastAsia="宋体" w:cs="Times New Roman"/>
                <w:color w:val="auto"/>
                <w:sz w:val="24"/>
                <w:u w:val="single"/>
              </w:rPr>
              <w:t>，由于此部分生活污水排放量不大，且成分较简单，由上表可知，经过项目设置的</w:t>
            </w:r>
            <w:r>
              <w:rPr>
                <w:rFonts w:hint="eastAsia" w:cs="Times New Roman"/>
                <w:color w:val="auto"/>
                <w:sz w:val="24"/>
                <w:u w:val="single"/>
                <w:lang w:val="en-US" w:eastAsia="zh-CN"/>
              </w:rPr>
              <w:t>一体化污水处理设施</w:t>
            </w:r>
            <w:r>
              <w:rPr>
                <w:rFonts w:hint="eastAsia" w:ascii="Times New Roman" w:hAnsi="Times New Roman" w:eastAsia="宋体" w:cs="Times New Roman"/>
                <w:color w:val="auto"/>
                <w:sz w:val="24"/>
                <w:u w:val="single"/>
              </w:rPr>
              <w:t>处理后可以达到《农田灌溉水质标准》（GB5084-2005）中“</w:t>
            </w:r>
            <w:r>
              <w:rPr>
                <w:rFonts w:hint="eastAsia" w:cs="Times New Roman"/>
                <w:color w:val="auto"/>
                <w:sz w:val="24"/>
                <w:u w:val="single"/>
                <w:lang w:val="en-US" w:eastAsia="zh-CN"/>
              </w:rPr>
              <w:t>蔬菜作物</w:t>
            </w:r>
            <w:r>
              <w:rPr>
                <w:rFonts w:hint="eastAsia" w:ascii="Times New Roman" w:hAnsi="Times New Roman" w:eastAsia="宋体" w:cs="Times New Roman"/>
                <w:color w:val="auto"/>
                <w:sz w:val="24"/>
                <w:u w:val="single"/>
              </w:rPr>
              <w:t>”标准，因此，项目生活污水经处理后用于周边</w:t>
            </w:r>
            <w:r>
              <w:rPr>
                <w:rFonts w:hint="eastAsia" w:cs="Times New Roman"/>
                <w:color w:val="auto"/>
                <w:sz w:val="24"/>
                <w:u w:val="single"/>
                <w:lang w:val="en-US" w:eastAsia="zh-CN"/>
              </w:rPr>
              <w:t>菜地</w:t>
            </w:r>
            <w:r>
              <w:rPr>
                <w:rFonts w:hint="eastAsia" w:ascii="Times New Roman" w:hAnsi="Times New Roman" w:eastAsia="宋体" w:cs="Times New Roman"/>
                <w:color w:val="auto"/>
                <w:sz w:val="24"/>
                <w:u w:val="single"/>
              </w:rPr>
              <w:t>灌溉在技术上是可行的。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新宋体" w:cs="Times New Roman"/>
                <w:sz w:val="24"/>
                <w:szCs w:val="22"/>
                <w:u w:val="single"/>
                <w:lang w:val="en-US" w:eastAsia="zh-CN"/>
              </w:rPr>
            </w:pPr>
            <w:r>
              <w:rPr>
                <w:color w:val="auto"/>
                <w:sz w:val="24"/>
                <w:u w:val="single"/>
              </w:rPr>
              <w:t>本项目</w:t>
            </w:r>
            <w:r>
              <w:rPr>
                <w:rFonts w:hint="eastAsia"/>
                <w:color w:val="auto"/>
                <w:sz w:val="24"/>
                <w:u w:val="single"/>
                <w:lang w:val="en-US" w:eastAsia="zh-CN"/>
              </w:rPr>
              <w:t>废水</w:t>
            </w:r>
            <w:r>
              <w:rPr>
                <w:rFonts w:hint="eastAsia" w:ascii="Times New Roman" w:hAnsi="Times New Roman" w:eastAsia="宋体" w:cs="Times New Roman"/>
                <w:color w:val="auto"/>
                <w:sz w:val="24"/>
                <w:u w:val="single"/>
                <w:lang w:val="en-US" w:eastAsia="zh-CN"/>
              </w:rPr>
              <w:t>排</w:t>
            </w:r>
            <w:r>
              <w:rPr>
                <w:rFonts w:ascii="Times New Roman" w:hAnsi="Times New Roman" w:eastAsia="宋体" w:cs="Times New Roman"/>
                <w:color w:val="auto"/>
                <w:sz w:val="24"/>
                <w:u w:val="single"/>
              </w:rPr>
              <w:t>放方式为</w:t>
            </w:r>
            <w:r>
              <w:rPr>
                <w:rFonts w:hint="eastAsia" w:cs="Times New Roman"/>
                <w:color w:val="auto"/>
                <w:sz w:val="24"/>
                <w:u w:val="single"/>
                <w:lang w:val="en-US" w:eastAsia="zh-CN"/>
              </w:rPr>
              <w:t>不</w:t>
            </w:r>
            <w:r>
              <w:rPr>
                <w:rFonts w:ascii="Times New Roman" w:hAnsi="Times New Roman" w:eastAsia="宋体" w:cs="Times New Roman"/>
                <w:color w:val="auto"/>
                <w:sz w:val="24"/>
                <w:u w:val="single"/>
              </w:rPr>
              <w:t>排放</w:t>
            </w:r>
            <w:r>
              <w:rPr>
                <w:spacing w:val="-2"/>
                <w:sz w:val="24"/>
                <w:u w:val="single"/>
              </w:rPr>
              <w:t>。</w:t>
            </w:r>
          </w:p>
          <w:p>
            <w:pPr>
              <w:spacing w:line="240" w:lineRule="auto"/>
              <w:ind w:firstLine="0" w:firstLineChars="0"/>
              <w:jc w:val="center"/>
              <w:rPr>
                <w:rFonts w:hint="eastAsia"/>
                <w:b/>
                <w:kern w:val="0"/>
                <w:sz w:val="21"/>
                <w:u w:val="single"/>
                <w:lang w:val="en-US" w:eastAsia="zh-CN"/>
              </w:rPr>
            </w:pPr>
            <w:r>
              <w:rPr>
                <w:rFonts w:hint="eastAsia"/>
                <w:b/>
                <w:kern w:val="0"/>
                <w:sz w:val="21"/>
                <w:u w:val="single"/>
                <w:lang w:val="en-US" w:eastAsia="zh-CN"/>
              </w:rPr>
              <w:t>表4-16 废水类别、污染物及污染治理设施信息表</w:t>
            </w:r>
          </w:p>
          <w:tbl>
            <w:tblPr>
              <w:tblStyle w:val="2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
              <w:gridCol w:w="942"/>
              <w:gridCol w:w="1295"/>
              <w:gridCol w:w="980"/>
              <w:gridCol w:w="1092"/>
              <w:gridCol w:w="1406"/>
              <w:gridCol w:w="947"/>
              <w:gridCol w:w="936"/>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1"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b/>
                      <w:bCs w:val="0"/>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u w:val="single"/>
                      <w:lang w:val="en-US" w:eastAsia="zh-CN"/>
                      <w14:textFill>
                        <w14:solidFill>
                          <w14:schemeClr w14:val="tx1"/>
                        </w14:solidFill>
                      </w14:textFill>
                    </w:rPr>
                    <w:t>序号</w:t>
                  </w:r>
                </w:p>
              </w:tc>
              <w:tc>
                <w:tcPr>
                  <w:tcW w:w="894"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b/>
                      <w:bCs w:val="0"/>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u w:val="single"/>
                      <w:lang w:val="en-US" w:eastAsia="zh-CN"/>
                      <w14:textFill>
                        <w14:solidFill>
                          <w14:schemeClr w14:val="tx1"/>
                        </w14:solidFill>
                      </w14:textFill>
                    </w:rPr>
                    <w:t>废水类别</w:t>
                  </w:r>
                </w:p>
              </w:tc>
              <w:tc>
                <w:tcPr>
                  <w:tcW w:w="123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b/>
                      <w:bCs w:val="0"/>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u w:val="single"/>
                      <w:lang w:val="en-US" w:eastAsia="zh-CN"/>
                      <w14:textFill>
                        <w14:solidFill>
                          <w14:schemeClr w14:val="tx1"/>
                        </w14:solidFill>
                      </w14:textFill>
                    </w:rPr>
                    <w:t>污染物种类</w:t>
                  </w:r>
                </w:p>
              </w:tc>
              <w:tc>
                <w:tcPr>
                  <w:tcW w:w="93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b/>
                      <w:bCs w:val="0"/>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u w:val="single"/>
                      <w:lang w:val="en-US" w:eastAsia="zh-CN"/>
                      <w14:textFill>
                        <w14:solidFill>
                          <w14:schemeClr w14:val="tx1"/>
                        </w14:solidFill>
                      </w14:textFill>
                    </w:rPr>
                    <w:t>排放去向</w:t>
                  </w:r>
                </w:p>
              </w:tc>
              <w:tc>
                <w:tcPr>
                  <w:tcW w:w="1037"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b/>
                      <w:bCs w:val="0"/>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u w:val="single"/>
                      <w:lang w:val="en-US" w:eastAsia="zh-CN"/>
                      <w14:textFill>
                        <w14:solidFill>
                          <w14:schemeClr w14:val="tx1"/>
                        </w14:solidFill>
                      </w14:textFill>
                    </w:rPr>
                    <w:t>排放规律</w:t>
                  </w:r>
                </w:p>
              </w:tc>
              <w:tc>
                <w:tcPr>
                  <w:tcW w:w="1335"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b/>
                      <w:bCs w:val="0"/>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u w:val="single"/>
                      <w:lang w:val="en-US" w:eastAsia="zh-CN"/>
                      <w14:textFill>
                        <w14:solidFill>
                          <w14:schemeClr w14:val="tx1"/>
                        </w14:solidFill>
                      </w14:textFill>
                    </w:rPr>
                    <w:t>污染治理设施工艺</w:t>
                  </w:r>
                </w:p>
              </w:tc>
              <w:tc>
                <w:tcPr>
                  <w:tcW w:w="899"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b/>
                      <w:bCs w:val="0"/>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u w:val="single"/>
                      <w:lang w:val="en-US" w:eastAsia="zh-CN"/>
                      <w14:textFill>
                        <w14:solidFill>
                          <w14:schemeClr w14:val="tx1"/>
                        </w14:solidFill>
                      </w14:textFill>
                    </w:rPr>
                    <w:t>排放口</w:t>
                  </w:r>
                </w:p>
                <w:p>
                  <w:pPr>
                    <w:spacing w:line="240" w:lineRule="auto"/>
                    <w:ind w:firstLine="0" w:firstLineChars="0"/>
                    <w:jc w:val="center"/>
                    <w:rPr>
                      <w:rFonts w:hint="eastAsia" w:ascii="Times New Roman" w:hAnsi="Times New Roman" w:eastAsia="宋体" w:cs="Times New Roman"/>
                      <w:b/>
                      <w:bCs w:val="0"/>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u w:val="single"/>
                      <w:lang w:val="en-US" w:eastAsia="zh-CN"/>
                      <w14:textFill>
                        <w14:solidFill>
                          <w14:schemeClr w14:val="tx1"/>
                        </w14:solidFill>
                      </w14:textFill>
                    </w:rPr>
                    <w:t>编号</w:t>
                  </w:r>
                </w:p>
              </w:tc>
              <w:tc>
                <w:tcPr>
                  <w:tcW w:w="889"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b/>
                      <w:bCs w:val="0"/>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u w:val="single"/>
                      <w:lang w:val="en-US" w:eastAsia="zh-CN"/>
                      <w14:textFill>
                        <w14:solidFill>
                          <w14:schemeClr w14:val="tx1"/>
                        </w14:solidFill>
                      </w14:textFill>
                    </w:rPr>
                    <w:t>是否符合要求</w:t>
                  </w:r>
                </w:p>
              </w:tc>
              <w:tc>
                <w:tcPr>
                  <w:tcW w:w="862"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b/>
                      <w:bCs w:val="0"/>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u w:val="single"/>
                      <w:lang w:val="en-US" w:eastAsia="zh-CN"/>
                      <w14:textFill>
                        <w14:solidFill>
                          <w14:schemeClr w14:val="tx1"/>
                        </w14:solidFill>
                      </w14:textFill>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t>1</w:t>
                  </w:r>
                </w:p>
              </w:tc>
              <w:tc>
                <w:tcPr>
                  <w:tcW w:w="894"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t>生活污水</w:t>
                  </w:r>
                </w:p>
              </w:tc>
              <w:tc>
                <w:tcPr>
                  <w:tcW w:w="123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Cs/>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t>COD</w:t>
                  </w:r>
                </w:p>
                <w:p>
                  <w:pPr>
                    <w:spacing w:line="240" w:lineRule="auto"/>
                    <w:ind w:firstLine="0" w:firstLineChars="0"/>
                    <w:jc w:val="center"/>
                    <w:rPr>
                      <w:rFonts w:hint="default" w:ascii="Times New Roman" w:hAnsi="Times New Roman" w:eastAsia="宋体" w:cs="Times New Roman"/>
                      <w:bCs/>
                      <w:color w:val="000000" w:themeColor="text1"/>
                      <w:sz w:val="21"/>
                      <w:u w:val="single"/>
                      <w:lang w:val="en-US" w:eastAsia="zh-CN"/>
                      <w14:textFill>
                        <w14:solidFill>
                          <w14:schemeClr w14:val="tx1"/>
                        </w14:solidFill>
                      </w14:textFill>
                    </w:rPr>
                  </w:pPr>
                  <w:bookmarkStart w:id="20" w:name="OLE_LINK63"/>
                  <w: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t>BOD5</w:t>
                  </w:r>
                  <w:bookmarkEnd w:id="20"/>
                </w:p>
                <w:p>
                  <w:pPr>
                    <w:spacing w:line="240" w:lineRule="auto"/>
                    <w:ind w:firstLine="0" w:firstLineChars="0"/>
                    <w:jc w:val="cente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Cs/>
                      <w:color w:val="000000" w:themeColor="text1"/>
                      <w:sz w:val="21"/>
                      <w:u w:val="single"/>
                      <w:lang w:val="en-US" w:eastAsia="zh-CN"/>
                      <w14:textFill>
                        <w14:solidFill>
                          <w14:schemeClr w14:val="tx1"/>
                        </w14:solidFill>
                      </w14:textFill>
                    </w:rPr>
                    <w:t>NH3-N</w:t>
                  </w:r>
                </w:p>
                <w:p>
                  <w:pPr>
                    <w:spacing w:line="240" w:lineRule="auto"/>
                    <w:ind w:firstLine="0" w:firstLineChars="0"/>
                    <w:jc w:val="cente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t>SS</w:t>
                  </w:r>
                </w:p>
                <w:p>
                  <w:pPr>
                    <w:spacing w:line="240" w:lineRule="auto"/>
                    <w:ind w:firstLine="0" w:firstLineChars="0"/>
                    <w:jc w:val="center"/>
                    <w:rPr>
                      <w:rFonts w:hint="default" w:ascii="Times New Roman" w:hAnsi="Times New Roman" w:eastAsia="宋体" w:cs="Times New Roman"/>
                      <w:bCs/>
                      <w:color w:val="000000" w:themeColor="text1"/>
                      <w:sz w:val="21"/>
                      <w:u w:val="single"/>
                      <w:lang w:val="en-US" w:eastAsia="zh-CN"/>
                      <w14:textFill>
                        <w14:solidFill>
                          <w14:schemeClr w14:val="tx1"/>
                        </w14:solidFill>
                      </w14:textFill>
                    </w:rPr>
                  </w:pPr>
                  <w:r>
                    <w:rPr>
                      <w:rFonts w:hint="eastAsia" w:cs="Times New Roman"/>
                      <w:bCs/>
                      <w:color w:val="000000" w:themeColor="text1"/>
                      <w:sz w:val="21"/>
                      <w:u w:val="single"/>
                      <w:lang w:val="en-US" w:eastAsia="zh-CN"/>
                      <w14:textFill>
                        <w14:solidFill>
                          <w14:schemeClr w14:val="tx1"/>
                        </w14:solidFill>
                      </w14:textFill>
                    </w:rPr>
                    <w:t>TP</w:t>
                  </w:r>
                </w:p>
              </w:tc>
              <w:tc>
                <w:tcPr>
                  <w:tcW w:w="93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Cs/>
                      <w:color w:val="000000" w:themeColor="text1"/>
                      <w:sz w:val="21"/>
                      <w:u w:val="single"/>
                      <w:lang w:val="en-US" w:eastAsia="zh-CN"/>
                      <w14:textFill>
                        <w14:solidFill>
                          <w14:schemeClr w14:val="tx1"/>
                        </w14:solidFill>
                      </w14:textFill>
                    </w:rPr>
                  </w:pPr>
                  <w:r>
                    <w:rPr>
                      <w:rFonts w:hint="eastAsia" w:cs="Times New Roman"/>
                      <w:bCs/>
                      <w:color w:val="000000" w:themeColor="text1"/>
                      <w:sz w:val="21"/>
                      <w:u w:val="single"/>
                      <w:lang w:val="en-US" w:eastAsia="zh-CN"/>
                      <w14:textFill>
                        <w14:solidFill>
                          <w14:schemeClr w14:val="tx1"/>
                        </w14:solidFill>
                      </w14:textFill>
                    </w:rPr>
                    <w:t>农灌</w:t>
                  </w:r>
                </w:p>
              </w:tc>
              <w:tc>
                <w:tcPr>
                  <w:tcW w:w="1037"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Cs/>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t>/</w:t>
                  </w:r>
                </w:p>
              </w:tc>
              <w:tc>
                <w:tcPr>
                  <w:tcW w:w="133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Cs/>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t>化粪池、隔油池</w:t>
                  </w:r>
                  <w:r>
                    <w:rPr>
                      <w:rFonts w:hint="eastAsia" w:cs="Times New Roman"/>
                      <w:bCs/>
                      <w:color w:val="000000" w:themeColor="text1"/>
                      <w:sz w:val="21"/>
                      <w:u w:val="single"/>
                      <w:lang w:val="en-US" w:eastAsia="zh-CN"/>
                      <w14:textFill>
                        <w14:solidFill>
                          <w14:schemeClr w14:val="tx1"/>
                        </w14:solidFill>
                      </w14:textFill>
                    </w:rPr>
                    <w:t>、一体化污水处理设备</w:t>
                  </w:r>
                </w:p>
              </w:tc>
              <w:tc>
                <w:tcPr>
                  <w:tcW w:w="899"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t>/</w:t>
                  </w:r>
                </w:p>
              </w:tc>
              <w:tc>
                <w:tcPr>
                  <w:tcW w:w="889"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t>是</w:t>
                  </w:r>
                </w:p>
              </w:tc>
              <w:tc>
                <w:tcPr>
                  <w:tcW w:w="86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Cs/>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t>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Cs/>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t>2</w:t>
                  </w:r>
                </w:p>
              </w:tc>
              <w:tc>
                <w:tcPr>
                  <w:tcW w:w="89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Cs/>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t>生产废水</w:t>
                  </w:r>
                </w:p>
              </w:tc>
              <w:tc>
                <w:tcPr>
                  <w:tcW w:w="1230"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t>COD</w:t>
                  </w:r>
                </w:p>
                <w:p>
                  <w:pPr>
                    <w:spacing w:line="240" w:lineRule="auto"/>
                    <w:ind w:firstLine="0" w:firstLineChars="0"/>
                    <w:jc w:val="center"/>
                    <w:rPr>
                      <w:rFonts w:hint="default" w:ascii="Times New Roman" w:hAnsi="Times New Roman" w:eastAsia="宋体" w:cs="Times New Roman"/>
                      <w:bCs/>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t>SS</w:t>
                  </w:r>
                </w:p>
              </w:tc>
              <w:tc>
                <w:tcPr>
                  <w:tcW w:w="93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Cs/>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t>回用</w:t>
                  </w:r>
                </w:p>
              </w:tc>
              <w:tc>
                <w:tcPr>
                  <w:tcW w:w="1037"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Cs/>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t>/</w:t>
                  </w:r>
                </w:p>
              </w:tc>
              <w:tc>
                <w:tcPr>
                  <w:tcW w:w="133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Cs/>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t>沉淀池</w:t>
                  </w:r>
                </w:p>
              </w:tc>
              <w:tc>
                <w:tcPr>
                  <w:tcW w:w="89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Cs/>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t>/</w:t>
                  </w:r>
                </w:p>
              </w:tc>
              <w:tc>
                <w:tcPr>
                  <w:tcW w:w="889"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Cs/>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t>是</w:t>
                  </w:r>
                </w:p>
              </w:tc>
              <w:tc>
                <w:tcPr>
                  <w:tcW w:w="86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Cs/>
                      <w:color w:val="000000" w:themeColor="text1"/>
                      <w:sz w:val="21"/>
                      <w:u w:val="single"/>
                      <w:lang w:val="en-US" w:eastAsia="zh-CN"/>
                      <w14:textFill>
                        <w14:solidFill>
                          <w14:schemeClr w14:val="tx1"/>
                        </w14:solidFill>
                      </w14:textFill>
                    </w:rPr>
                  </w:pPr>
                  <w:r>
                    <w:rPr>
                      <w:rFonts w:hint="eastAsia" w:ascii="Times New Roman" w:hAnsi="Times New Roman" w:eastAsia="宋体" w:cs="Times New Roman"/>
                      <w:bCs/>
                      <w:color w:val="000000" w:themeColor="text1"/>
                      <w:sz w:val="21"/>
                      <w:u w:val="single"/>
                      <w:lang w:val="en-US" w:eastAsia="zh-CN"/>
                      <w14:textFill>
                        <w14:solidFill>
                          <w14:schemeClr w14:val="tx1"/>
                        </w14:solidFill>
                      </w14:textFill>
                    </w:rPr>
                    <w:t>不排放</w:t>
                  </w:r>
                </w:p>
              </w:tc>
            </w:tr>
          </w:tbl>
          <w:p>
            <w:pPr>
              <w:ind w:firstLine="482"/>
              <w:rPr>
                <w:rFonts w:hint="default" w:eastAsia="宋体"/>
                <w:b/>
                <w:bCs/>
                <w:u w:val="single"/>
                <w:lang w:val="en-US" w:eastAsia="zh-CN"/>
              </w:rPr>
            </w:pPr>
            <w:r>
              <w:rPr>
                <w:rFonts w:hint="eastAsia" w:eastAsia="宋体"/>
                <w:b/>
                <w:bCs/>
                <w:u w:val="single"/>
              </w:rPr>
              <w:t>2.2</w:t>
            </w:r>
            <w:r>
              <w:rPr>
                <w:rFonts w:hint="eastAsia" w:eastAsia="宋体"/>
                <w:b/>
                <w:bCs/>
                <w:u w:val="single"/>
                <w:lang w:val="en-US" w:eastAsia="zh-CN"/>
              </w:rPr>
              <w:t>水污染防治措施可行性分析</w:t>
            </w:r>
          </w:p>
          <w:p>
            <w:pPr>
              <w:keepNext w:val="0"/>
              <w:keepLines w:val="0"/>
              <w:widowControl/>
              <w:suppressLineNumbers w:val="0"/>
              <w:jc w:val="left"/>
              <w:rPr>
                <w:rFonts w:hint="default" w:ascii="Times New Roman" w:hAnsi="Times New Roman" w:eastAsia="宋体" w:cs="Times New Roman"/>
                <w:sz w:val="24"/>
                <w:szCs w:val="22"/>
                <w:u w:val="single"/>
                <w:lang w:val="en-US" w:eastAsia="zh-CN"/>
              </w:rPr>
            </w:pPr>
            <w:r>
              <w:rPr>
                <w:rFonts w:hint="default" w:ascii="Times New Roman" w:hAnsi="Times New Roman" w:eastAsia="宋体" w:cs="Times New Roman"/>
                <w:sz w:val="24"/>
                <w:szCs w:val="22"/>
                <w:u w:val="single"/>
                <w:lang w:val="en-US" w:eastAsia="zh-CN"/>
              </w:rPr>
              <w:t>（1）</w:t>
            </w:r>
            <w:r>
              <w:rPr>
                <w:rFonts w:hint="eastAsia" w:ascii="Times New Roman" w:hAnsi="Times New Roman" w:eastAsia="宋体" w:cs="Times New Roman"/>
                <w:sz w:val="24"/>
                <w:szCs w:val="22"/>
                <w:u w:val="single"/>
                <w:lang w:val="en-US" w:eastAsia="zh-CN"/>
              </w:rPr>
              <w:t>一体化处理设施</w:t>
            </w:r>
          </w:p>
          <w:p>
            <w:pPr>
              <w:keepNext w:val="0"/>
              <w:keepLines w:val="0"/>
              <w:widowControl/>
              <w:suppressLineNumbers w:val="0"/>
              <w:jc w:val="left"/>
              <w:rPr>
                <w:u w:val="single"/>
              </w:rPr>
            </w:pPr>
            <w:r>
              <w:rPr>
                <w:rFonts w:hint="eastAsia" w:ascii="Times New Roman" w:hAnsi="Times New Roman" w:eastAsia="宋体" w:cs="Times New Roman"/>
                <w:sz w:val="24"/>
                <w:szCs w:val="22"/>
                <w:u w:val="single"/>
                <w:lang w:val="en-US" w:eastAsia="zh-CN"/>
              </w:rPr>
              <w:t>本项目拟采用</w:t>
            </w:r>
            <w:r>
              <w:rPr>
                <w:rFonts w:hint="eastAsia" w:cs="Times New Roman"/>
                <w:sz w:val="24"/>
                <w:szCs w:val="22"/>
                <w:u w:val="single"/>
                <w:lang w:val="en-US" w:eastAsia="zh-CN"/>
              </w:rPr>
              <w:t>12t/d</w:t>
            </w:r>
            <w:r>
              <w:rPr>
                <w:rFonts w:hint="eastAsia" w:ascii="Times New Roman" w:hAnsi="Times New Roman" w:eastAsia="宋体" w:cs="Times New Roman"/>
                <w:sz w:val="24"/>
                <w:szCs w:val="22"/>
                <w:u w:val="single"/>
                <w:lang w:val="en-US" w:eastAsia="zh-CN"/>
              </w:rPr>
              <w:t>一体化污水处理设施，可满足项目废水处理量要求。整体式生活污水处理装置主要用来处理低浓度的有机废水，为减少占地面积，要求设备的体积小，在工艺流程的设计上的好氧处理作为主要处理单元，反应器设计上选用体积小的高效反应器。本方案采用厌氧和氧化两相的交替操作达到处理目的工艺，简称A/O法生活污水属于低浓度的有机废水</w:t>
            </w:r>
            <w:r>
              <w:rPr>
                <w:rFonts w:hint="eastAsia" w:cs="Times New Roman"/>
                <w:sz w:val="24"/>
                <w:szCs w:val="22"/>
                <w:u w:val="single"/>
                <w:lang w:val="en-US" w:eastAsia="zh-CN"/>
              </w:rPr>
              <w:t>，</w:t>
            </w:r>
            <w:r>
              <w:rPr>
                <w:rFonts w:hint="eastAsia" w:ascii="Times New Roman" w:hAnsi="Times New Roman" w:eastAsia="宋体" w:cs="Times New Roman"/>
                <w:sz w:val="24"/>
                <w:szCs w:val="22"/>
                <w:u w:val="single"/>
                <w:lang w:val="en-US" w:eastAsia="zh-CN"/>
              </w:rPr>
              <w:t>其可生化性好而且各种营养元素比较全，同时受重金属离子污染的可能性比较小，为了减少设备总体体积调节池一般不包含在一体化的设备中。调节池起调节水量作用，调节池的有效停留时间一般为3~6小时。生化反应池采用接触氧化池，厌池停留1~2小时，氧化池停留8~10小时。填料采用无堵塞型、易结膜、高比面积(25 m/v)的填料。在接触氧化过程中采用三级接触氧化即能确保废水的排放，可有效地节省能源。二沉池为竖流式结构，上升流速为0.3~0.4mm/s，沉降下来的污泥输送到污泥池。污泥池用来消化污泥，污泥池上清液输送至生化反应池部分，进行再处理。污泥池消化后的剩余污泥很少，一般1~2年清理一次，清理方法可用吸粪车从检查孔伸入污泥池底部进行抽吸，由二沉池排出的上清液进入消毒池消毒处理后排放。按规范考虑消毒池接触时间大于30min。</w:t>
            </w:r>
            <w:r>
              <w:rPr>
                <w:u w:val="single"/>
              </w:rPr>
              <w:drawing>
                <wp:inline distT="0" distB="0" distL="114300" distR="114300">
                  <wp:extent cx="5248275" cy="1678305"/>
                  <wp:effectExtent l="0" t="0" r="9525" b="17145"/>
                  <wp:docPr id="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
                          <pic:cNvPicPr>
                            <a:picLocks noChangeAspect="1"/>
                          </pic:cNvPicPr>
                        </pic:nvPicPr>
                        <pic:blipFill>
                          <a:blip r:embed="rId24"/>
                          <a:stretch>
                            <a:fillRect/>
                          </a:stretch>
                        </pic:blipFill>
                        <pic:spPr>
                          <a:xfrm>
                            <a:off x="0" y="0"/>
                            <a:ext cx="5248275" cy="1678305"/>
                          </a:xfrm>
                          <a:prstGeom prst="rect">
                            <a:avLst/>
                          </a:prstGeom>
                          <a:noFill/>
                          <a:ln>
                            <a:noFill/>
                          </a:ln>
                        </pic:spPr>
                      </pic:pic>
                    </a:graphicData>
                  </a:graphic>
                </wp:inline>
              </w:drawing>
            </w:r>
          </w:p>
          <w:p>
            <w:pPr>
              <w:keepNext w:val="0"/>
              <w:keepLines w:val="0"/>
              <w:widowControl/>
              <w:suppressLineNumbers w:val="0"/>
              <w:jc w:val="center"/>
              <w:rPr>
                <w:rFonts w:hint="default" w:eastAsia="宋体"/>
                <w:b/>
                <w:bCs/>
                <w:u w:val="single"/>
                <w:lang w:val="en-US" w:eastAsia="zh-CN"/>
              </w:rPr>
            </w:pPr>
            <w:r>
              <w:rPr>
                <w:rFonts w:hint="eastAsia"/>
                <w:b/>
                <w:bCs/>
                <w:u w:val="single"/>
                <w:lang w:val="en-US" w:eastAsia="zh-CN"/>
              </w:rPr>
              <w:t>图4-1  一体化处理工艺流程图</w:t>
            </w:r>
          </w:p>
          <w:p>
            <w:pPr>
              <w:keepNext w:val="0"/>
              <w:keepLines w:val="0"/>
              <w:widowControl/>
              <w:suppressLineNumbers w:val="0"/>
              <w:jc w:val="left"/>
            </w:pPr>
            <w:r>
              <w:rPr>
                <w:rFonts w:hint="eastAsia" w:ascii="Times New Roman" w:hAnsi="Times New Roman" w:eastAsia="宋体" w:cs="Times New Roman"/>
                <w:sz w:val="24"/>
                <w:szCs w:val="22"/>
                <w:lang w:val="en-US" w:eastAsia="zh-CN"/>
              </w:rPr>
              <w:t>（2）</w:t>
            </w:r>
            <w:r>
              <w:rPr>
                <w:rFonts w:hint="eastAsia" w:ascii="宋体" w:hAnsi="宋体" w:eastAsia="宋体" w:cs="宋体"/>
                <w:color w:val="000000"/>
                <w:kern w:val="0"/>
                <w:sz w:val="24"/>
                <w:szCs w:val="24"/>
                <w:lang w:val="en-US" w:eastAsia="zh-CN" w:bidi="ar"/>
              </w:rPr>
              <w:t>沉淀池</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沉淀池是利用水流中悬浮杂质颗粒向下沉淀速度大于水流向下流动速度、或向下沉淀时间小于水流流出沉淀池的时间时能与水流分离的原理实现水的净化。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在沉砂池应用沉淀原理可以去除水中的无机杂质，在初沉池应用沉淀原理可以去除水中的悬浮物和其他固体物。在沉降区域设置许多密集的斜管或斜板，使水中悬浮杂质在斜板或斜管中进行沉淀，水沿斜板或斜管上升流动，分离出的泥渣在重力作用下沿着斜板（管）向下滑至底部，再集中排出。这种池子可以提高沉淀效率</w:t>
            </w:r>
            <w:r>
              <w:rPr>
                <w:rFonts w:hint="default" w:ascii="Times New Roman" w:hAnsi="Times New Roman" w:eastAsia="宋体" w:cs="Times New Roman"/>
                <w:color w:val="000000"/>
                <w:kern w:val="0"/>
                <w:sz w:val="24"/>
                <w:szCs w:val="24"/>
                <w:lang w:val="en-US" w:eastAsia="zh-CN" w:bidi="ar"/>
              </w:rPr>
              <w:t>50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60%</w:t>
            </w:r>
            <w:r>
              <w:rPr>
                <w:rFonts w:hint="eastAsia" w:ascii="宋体" w:hAnsi="宋体" w:eastAsia="宋体" w:cs="宋体"/>
                <w:color w:val="000000"/>
                <w:kern w:val="0"/>
                <w:sz w:val="24"/>
                <w:szCs w:val="24"/>
                <w:lang w:val="en-US" w:eastAsia="zh-CN" w:bidi="ar"/>
              </w:rPr>
              <w:t>，在同一面积上可提高处理能力</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倍。可根据原废水的试验数据来设计不同流量的斜管沉淀器，使用时一般都要投加凝聚剂。斜管沉淀池的净水法是在泥渣悬浮层上方按装倾角</w:t>
            </w:r>
            <w:r>
              <w:rPr>
                <w:rFonts w:hint="default" w:ascii="Times New Roman" w:hAnsi="Times New Roman" w:eastAsia="宋体" w:cs="Times New Roman"/>
                <w:color w:val="000000"/>
                <w:kern w:val="0"/>
                <w:sz w:val="24"/>
                <w:szCs w:val="24"/>
                <w:lang w:val="en-US" w:eastAsia="zh-CN" w:bidi="ar"/>
              </w:rPr>
              <w:t>60</w:t>
            </w:r>
            <w:r>
              <w:rPr>
                <w:rFonts w:hint="eastAsia" w:ascii="宋体" w:hAnsi="宋体" w:eastAsia="宋体" w:cs="宋体"/>
                <w:color w:val="000000"/>
                <w:kern w:val="0"/>
                <w:sz w:val="24"/>
                <w:szCs w:val="24"/>
                <w:lang w:val="en-US" w:eastAsia="zh-CN" w:bidi="ar"/>
              </w:rPr>
              <w:t>度的斜管组建，使原水中的悬浮物，固体物或经投加混凝剂后形成的絮体矾花，在斜管底侧表面积积聚成薄泥层，依靠重力作用滑回泥渣悬浮层，继而沉入集泥斗，由排泥管排入污泥池另行处理或综合利用，上清液逐渐上升至水管排出，可直接排放或回用。</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sz w:val="24"/>
                <w:szCs w:val="22"/>
                <w:u w:val="single"/>
                <w:lang w:val="en-US" w:eastAsia="zh-CN"/>
              </w:rPr>
            </w:pPr>
            <w:r>
              <w:rPr>
                <w:rFonts w:hint="eastAsia" w:ascii="Times New Roman" w:hAnsi="Times New Roman" w:eastAsia="宋体" w:cs="Times New Roman"/>
                <w:sz w:val="24"/>
                <w:szCs w:val="22"/>
                <w:u w:val="single"/>
                <w:lang w:val="en-US" w:eastAsia="zh-CN"/>
              </w:rPr>
              <w:t>（3）</w:t>
            </w:r>
            <w:r>
              <w:rPr>
                <w:rFonts w:hint="eastAsia" w:cs="Times New Roman"/>
                <w:sz w:val="24"/>
                <w:szCs w:val="22"/>
                <w:u w:val="single"/>
                <w:lang w:val="en-US" w:eastAsia="zh-CN"/>
              </w:rPr>
              <w:t>生活污水做农灌使用的可行性分析</w:t>
            </w:r>
          </w:p>
          <w:p>
            <w:pPr>
              <w:keepNext w:val="0"/>
              <w:keepLines w:val="0"/>
              <w:widowControl/>
              <w:suppressLineNumbers w:val="0"/>
              <w:jc w:val="left"/>
              <w:rPr>
                <w:rFonts w:hint="default" w:ascii="宋体" w:hAnsi="宋体" w:eastAsia="宋体" w:cs="宋体"/>
                <w:color w:val="000000"/>
                <w:kern w:val="0"/>
                <w:sz w:val="24"/>
                <w:szCs w:val="24"/>
                <w:highlight w:val="none"/>
                <w:u w:val="single"/>
                <w:lang w:val="en-US" w:eastAsia="zh-CN" w:bidi="ar"/>
              </w:rPr>
            </w:pPr>
            <w:r>
              <w:rPr>
                <w:rFonts w:hint="eastAsia" w:ascii="宋体" w:hAnsi="宋体" w:eastAsia="宋体" w:cs="宋体"/>
                <w:color w:val="000000"/>
                <w:kern w:val="0"/>
                <w:sz w:val="24"/>
                <w:szCs w:val="24"/>
                <w:u w:val="single"/>
                <w:lang w:val="en-US" w:eastAsia="zh-CN" w:bidi="ar"/>
              </w:rPr>
              <w:t>项目区位于湘阴县杨林寨乡，根据《湖南省用水定额》（</w:t>
            </w:r>
            <w:r>
              <w:rPr>
                <w:rFonts w:hint="default" w:ascii="宋体" w:hAnsi="宋体" w:eastAsia="宋体" w:cs="宋体"/>
                <w:color w:val="000000"/>
                <w:kern w:val="0"/>
                <w:sz w:val="24"/>
                <w:szCs w:val="24"/>
                <w:u w:val="single"/>
                <w:lang w:val="en-US" w:eastAsia="zh-CN" w:bidi="ar"/>
              </w:rPr>
              <w:t>DB</w:t>
            </w:r>
            <w:r>
              <w:rPr>
                <w:rFonts w:hint="eastAsia" w:ascii="宋体" w:hAnsi="宋体" w:eastAsia="宋体" w:cs="宋体"/>
                <w:color w:val="000000"/>
                <w:kern w:val="0"/>
                <w:sz w:val="24"/>
                <w:szCs w:val="24"/>
                <w:u w:val="single"/>
                <w:lang w:val="en-US" w:eastAsia="zh-CN" w:bidi="ar"/>
              </w:rPr>
              <w:t>43</w:t>
            </w:r>
            <w:r>
              <w:rPr>
                <w:rFonts w:hint="default" w:ascii="宋体" w:hAnsi="宋体" w:eastAsia="宋体" w:cs="宋体"/>
                <w:color w:val="000000"/>
                <w:kern w:val="0"/>
                <w:sz w:val="24"/>
                <w:szCs w:val="24"/>
                <w:u w:val="single"/>
                <w:lang w:val="en-US" w:eastAsia="zh-CN" w:bidi="ar"/>
              </w:rPr>
              <w:t>/T</w:t>
            </w:r>
            <w:r>
              <w:rPr>
                <w:rFonts w:hint="eastAsia" w:ascii="宋体" w:hAnsi="宋体" w:eastAsia="宋体" w:cs="宋体"/>
                <w:color w:val="000000"/>
                <w:kern w:val="0"/>
                <w:sz w:val="24"/>
                <w:szCs w:val="24"/>
                <w:u w:val="single"/>
                <w:lang w:val="en-US" w:eastAsia="zh-CN" w:bidi="ar"/>
              </w:rPr>
              <w:t>388</w:t>
            </w:r>
            <w:r>
              <w:rPr>
                <w:rFonts w:hint="default" w:ascii="宋体" w:hAnsi="宋体" w:eastAsia="宋体" w:cs="宋体"/>
                <w:color w:val="000000"/>
                <w:kern w:val="0"/>
                <w:sz w:val="24"/>
                <w:szCs w:val="24"/>
                <w:u w:val="single"/>
                <w:lang w:val="en-US" w:eastAsia="zh-CN" w:bidi="ar"/>
              </w:rPr>
              <w:t>-20</w:t>
            </w:r>
            <w:r>
              <w:rPr>
                <w:rFonts w:hint="eastAsia" w:ascii="宋体" w:hAnsi="宋体" w:eastAsia="宋体" w:cs="宋体"/>
                <w:color w:val="000000"/>
                <w:kern w:val="0"/>
                <w:sz w:val="24"/>
                <w:szCs w:val="24"/>
                <w:u w:val="single"/>
                <w:lang w:val="en-US" w:eastAsia="zh-CN" w:bidi="ar"/>
              </w:rPr>
              <w:t>20）属于灌溉Ⅲ区，周边农田主要种植蔬菜和食用菌为主，灌溉Ⅲ区灌溉定额（蔬菜75%保证率下261</w:t>
            </w:r>
            <w:r>
              <w:rPr>
                <w:rFonts w:hint="default" w:ascii="宋体" w:hAnsi="宋体" w:eastAsia="宋体" w:cs="宋体"/>
                <w:color w:val="000000"/>
                <w:kern w:val="0"/>
                <w:sz w:val="24"/>
                <w:szCs w:val="24"/>
                <w:u w:val="single"/>
                <w:lang w:val="en-US" w:eastAsia="zh-CN" w:bidi="ar"/>
              </w:rPr>
              <w:t>m</w:t>
            </w:r>
            <w:r>
              <w:rPr>
                <w:rFonts w:hint="default" w:ascii="宋体" w:hAnsi="宋体" w:eastAsia="宋体" w:cs="宋体"/>
                <w:color w:val="000000"/>
                <w:kern w:val="0"/>
                <w:sz w:val="24"/>
                <w:szCs w:val="24"/>
                <w:u w:val="single"/>
                <w:vertAlign w:val="superscript"/>
                <w:lang w:val="en-US" w:eastAsia="zh-CN" w:bidi="ar"/>
              </w:rPr>
              <w:t>3</w:t>
            </w:r>
            <w:r>
              <w:rPr>
                <w:rFonts w:hint="default" w:ascii="宋体" w:hAnsi="宋体" w:eastAsia="宋体" w:cs="宋体"/>
                <w:color w:val="000000"/>
                <w:kern w:val="0"/>
                <w:sz w:val="24"/>
                <w:szCs w:val="24"/>
                <w:u w:val="single"/>
                <w:lang w:val="en-US" w:eastAsia="zh-CN" w:bidi="ar"/>
              </w:rPr>
              <w:t>/</w:t>
            </w:r>
            <w:r>
              <w:rPr>
                <w:rFonts w:hint="eastAsia" w:ascii="宋体" w:hAnsi="宋体" w:eastAsia="宋体" w:cs="宋体"/>
                <w:color w:val="000000"/>
                <w:kern w:val="0"/>
                <w:sz w:val="24"/>
                <w:szCs w:val="24"/>
                <w:u w:val="single"/>
                <w:lang w:val="en-US" w:eastAsia="zh-CN" w:bidi="ar"/>
              </w:rPr>
              <w:t>亩</w:t>
            </w:r>
            <w:r>
              <w:rPr>
                <w:rFonts w:hint="default" w:ascii="宋体" w:hAnsi="宋体" w:eastAsia="宋体" w:cs="宋体"/>
                <w:color w:val="000000"/>
                <w:kern w:val="0"/>
                <w:sz w:val="24"/>
                <w:szCs w:val="24"/>
                <w:u w:val="single"/>
                <w:lang w:val="en-US" w:eastAsia="zh-CN" w:bidi="ar"/>
              </w:rPr>
              <w:t>·</w:t>
            </w:r>
            <w:r>
              <w:rPr>
                <w:rFonts w:hint="eastAsia" w:ascii="宋体" w:hAnsi="宋体" w:eastAsia="宋体" w:cs="宋体"/>
                <w:color w:val="000000"/>
                <w:kern w:val="0"/>
                <w:sz w:val="24"/>
                <w:szCs w:val="24"/>
                <w:u w:val="single"/>
                <w:lang w:val="en-US" w:eastAsia="zh-CN" w:bidi="ar"/>
              </w:rPr>
              <w:t>a</w:t>
            </w:r>
            <w:r>
              <w:rPr>
                <w:rFonts w:hint="eastAsia" w:ascii="宋体" w:hAnsi="宋体" w:cs="宋体"/>
                <w:color w:val="000000"/>
                <w:kern w:val="0"/>
                <w:sz w:val="24"/>
                <w:szCs w:val="24"/>
                <w:u w:val="single"/>
                <w:lang w:val="en-US" w:eastAsia="zh-CN" w:bidi="ar"/>
              </w:rPr>
              <w:t>）</w:t>
            </w:r>
            <w:r>
              <w:rPr>
                <w:rFonts w:hint="eastAsia" w:ascii="宋体" w:hAnsi="宋体" w:eastAsia="宋体" w:cs="宋体"/>
                <w:color w:val="000000"/>
                <w:kern w:val="0"/>
                <w:sz w:val="24"/>
                <w:szCs w:val="24"/>
                <w:u w:val="single"/>
                <w:lang w:val="en-US" w:eastAsia="zh-CN" w:bidi="ar"/>
              </w:rPr>
              <w:t>。根据项目区周边种植情况：</w:t>
            </w:r>
            <w:r>
              <w:rPr>
                <w:rFonts w:hint="default" w:ascii="宋体" w:hAnsi="宋体" w:eastAsia="宋体" w:cs="宋体"/>
                <w:color w:val="000000"/>
                <w:kern w:val="0"/>
                <w:sz w:val="24"/>
                <w:szCs w:val="24"/>
                <w:u w:val="single"/>
                <w:lang w:val="en-US" w:eastAsia="zh-CN" w:bidi="ar"/>
              </w:rPr>
              <w:t>1</w:t>
            </w:r>
            <w:r>
              <w:rPr>
                <w:rFonts w:hint="eastAsia" w:ascii="宋体" w:hAnsi="宋体" w:eastAsia="宋体" w:cs="宋体"/>
                <w:color w:val="000000"/>
                <w:kern w:val="0"/>
                <w:sz w:val="24"/>
                <w:szCs w:val="24"/>
                <w:u w:val="single"/>
                <w:lang w:val="en-US" w:eastAsia="zh-CN" w:bidi="ar"/>
              </w:rPr>
              <w:t>年内种植3茬作物，本项目废水量为</w:t>
            </w:r>
            <w:r>
              <w:rPr>
                <w:rFonts w:hint="eastAsia" w:ascii="宋体" w:hAnsi="宋体" w:cs="宋体"/>
                <w:color w:val="000000"/>
                <w:kern w:val="0"/>
                <w:sz w:val="24"/>
                <w:szCs w:val="24"/>
                <w:u w:val="single"/>
                <w:lang w:val="en-US" w:eastAsia="zh-CN" w:bidi="ar"/>
              </w:rPr>
              <w:t>3952</w:t>
            </w:r>
            <w:r>
              <w:rPr>
                <w:rFonts w:hint="default" w:ascii="宋体" w:hAnsi="宋体" w:eastAsia="宋体" w:cs="宋体"/>
                <w:color w:val="000000"/>
                <w:kern w:val="0"/>
                <w:sz w:val="24"/>
                <w:szCs w:val="24"/>
                <w:u w:val="single"/>
                <w:lang w:val="en-US" w:eastAsia="zh-CN" w:bidi="ar"/>
              </w:rPr>
              <w:t>m</w:t>
            </w:r>
            <w:r>
              <w:rPr>
                <w:rFonts w:hint="default" w:ascii="宋体" w:hAnsi="宋体" w:eastAsia="宋体" w:cs="宋体"/>
                <w:color w:val="000000"/>
                <w:kern w:val="0"/>
                <w:sz w:val="24"/>
                <w:szCs w:val="24"/>
                <w:u w:val="single"/>
                <w:vertAlign w:val="superscript"/>
                <w:lang w:val="en-US" w:eastAsia="zh-CN" w:bidi="ar"/>
              </w:rPr>
              <w:t>3</w:t>
            </w:r>
            <w:r>
              <w:rPr>
                <w:rFonts w:hint="default" w:ascii="宋体" w:hAnsi="宋体" w:eastAsia="宋体" w:cs="宋体"/>
                <w:color w:val="000000"/>
                <w:kern w:val="0"/>
                <w:sz w:val="24"/>
                <w:szCs w:val="24"/>
                <w:u w:val="single"/>
                <w:lang w:val="en-US" w:eastAsia="zh-CN" w:bidi="ar"/>
              </w:rPr>
              <w:t>/a</w:t>
            </w:r>
            <w:r>
              <w:rPr>
                <w:rFonts w:hint="eastAsia" w:ascii="宋体" w:hAnsi="宋体" w:eastAsia="宋体" w:cs="宋体"/>
                <w:color w:val="000000"/>
                <w:kern w:val="0"/>
                <w:sz w:val="24"/>
                <w:szCs w:val="24"/>
                <w:u w:val="single"/>
                <w:lang w:val="en-US" w:eastAsia="zh-CN" w:bidi="ar"/>
              </w:rPr>
              <w:t>，则本项目配套消纳地则需要消纳的</w:t>
            </w:r>
            <w:r>
              <w:rPr>
                <w:rFonts w:hint="eastAsia" w:ascii="宋体" w:hAnsi="宋体" w:eastAsia="宋体" w:cs="宋体"/>
                <w:color w:val="000000"/>
                <w:kern w:val="0"/>
                <w:sz w:val="24"/>
                <w:szCs w:val="24"/>
                <w:highlight w:val="none"/>
                <w:u w:val="single"/>
                <w:lang w:val="en-US" w:eastAsia="zh-CN" w:bidi="ar"/>
              </w:rPr>
              <w:t>土地最大为</w:t>
            </w:r>
            <w:r>
              <w:rPr>
                <w:rFonts w:hint="eastAsia" w:ascii="宋体" w:hAnsi="宋体" w:cs="宋体"/>
                <w:color w:val="000000"/>
                <w:kern w:val="0"/>
                <w:sz w:val="24"/>
                <w:szCs w:val="24"/>
                <w:highlight w:val="none"/>
                <w:u w:val="single"/>
                <w:lang w:val="en-US" w:eastAsia="zh-CN" w:bidi="ar"/>
              </w:rPr>
              <w:t>15.1</w:t>
            </w:r>
            <w:r>
              <w:rPr>
                <w:rFonts w:hint="eastAsia" w:ascii="宋体" w:hAnsi="宋体" w:eastAsia="宋体" w:cs="宋体"/>
                <w:color w:val="000000"/>
                <w:kern w:val="0"/>
                <w:sz w:val="24"/>
                <w:szCs w:val="24"/>
                <w:highlight w:val="none"/>
                <w:u w:val="single"/>
                <w:lang w:val="en-US" w:eastAsia="zh-CN" w:bidi="ar"/>
              </w:rPr>
              <w:t>亩。</w:t>
            </w:r>
            <w:r>
              <w:rPr>
                <w:rFonts w:hint="eastAsia" w:ascii="宋体" w:hAnsi="宋体" w:cs="宋体"/>
                <w:color w:val="000000"/>
                <w:kern w:val="0"/>
                <w:sz w:val="24"/>
                <w:szCs w:val="24"/>
                <w:highlight w:val="none"/>
                <w:u w:val="single"/>
                <w:lang w:val="en-US" w:eastAsia="zh-CN" w:bidi="ar"/>
              </w:rPr>
              <w:t>企业已与湘阴县太和围村签订52亩设施农业用地使用协议，租赁位置位于湘阴县太和围村鱼塘与十二组居民区中间地带，建设食用菌种植大棚，主要用于食用菌种植，</w:t>
            </w:r>
            <w:r>
              <w:rPr>
                <w:rFonts w:hint="eastAsia" w:ascii="宋体" w:hAnsi="宋体" w:eastAsia="宋体" w:cs="宋体"/>
                <w:color w:val="000000"/>
                <w:kern w:val="0"/>
                <w:sz w:val="24"/>
                <w:szCs w:val="24"/>
                <w:highlight w:val="none"/>
                <w:u w:val="single"/>
                <w:lang w:val="en-US" w:eastAsia="zh-CN" w:bidi="ar"/>
              </w:rPr>
              <w:t>可满足本项目废水消纳。</w:t>
            </w:r>
          </w:p>
          <w:p>
            <w:pPr>
              <w:ind w:firstLine="482"/>
              <w:rPr>
                <w:b/>
                <w:bCs/>
                <w:u w:val="none"/>
              </w:rPr>
            </w:pPr>
            <w:r>
              <w:rPr>
                <w:rFonts w:hint="eastAsia"/>
                <w:b/>
                <w:bCs/>
                <w:u w:val="none"/>
              </w:rPr>
              <w:t>3</w:t>
            </w:r>
            <w:r>
              <w:rPr>
                <w:b/>
                <w:bCs/>
                <w:u w:val="none"/>
              </w:rPr>
              <w:t>、噪声源分析</w:t>
            </w:r>
          </w:p>
          <w:p>
            <w:pPr>
              <w:ind w:firstLine="482"/>
              <w:rPr>
                <w:b/>
                <w:bCs/>
                <w:u w:val="none"/>
              </w:rPr>
            </w:pPr>
            <w:r>
              <w:rPr>
                <w:rFonts w:hint="eastAsia"/>
                <w:b/>
                <w:bCs/>
                <w:u w:val="none"/>
              </w:rPr>
              <w:t>（1）噪声污染源分析</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本项目主要噪声源为生产区内生产设备、生物质锅炉、风机等生产设备运行过程产生的噪声，其噪声源强为</w:t>
            </w:r>
            <w:r>
              <w:rPr>
                <w:rFonts w:hint="default" w:ascii="Times New Roman" w:hAnsi="Times New Roman" w:eastAsia="宋体" w:cs="Times New Roman"/>
                <w:color w:val="000000"/>
                <w:kern w:val="0"/>
                <w:sz w:val="24"/>
                <w:szCs w:val="24"/>
                <w:lang w:val="en-US" w:eastAsia="zh-CN" w:bidi="ar"/>
              </w:rPr>
              <w:t>70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85dB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p>
          <w:p>
            <w:pPr>
              <w:spacing w:line="240" w:lineRule="auto"/>
              <w:ind w:firstLine="422" w:firstLineChars="0"/>
              <w:jc w:val="center"/>
              <w:rPr>
                <w:rFonts w:hint="eastAsia" w:ascii="Times New Roman" w:hAnsi="Times New Roman" w:eastAsia="宋体" w:cs="Times New Roman"/>
                <w:b/>
                <w:bCs/>
                <w:kern w:val="0"/>
                <w:sz w:val="21"/>
                <w:u w:val="none"/>
              </w:rPr>
            </w:pPr>
            <w:r>
              <w:rPr>
                <w:rFonts w:hint="eastAsia" w:ascii="Times New Roman" w:hAnsi="Times New Roman" w:eastAsia="宋体" w:cs="Times New Roman"/>
                <w:b/>
                <w:bCs/>
                <w:kern w:val="0"/>
                <w:sz w:val="21"/>
                <w:u w:val="none"/>
                <w:lang w:val="en-US" w:eastAsia="zh-CN"/>
              </w:rPr>
              <w:t xml:space="preserve">表 </w:t>
            </w:r>
            <w:r>
              <w:rPr>
                <w:rFonts w:hint="default" w:ascii="Times New Roman" w:hAnsi="Times New Roman" w:eastAsia="宋体" w:cs="Times New Roman"/>
                <w:b/>
                <w:bCs/>
                <w:kern w:val="0"/>
                <w:sz w:val="21"/>
                <w:u w:val="none"/>
                <w:lang w:val="en-US" w:eastAsia="zh-CN"/>
              </w:rPr>
              <w:t>4-</w:t>
            </w:r>
            <w:r>
              <w:rPr>
                <w:rFonts w:hint="eastAsia" w:cs="Times New Roman"/>
                <w:b/>
                <w:bCs/>
                <w:kern w:val="0"/>
                <w:sz w:val="21"/>
                <w:u w:val="none"/>
                <w:lang w:val="en-US" w:eastAsia="zh-CN"/>
              </w:rPr>
              <w:t>17</w:t>
            </w:r>
            <w:r>
              <w:rPr>
                <w:rFonts w:hint="default" w:ascii="Times New Roman" w:hAnsi="Times New Roman" w:eastAsia="宋体" w:cs="Times New Roman"/>
                <w:b/>
                <w:bCs/>
                <w:kern w:val="0"/>
                <w:sz w:val="21"/>
                <w:u w:val="none"/>
                <w:lang w:val="en-US" w:eastAsia="zh-CN"/>
              </w:rPr>
              <w:t xml:space="preserve"> </w:t>
            </w:r>
            <w:r>
              <w:rPr>
                <w:rFonts w:hint="eastAsia" w:ascii="Times New Roman" w:hAnsi="Times New Roman" w:eastAsia="宋体" w:cs="Times New Roman"/>
                <w:b/>
                <w:bCs/>
                <w:kern w:val="0"/>
                <w:sz w:val="21"/>
                <w:u w:val="none"/>
                <w:lang w:val="en-US" w:eastAsia="zh-CN"/>
              </w:rPr>
              <w:t>拟建项目噪声源 单位：</w:t>
            </w:r>
            <w:r>
              <w:rPr>
                <w:rFonts w:hint="default" w:ascii="Times New Roman" w:hAnsi="Times New Roman" w:eastAsia="宋体" w:cs="Times New Roman"/>
                <w:b/>
                <w:bCs/>
                <w:kern w:val="0"/>
                <w:sz w:val="21"/>
                <w:u w:val="none"/>
                <w:lang w:val="en-US" w:eastAsia="zh-CN"/>
              </w:rPr>
              <w:t>dB</w:t>
            </w:r>
            <w:r>
              <w:rPr>
                <w:rFonts w:hint="eastAsia" w:ascii="Times New Roman" w:hAnsi="Times New Roman" w:eastAsia="宋体" w:cs="Times New Roman"/>
                <w:b/>
                <w:bCs/>
                <w:kern w:val="0"/>
                <w:sz w:val="21"/>
                <w:u w:val="none"/>
                <w:lang w:val="en-US" w:eastAsia="zh-CN"/>
              </w:rPr>
              <w:t>（</w:t>
            </w:r>
            <w:r>
              <w:rPr>
                <w:rFonts w:hint="default" w:ascii="Times New Roman" w:hAnsi="Times New Roman" w:eastAsia="宋体" w:cs="Times New Roman"/>
                <w:b/>
                <w:bCs/>
                <w:kern w:val="0"/>
                <w:sz w:val="21"/>
                <w:u w:val="none"/>
                <w:lang w:val="en-US" w:eastAsia="zh-CN"/>
              </w:rPr>
              <w:t>A</w:t>
            </w:r>
            <w:r>
              <w:rPr>
                <w:rFonts w:hint="eastAsia" w:ascii="Times New Roman" w:hAnsi="Times New Roman" w:eastAsia="宋体" w:cs="Times New Roman"/>
                <w:b/>
                <w:bCs/>
                <w:kern w:val="0"/>
                <w:sz w:val="21"/>
                <w:u w:val="none"/>
                <w:lang w:val="en-US" w:eastAsia="zh-CN"/>
              </w:rPr>
              <w:t>）</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3"/>
              <w:gridCol w:w="2123"/>
              <w:gridCol w:w="2123"/>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tcPr>
                <w:p>
                  <w:pPr>
                    <w:spacing w:line="240" w:lineRule="auto"/>
                    <w:ind w:firstLine="0" w:firstLineChars="0"/>
                    <w:jc w:val="center"/>
                    <w:rPr>
                      <w:rFonts w:hint="eastAsia" w:ascii="Times New Roman" w:hAnsi="Times New Roman" w:eastAsia="宋体" w:cs="Arial"/>
                      <w:color w:val="000000" w:themeColor="text1"/>
                      <w:sz w:val="21"/>
                      <w:u w:val="none"/>
                      <w:lang w:val="en-US" w:eastAsia="zh-CN"/>
                      <w14:textFill>
                        <w14:solidFill>
                          <w14:schemeClr w14:val="tx1"/>
                        </w14:solidFill>
                      </w14:textFill>
                    </w:rPr>
                  </w:pPr>
                  <w:r>
                    <w:rPr>
                      <w:rFonts w:hint="eastAsia" w:ascii="Times New Roman" w:hAnsi="Times New Roman" w:eastAsia="宋体" w:cs="Arial"/>
                      <w:color w:val="000000" w:themeColor="text1"/>
                      <w:sz w:val="21"/>
                      <w:u w:val="none"/>
                      <w:lang w:val="en-US" w:eastAsia="zh-CN"/>
                      <w14:textFill>
                        <w14:solidFill>
                          <w14:schemeClr w14:val="tx1"/>
                        </w14:solidFill>
                      </w14:textFill>
                    </w:rPr>
                    <w:t>序号</w:t>
                  </w:r>
                </w:p>
              </w:tc>
              <w:tc>
                <w:tcPr>
                  <w:tcW w:w="2123" w:type="dxa"/>
                </w:tcPr>
                <w:p>
                  <w:pPr>
                    <w:spacing w:line="240" w:lineRule="auto"/>
                    <w:ind w:firstLine="0" w:firstLineChars="0"/>
                    <w:jc w:val="center"/>
                    <w:rPr>
                      <w:rFonts w:hint="default" w:ascii="Times New Roman" w:hAnsi="Times New Roman" w:eastAsia="宋体" w:cs="Arial"/>
                      <w:color w:val="000000" w:themeColor="text1"/>
                      <w:sz w:val="21"/>
                      <w:u w:val="none"/>
                      <w:lang w:val="en-US" w:eastAsia="zh-CN"/>
                      <w14:textFill>
                        <w14:solidFill>
                          <w14:schemeClr w14:val="tx1"/>
                        </w14:solidFill>
                      </w14:textFill>
                    </w:rPr>
                  </w:pPr>
                  <w:r>
                    <w:rPr>
                      <w:rFonts w:hint="eastAsia" w:ascii="Times New Roman" w:hAnsi="Times New Roman" w:eastAsia="宋体" w:cs="Arial"/>
                      <w:color w:val="000000" w:themeColor="text1"/>
                      <w:sz w:val="21"/>
                      <w:u w:val="none"/>
                      <w:lang w:val="en-US" w:eastAsia="zh-CN"/>
                      <w14:textFill>
                        <w14:solidFill>
                          <w14:schemeClr w14:val="tx1"/>
                        </w14:solidFill>
                      </w14:textFill>
                    </w:rPr>
                    <w:t>设备名称</w:t>
                  </w:r>
                </w:p>
              </w:tc>
              <w:tc>
                <w:tcPr>
                  <w:tcW w:w="2123" w:type="dxa"/>
                </w:tcPr>
                <w:p>
                  <w:pPr>
                    <w:spacing w:line="240" w:lineRule="auto"/>
                    <w:ind w:firstLine="0" w:firstLineChars="0"/>
                    <w:jc w:val="center"/>
                    <w:rPr>
                      <w:rFonts w:hint="default" w:ascii="Times New Roman" w:hAnsi="Times New Roman" w:eastAsia="宋体" w:cs="Arial"/>
                      <w:color w:val="000000" w:themeColor="text1"/>
                      <w:sz w:val="21"/>
                      <w:u w:val="none"/>
                      <w:lang w:val="en-US" w:eastAsia="zh-CN"/>
                      <w14:textFill>
                        <w14:solidFill>
                          <w14:schemeClr w14:val="tx1"/>
                        </w14:solidFill>
                      </w14:textFill>
                    </w:rPr>
                  </w:pPr>
                  <w:r>
                    <w:rPr>
                      <w:rFonts w:hint="eastAsia" w:ascii="Times New Roman" w:hAnsi="Times New Roman" w:eastAsia="宋体" w:cs="Arial"/>
                      <w:color w:val="000000" w:themeColor="text1"/>
                      <w:sz w:val="21"/>
                      <w:u w:val="none"/>
                      <w:lang w:val="en-US" w:eastAsia="zh-CN"/>
                      <w14:textFill>
                        <w14:solidFill>
                          <w14:schemeClr w14:val="tx1"/>
                        </w14:solidFill>
                      </w14:textFill>
                    </w:rPr>
                    <w:t>工作方式</w:t>
                  </w:r>
                </w:p>
              </w:tc>
              <w:tc>
                <w:tcPr>
                  <w:tcW w:w="2123" w:type="dxa"/>
                </w:tcPr>
                <w:p>
                  <w:pPr>
                    <w:spacing w:line="240" w:lineRule="auto"/>
                    <w:ind w:firstLine="0" w:firstLineChars="0"/>
                    <w:jc w:val="center"/>
                    <w:rPr>
                      <w:rFonts w:hint="default" w:ascii="Times New Roman" w:hAnsi="Times New Roman" w:eastAsia="宋体" w:cs="Arial"/>
                      <w:color w:val="000000" w:themeColor="text1"/>
                      <w:sz w:val="21"/>
                      <w:u w:val="none"/>
                      <w:lang w:val="en-US" w:eastAsia="zh-CN"/>
                      <w14:textFill>
                        <w14:solidFill>
                          <w14:schemeClr w14:val="tx1"/>
                        </w14:solidFill>
                      </w14:textFill>
                    </w:rPr>
                  </w:pPr>
                  <w:r>
                    <w:rPr>
                      <w:rFonts w:hint="eastAsia" w:ascii="Times New Roman" w:hAnsi="Times New Roman" w:eastAsia="宋体" w:cs="Arial"/>
                      <w:color w:val="000000" w:themeColor="text1"/>
                      <w:sz w:val="21"/>
                      <w:u w:val="none"/>
                      <w:lang w:val="en-US" w:eastAsia="zh-CN"/>
                      <w14:textFill>
                        <w14:solidFill>
                          <w14:schemeClr w14:val="tx1"/>
                        </w14:solidFill>
                      </w14:textFill>
                    </w:rPr>
                    <w:t>噪声源强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tcPr>
                <w:p>
                  <w:pPr>
                    <w:spacing w:line="240" w:lineRule="auto"/>
                    <w:ind w:firstLine="0" w:firstLineChars="0"/>
                    <w:jc w:val="center"/>
                    <w:rPr>
                      <w:rFonts w:hint="eastAsia" w:ascii="Times New Roman" w:hAnsi="Times New Roman" w:eastAsia="宋体" w:cs="Arial"/>
                      <w:color w:val="000000" w:themeColor="text1"/>
                      <w:sz w:val="21"/>
                      <w:u w:val="none"/>
                      <w:lang w:val="en-US" w:eastAsia="zh-CN"/>
                      <w14:textFill>
                        <w14:solidFill>
                          <w14:schemeClr w14:val="tx1"/>
                        </w14:solidFill>
                      </w14:textFill>
                    </w:rPr>
                  </w:pPr>
                  <w:r>
                    <w:rPr>
                      <w:rFonts w:hint="eastAsia" w:ascii="Times New Roman" w:hAnsi="Times New Roman" w:eastAsia="宋体" w:cs="Arial"/>
                      <w:color w:val="000000" w:themeColor="text1"/>
                      <w:sz w:val="21"/>
                      <w:u w:val="none"/>
                      <w:lang w:val="en-US" w:eastAsia="zh-CN"/>
                      <w14:textFill>
                        <w14:solidFill>
                          <w14:schemeClr w14:val="tx1"/>
                        </w14:solidFill>
                      </w14:textFill>
                    </w:rPr>
                    <w:t>1</w:t>
                  </w:r>
                </w:p>
              </w:tc>
              <w:tc>
                <w:tcPr>
                  <w:tcW w:w="2123" w:type="dxa"/>
                </w:tcPr>
                <w:p>
                  <w:pPr>
                    <w:spacing w:line="240" w:lineRule="auto"/>
                    <w:ind w:firstLine="0" w:firstLineChars="0"/>
                    <w:jc w:val="center"/>
                    <w:rPr>
                      <w:rFonts w:hint="default" w:ascii="Times New Roman" w:hAnsi="Times New Roman" w:eastAsia="宋体" w:cs="Arial"/>
                      <w:color w:val="000000" w:themeColor="text1"/>
                      <w:sz w:val="21"/>
                      <w:u w:val="none"/>
                      <w:lang w:val="en-US" w:eastAsia="zh-CN"/>
                      <w14:textFill>
                        <w14:solidFill>
                          <w14:schemeClr w14:val="tx1"/>
                        </w14:solidFill>
                      </w14:textFill>
                    </w:rPr>
                  </w:pPr>
                  <w:r>
                    <w:rPr>
                      <w:rFonts w:hint="eastAsia" w:ascii="Times New Roman" w:hAnsi="Times New Roman" w:eastAsia="宋体" w:cs="Arial"/>
                      <w:color w:val="000000" w:themeColor="text1"/>
                      <w:sz w:val="21"/>
                      <w:u w:val="none"/>
                      <w:lang w:val="en-US" w:eastAsia="zh-CN"/>
                      <w14:textFill>
                        <w14:solidFill>
                          <w14:schemeClr w14:val="tx1"/>
                        </w14:solidFill>
                      </w14:textFill>
                    </w:rPr>
                    <w:t>拌料装袋生产线</w:t>
                  </w:r>
                </w:p>
              </w:tc>
              <w:tc>
                <w:tcPr>
                  <w:tcW w:w="2123" w:type="dxa"/>
                </w:tcPr>
                <w:p>
                  <w:pPr>
                    <w:spacing w:line="240" w:lineRule="auto"/>
                    <w:ind w:firstLine="0" w:firstLineChars="0"/>
                    <w:jc w:val="center"/>
                    <w:rPr>
                      <w:rFonts w:hint="eastAsia" w:ascii="Times New Roman" w:hAnsi="Times New Roman" w:eastAsia="宋体" w:cs="Arial"/>
                      <w:color w:val="000000" w:themeColor="text1"/>
                      <w:sz w:val="21"/>
                      <w:u w:val="none"/>
                      <w:lang w:val="en-US" w:eastAsia="zh-CN"/>
                      <w14:textFill>
                        <w14:solidFill>
                          <w14:schemeClr w14:val="tx1"/>
                        </w14:solidFill>
                      </w14:textFill>
                    </w:rPr>
                  </w:pPr>
                  <w:r>
                    <w:rPr>
                      <w:rFonts w:hint="eastAsia" w:ascii="Times New Roman" w:hAnsi="Times New Roman" w:eastAsia="宋体" w:cs="Arial"/>
                      <w:color w:val="000000" w:themeColor="text1"/>
                      <w:sz w:val="21"/>
                      <w:u w:val="none"/>
                      <w:lang w:val="en-US" w:eastAsia="zh-CN"/>
                      <w14:textFill>
                        <w14:solidFill>
                          <w14:schemeClr w14:val="tx1"/>
                        </w14:solidFill>
                      </w14:textFill>
                    </w:rPr>
                    <w:t>连续</w:t>
                  </w:r>
                </w:p>
              </w:tc>
              <w:tc>
                <w:tcPr>
                  <w:tcW w:w="2123" w:type="dxa"/>
                </w:tcPr>
                <w:p>
                  <w:pPr>
                    <w:spacing w:line="240" w:lineRule="auto"/>
                    <w:ind w:firstLine="0" w:firstLineChars="0"/>
                    <w:jc w:val="center"/>
                    <w:rPr>
                      <w:rFonts w:hint="default" w:ascii="Times New Roman" w:hAnsi="Times New Roman" w:eastAsia="宋体" w:cs="Arial"/>
                      <w:color w:val="000000" w:themeColor="text1"/>
                      <w:sz w:val="21"/>
                      <w:u w:val="none"/>
                      <w:lang w:val="en-US" w:eastAsia="zh-CN"/>
                      <w14:textFill>
                        <w14:solidFill>
                          <w14:schemeClr w14:val="tx1"/>
                        </w14:solidFill>
                      </w14:textFill>
                    </w:rPr>
                  </w:pPr>
                  <w:r>
                    <w:rPr>
                      <w:rFonts w:hint="eastAsia" w:ascii="Times New Roman" w:hAnsi="Times New Roman" w:eastAsia="宋体" w:cs="Arial"/>
                      <w:color w:val="000000" w:themeColor="text1"/>
                      <w:sz w:val="21"/>
                      <w:u w:val="none"/>
                      <w:lang w:val="en-US"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tcPr>
                <w:p>
                  <w:pPr>
                    <w:spacing w:line="240" w:lineRule="auto"/>
                    <w:ind w:firstLine="0" w:firstLineChars="0"/>
                    <w:jc w:val="center"/>
                    <w:rPr>
                      <w:rFonts w:hint="eastAsia" w:ascii="Times New Roman" w:hAnsi="Times New Roman" w:eastAsia="宋体" w:cs="Arial"/>
                      <w:color w:val="000000" w:themeColor="text1"/>
                      <w:sz w:val="21"/>
                      <w:u w:val="none"/>
                      <w:lang w:val="en-US" w:eastAsia="zh-CN"/>
                      <w14:textFill>
                        <w14:solidFill>
                          <w14:schemeClr w14:val="tx1"/>
                        </w14:solidFill>
                      </w14:textFill>
                    </w:rPr>
                  </w:pPr>
                  <w:r>
                    <w:rPr>
                      <w:rFonts w:hint="eastAsia" w:ascii="Times New Roman" w:hAnsi="Times New Roman" w:eastAsia="宋体" w:cs="Arial"/>
                      <w:color w:val="000000" w:themeColor="text1"/>
                      <w:sz w:val="21"/>
                      <w:u w:val="none"/>
                      <w:lang w:val="en-US" w:eastAsia="zh-CN"/>
                      <w14:textFill>
                        <w14:solidFill>
                          <w14:schemeClr w14:val="tx1"/>
                        </w14:solidFill>
                      </w14:textFill>
                    </w:rPr>
                    <w:t>2</w:t>
                  </w:r>
                </w:p>
              </w:tc>
              <w:tc>
                <w:tcPr>
                  <w:tcW w:w="2123" w:type="dxa"/>
                </w:tcPr>
                <w:p>
                  <w:pPr>
                    <w:spacing w:line="240" w:lineRule="auto"/>
                    <w:ind w:firstLine="0" w:firstLineChars="0"/>
                    <w:jc w:val="center"/>
                    <w:rPr>
                      <w:rFonts w:hint="default" w:ascii="Times New Roman" w:hAnsi="Times New Roman" w:eastAsia="宋体" w:cs="Arial"/>
                      <w:color w:val="000000" w:themeColor="text1"/>
                      <w:sz w:val="21"/>
                      <w:u w:val="none"/>
                      <w:lang w:val="en-US" w:eastAsia="zh-CN"/>
                      <w14:textFill>
                        <w14:solidFill>
                          <w14:schemeClr w14:val="tx1"/>
                        </w14:solidFill>
                      </w14:textFill>
                    </w:rPr>
                  </w:pPr>
                  <w:r>
                    <w:rPr>
                      <w:rFonts w:hint="eastAsia" w:ascii="Times New Roman" w:hAnsi="Times New Roman" w:eastAsia="宋体" w:cs="Arial"/>
                      <w:color w:val="000000" w:themeColor="text1"/>
                      <w:sz w:val="21"/>
                      <w:u w:val="none"/>
                      <w:lang w:val="en-US" w:eastAsia="zh-CN"/>
                      <w14:textFill>
                        <w14:solidFill>
                          <w14:schemeClr w14:val="tx1"/>
                        </w14:solidFill>
                      </w14:textFill>
                    </w:rPr>
                    <w:t>灭菌设备</w:t>
                  </w:r>
                </w:p>
              </w:tc>
              <w:tc>
                <w:tcPr>
                  <w:tcW w:w="2123" w:type="dxa"/>
                </w:tcPr>
                <w:p>
                  <w:pPr>
                    <w:spacing w:line="240" w:lineRule="auto"/>
                    <w:ind w:firstLine="0" w:firstLineChars="0"/>
                    <w:jc w:val="center"/>
                    <w:rPr>
                      <w:rFonts w:hint="eastAsia" w:ascii="Times New Roman" w:hAnsi="Times New Roman" w:eastAsia="宋体" w:cs="Arial"/>
                      <w:color w:val="000000" w:themeColor="text1"/>
                      <w:sz w:val="21"/>
                      <w:u w:val="none"/>
                      <w:lang w:val="en-US" w:eastAsia="zh-CN"/>
                      <w14:textFill>
                        <w14:solidFill>
                          <w14:schemeClr w14:val="tx1"/>
                        </w14:solidFill>
                      </w14:textFill>
                    </w:rPr>
                  </w:pPr>
                  <w:r>
                    <w:rPr>
                      <w:rFonts w:hint="eastAsia" w:ascii="Times New Roman" w:hAnsi="Times New Roman" w:eastAsia="宋体" w:cs="Arial"/>
                      <w:color w:val="000000" w:themeColor="text1"/>
                      <w:sz w:val="21"/>
                      <w:u w:val="none"/>
                      <w:lang w:val="en-US" w:eastAsia="zh-CN"/>
                      <w14:textFill>
                        <w14:solidFill>
                          <w14:schemeClr w14:val="tx1"/>
                        </w14:solidFill>
                      </w14:textFill>
                    </w:rPr>
                    <w:t>连续</w:t>
                  </w:r>
                </w:p>
              </w:tc>
              <w:tc>
                <w:tcPr>
                  <w:tcW w:w="2123" w:type="dxa"/>
                </w:tcPr>
                <w:p>
                  <w:pPr>
                    <w:spacing w:line="240" w:lineRule="auto"/>
                    <w:ind w:firstLine="0" w:firstLineChars="0"/>
                    <w:jc w:val="center"/>
                    <w:rPr>
                      <w:rFonts w:hint="default" w:ascii="Times New Roman" w:hAnsi="Times New Roman" w:eastAsia="宋体" w:cs="Arial"/>
                      <w:color w:val="000000" w:themeColor="text1"/>
                      <w:sz w:val="21"/>
                      <w:u w:val="none"/>
                      <w:lang w:val="en-US" w:eastAsia="zh-CN"/>
                      <w14:textFill>
                        <w14:solidFill>
                          <w14:schemeClr w14:val="tx1"/>
                        </w14:solidFill>
                      </w14:textFill>
                    </w:rPr>
                  </w:pPr>
                  <w:r>
                    <w:rPr>
                      <w:rFonts w:hint="eastAsia" w:ascii="Times New Roman" w:hAnsi="Times New Roman" w:eastAsia="宋体" w:cs="Arial"/>
                      <w:color w:val="000000" w:themeColor="text1"/>
                      <w:sz w:val="21"/>
                      <w:u w:val="none"/>
                      <w:lang w:val="en-US" w:eastAsia="zh-CN"/>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tcPr>
                <w:p>
                  <w:pPr>
                    <w:spacing w:line="240" w:lineRule="auto"/>
                    <w:ind w:firstLine="0" w:firstLineChars="0"/>
                    <w:jc w:val="center"/>
                    <w:rPr>
                      <w:rFonts w:hint="eastAsia" w:ascii="Times New Roman" w:hAnsi="Times New Roman" w:eastAsia="宋体" w:cs="Arial"/>
                      <w:color w:val="000000" w:themeColor="text1"/>
                      <w:sz w:val="21"/>
                      <w:u w:val="none"/>
                      <w:lang w:val="en-US" w:eastAsia="zh-CN"/>
                      <w14:textFill>
                        <w14:solidFill>
                          <w14:schemeClr w14:val="tx1"/>
                        </w14:solidFill>
                      </w14:textFill>
                    </w:rPr>
                  </w:pPr>
                  <w:r>
                    <w:rPr>
                      <w:rFonts w:hint="eastAsia" w:ascii="Times New Roman" w:hAnsi="Times New Roman" w:eastAsia="宋体" w:cs="Arial"/>
                      <w:color w:val="000000" w:themeColor="text1"/>
                      <w:sz w:val="21"/>
                      <w:u w:val="none"/>
                      <w:lang w:val="en-US" w:eastAsia="zh-CN"/>
                      <w14:textFill>
                        <w14:solidFill>
                          <w14:schemeClr w14:val="tx1"/>
                        </w14:solidFill>
                      </w14:textFill>
                    </w:rPr>
                    <w:t>3</w:t>
                  </w:r>
                </w:p>
              </w:tc>
              <w:tc>
                <w:tcPr>
                  <w:tcW w:w="2123" w:type="dxa"/>
                </w:tcPr>
                <w:p>
                  <w:pPr>
                    <w:spacing w:line="240" w:lineRule="auto"/>
                    <w:ind w:firstLine="0" w:firstLineChars="0"/>
                    <w:jc w:val="center"/>
                    <w:rPr>
                      <w:rFonts w:hint="default" w:ascii="Times New Roman" w:hAnsi="Times New Roman" w:eastAsia="宋体" w:cs="Arial"/>
                      <w:color w:val="000000" w:themeColor="text1"/>
                      <w:sz w:val="21"/>
                      <w:u w:val="none"/>
                      <w:lang w:val="en-US" w:eastAsia="zh-CN"/>
                      <w14:textFill>
                        <w14:solidFill>
                          <w14:schemeClr w14:val="tx1"/>
                        </w14:solidFill>
                      </w14:textFill>
                    </w:rPr>
                  </w:pPr>
                  <w:r>
                    <w:rPr>
                      <w:rFonts w:hint="eastAsia" w:ascii="Times New Roman" w:hAnsi="Times New Roman" w:eastAsia="宋体" w:cs="Arial"/>
                      <w:color w:val="000000" w:themeColor="text1"/>
                      <w:sz w:val="21"/>
                      <w:u w:val="none"/>
                      <w:lang w:val="en-US" w:eastAsia="zh-CN"/>
                      <w14:textFill>
                        <w14:solidFill>
                          <w14:schemeClr w14:val="tx1"/>
                        </w14:solidFill>
                      </w14:textFill>
                    </w:rPr>
                    <w:t>生物质锅炉</w:t>
                  </w:r>
                </w:p>
              </w:tc>
              <w:tc>
                <w:tcPr>
                  <w:tcW w:w="2123" w:type="dxa"/>
                </w:tcPr>
                <w:p>
                  <w:pPr>
                    <w:spacing w:line="240" w:lineRule="auto"/>
                    <w:ind w:firstLine="0" w:firstLineChars="0"/>
                    <w:jc w:val="center"/>
                    <w:rPr>
                      <w:rFonts w:hint="eastAsia" w:ascii="Times New Roman" w:hAnsi="Times New Roman" w:eastAsia="宋体" w:cs="Arial"/>
                      <w:color w:val="000000" w:themeColor="text1"/>
                      <w:sz w:val="21"/>
                      <w:u w:val="none"/>
                      <w:lang w:val="en-US" w:eastAsia="zh-CN"/>
                      <w14:textFill>
                        <w14:solidFill>
                          <w14:schemeClr w14:val="tx1"/>
                        </w14:solidFill>
                      </w14:textFill>
                    </w:rPr>
                  </w:pPr>
                  <w:r>
                    <w:rPr>
                      <w:rFonts w:hint="eastAsia" w:ascii="Times New Roman" w:hAnsi="Times New Roman" w:eastAsia="宋体" w:cs="Arial"/>
                      <w:color w:val="000000" w:themeColor="text1"/>
                      <w:sz w:val="21"/>
                      <w:u w:val="none"/>
                      <w:lang w:val="en-US" w:eastAsia="zh-CN"/>
                      <w14:textFill>
                        <w14:solidFill>
                          <w14:schemeClr w14:val="tx1"/>
                        </w14:solidFill>
                      </w14:textFill>
                    </w:rPr>
                    <w:t>连续</w:t>
                  </w:r>
                </w:p>
              </w:tc>
              <w:tc>
                <w:tcPr>
                  <w:tcW w:w="2123" w:type="dxa"/>
                </w:tcPr>
                <w:p>
                  <w:pPr>
                    <w:spacing w:line="240" w:lineRule="auto"/>
                    <w:ind w:firstLine="0" w:firstLineChars="0"/>
                    <w:jc w:val="center"/>
                    <w:rPr>
                      <w:rFonts w:hint="default" w:ascii="Times New Roman" w:hAnsi="Times New Roman" w:eastAsia="宋体" w:cs="Arial"/>
                      <w:color w:val="000000" w:themeColor="text1"/>
                      <w:sz w:val="21"/>
                      <w:u w:val="none"/>
                      <w:lang w:val="en-US" w:eastAsia="zh-CN"/>
                      <w14:textFill>
                        <w14:solidFill>
                          <w14:schemeClr w14:val="tx1"/>
                        </w14:solidFill>
                      </w14:textFill>
                    </w:rPr>
                  </w:pPr>
                  <w:r>
                    <w:rPr>
                      <w:rFonts w:hint="eastAsia" w:ascii="Times New Roman" w:hAnsi="Times New Roman" w:eastAsia="宋体" w:cs="Arial"/>
                      <w:color w:val="000000" w:themeColor="text1"/>
                      <w:sz w:val="21"/>
                      <w:u w:val="none"/>
                      <w:lang w:val="en-US" w:eastAsia="zh-CN"/>
                      <w14:textFill>
                        <w14:solidFill>
                          <w14:schemeClr w14:val="tx1"/>
                        </w14:solidFill>
                      </w14:textFill>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tcPr>
                <w:p>
                  <w:pPr>
                    <w:spacing w:line="240" w:lineRule="auto"/>
                    <w:ind w:firstLine="0" w:firstLineChars="0"/>
                    <w:jc w:val="center"/>
                    <w:rPr>
                      <w:rFonts w:hint="eastAsia" w:ascii="Times New Roman" w:hAnsi="Times New Roman" w:eastAsia="宋体" w:cs="Arial"/>
                      <w:color w:val="000000" w:themeColor="text1"/>
                      <w:sz w:val="21"/>
                      <w:u w:val="none"/>
                      <w:lang w:val="en-US" w:eastAsia="zh-CN"/>
                      <w14:textFill>
                        <w14:solidFill>
                          <w14:schemeClr w14:val="tx1"/>
                        </w14:solidFill>
                      </w14:textFill>
                    </w:rPr>
                  </w:pPr>
                  <w:r>
                    <w:rPr>
                      <w:rFonts w:hint="eastAsia" w:ascii="Times New Roman" w:hAnsi="Times New Roman" w:eastAsia="宋体" w:cs="Arial"/>
                      <w:color w:val="000000" w:themeColor="text1"/>
                      <w:sz w:val="21"/>
                      <w:u w:val="none"/>
                      <w:lang w:val="en-US" w:eastAsia="zh-CN"/>
                      <w14:textFill>
                        <w14:solidFill>
                          <w14:schemeClr w14:val="tx1"/>
                        </w14:solidFill>
                      </w14:textFill>
                    </w:rPr>
                    <w:t>4</w:t>
                  </w:r>
                </w:p>
              </w:tc>
              <w:tc>
                <w:tcPr>
                  <w:tcW w:w="2123" w:type="dxa"/>
                </w:tcPr>
                <w:p>
                  <w:pPr>
                    <w:spacing w:line="240" w:lineRule="auto"/>
                    <w:ind w:firstLine="0" w:firstLineChars="0"/>
                    <w:jc w:val="center"/>
                    <w:rPr>
                      <w:rFonts w:hint="eastAsia" w:ascii="Times New Roman" w:hAnsi="Times New Roman" w:eastAsia="宋体" w:cs="Arial"/>
                      <w:color w:val="000000" w:themeColor="text1"/>
                      <w:sz w:val="21"/>
                      <w:u w:val="none"/>
                      <w:lang w:val="en-US" w:eastAsia="zh-CN"/>
                      <w14:textFill>
                        <w14:solidFill>
                          <w14:schemeClr w14:val="tx1"/>
                        </w14:solidFill>
                      </w14:textFill>
                    </w:rPr>
                  </w:pPr>
                  <w:r>
                    <w:rPr>
                      <w:rFonts w:hint="eastAsia" w:ascii="Times New Roman" w:hAnsi="Times New Roman" w:eastAsia="宋体" w:cs="Arial"/>
                      <w:color w:val="000000" w:themeColor="text1"/>
                      <w:sz w:val="21"/>
                      <w:u w:val="none"/>
                      <w:lang w:val="en-US" w:eastAsia="zh-CN"/>
                      <w14:textFill>
                        <w14:solidFill>
                          <w14:schemeClr w14:val="tx1"/>
                        </w14:solidFill>
                      </w14:textFill>
                    </w:rPr>
                    <w:t>制冷系统</w:t>
                  </w:r>
                </w:p>
              </w:tc>
              <w:tc>
                <w:tcPr>
                  <w:tcW w:w="2123" w:type="dxa"/>
                </w:tcPr>
                <w:p>
                  <w:pPr>
                    <w:spacing w:line="240" w:lineRule="auto"/>
                    <w:ind w:firstLine="0" w:firstLineChars="0"/>
                    <w:jc w:val="center"/>
                    <w:rPr>
                      <w:rFonts w:hint="eastAsia" w:ascii="Times New Roman" w:hAnsi="Times New Roman" w:eastAsia="宋体" w:cs="Arial"/>
                      <w:color w:val="000000" w:themeColor="text1"/>
                      <w:sz w:val="21"/>
                      <w:u w:val="none"/>
                      <w:lang w:val="en-US" w:eastAsia="zh-CN"/>
                      <w14:textFill>
                        <w14:solidFill>
                          <w14:schemeClr w14:val="tx1"/>
                        </w14:solidFill>
                      </w14:textFill>
                    </w:rPr>
                  </w:pPr>
                  <w:r>
                    <w:rPr>
                      <w:rFonts w:hint="eastAsia" w:ascii="Times New Roman" w:hAnsi="Times New Roman" w:eastAsia="宋体" w:cs="Arial"/>
                      <w:color w:val="000000" w:themeColor="text1"/>
                      <w:sz w:val="21"/>
                      <w:u w:val="none"/>
                      <w:lang w:val="en-US" w:eastAsia="zh-CN"/>
                      <w14:textFill>
                        <w14:solidFill>
                          <w14:schemeClr w14:val="tx1"/>
                        </w14:solidFill>
                      </w14:textFill>
                    </w:rPr>
                    <w:t>连续</w:t>
                  </w:r>
                </w:p>
              </w:tc>
              <w:tc>
                <w:tcPr>
                  <w:tcW w:w="2123" w:type="dxa"/>
                </w:tcPr>
                <w:p>
                  <w:pPr>
                    <w:spacing w:line="240" w:lineRule="auto"/>
                    <w:ind w:firstLine="0" w:firstLineChars="0"/>
                    <w:jc w:val="center"/>
                    <w:rPr>
                      <w:rFonts w:hint="default" w:ascii="Times New Roman" w:hAnsi="Times New Roman" w:eastAsia="宋体" w:cs="Arial"/>
                      <w:color w:val="000000" w:themeColor="text1"/>
                      <w:sz w:val="21"/>
                      <w:u w:val="none"/>
                      <w:lang w:val="en-US" w:eastAsia="zh-CN"/>
                      <w14:textFill>
                        <w14:solidFill>
                          <w14:schemeClr w14:val="tx1"/>
                        </w14:solidFill>
                      </w14:textFill>
                    </w:rPr>
                  </w:pPr>
                  <w:r>
                    <w:rPr>
                      <w:rFonts w:hint="eastAsia" w:ascii="Times New Roman" w:hAnsi="Times New Roman" w:eastAsia="宋体" w:cs="Arial"/>
                      <w:color w:val="000000" w:themeColor="text1"/>
                      <w:sz w:val="21"/>
                      <w:u w:val="none"/>
                      <w:lang w:val="en-US"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tcPr>
                <w:p>
                  <w:pPr>
                    <w:spacing w:line="240" w:lineRule="auto"/>
                    <w:ind w:firstLine="0" w:firstLineChars="0"/>
                    <w:jc w:val="center"/>
                    <w:rPr>
                      <w:rFonts w:hint="eastAsia" w:ascii="Times New Roman" w:hAnsi="Times New Roman" w:eastAsia="宋体" w:cs="Arial"/>
                      <w:color w:val="000000" w:themeColor="text1"/>
                      <w:sz w:val="21"/>
                      <w:u w:val="none"/>
                      <w:lang w:val="en-US" w:eastAsia="zh-CN"/>
                      <w14:textFill>
                        <w14:solidFill>
                          <w14:schemeClr w14:val="tx1"/>
                        </w14:solidFill>
                      </w14:textFill>
                    </w:rPr>
                  </w:pPr>
                  <w:r>
                    <w:rPr>
                      <w:rFonts w:hint="eastAsia" w:ascii="Times New Roman" w:hAnsi="Times New Roman" w:eastAsia="宋体" w:cs="Arial"/>
                      <w:color w:val="000000" w:themeColor="text1"/>
                      <w:sz w:val="21"/>
                      <w:u w:val="none"/>
                      <w:lang w:val="en-US" w:eastAsia="zh-CN"/>
                      <w14:textFill>
                        <w14:solidFill>
                          <w14:schemeClr w14:val="tx1"/>
                        </w14:solidFill>
                      </w14:textFill>
                    </w:rPr>
                    <w:t>5</w:t>
                  </w:r>
                </w:p>
              </w:tc>
              <w:tc>
                <w:tcPr>
                  <w:tcW w:w="2123" w:type="dxa"/>
                </w:tcPr>
                <w:p>
                  <w:pPr>
                    <w:spacing w:line="240" w:lineRule="auto"/>
                    <w:ind w:firstLine="0" w:firstLineChars="0"/>
                    <w:jc w:val="center"/>
                    <w:rPr>
                      <w:rFonts w:hint="eastAsia" w:ascii="Times New Roman" w:hAnsi="Times New Roman" w:eastAsia="宋体" w:cs="Arial"/>
                      <w:color w:val="000000" w:themeColor="text1"/>
                      <w:sz w:val="21"/>
                      <w:u w:val="none"/>
                      <w:lang w:val="en-US" w:eastAsia="zh-CN"/>
                      <w14:textFill>
                        <w14:solidFill>
                          <w14:schemeClr w14:val="tx1"/>
                        </w14:solidFill>
                      </w14:textFill>
                    </w:rPr>
                  </w:pPr>
                  <w:r>
                    <w:rPr>
                      <w:rFonts w:hint="eastAsia" w:ascii="Times New Roman" w:hAnsi="Times New Roman" w:eastAsia="宋体" w:cs="Arial"/>
                      <w:color w:val="000000" w:themeColor="text1"/>
                      <w:sz w:val="21"/>
                      <w:u w:val="none"/>
                      <w:lang w:val="en-US" w:eastAsia="zh-CN"/>
                      <w14:textFill>
                        <w14:solidFill>
                          <w14:schemeClr w14:val="tx1"/>
                        </w14:solidFill>
                      </w14:textFill>
                    </w:rPr>
                    <w:t>风机</w:t>
                  </w:r>
                </w:p>
              </w:tc>
              <w:tc>
                <w:tcPr>
                  <w:tcW w:w="2123" w:type="dxa"/>
                </w:tcPr>
                <w:p>
                  <w:pPr>
                    <w:spacing w:line="240" w:lineRule="auto"/>
                    <w:ind w:firstLine="0" w:firstLineChars="0"/>
                    <w:jc w:val="center"/>
                    <w:rPr>
                      <w:rFonts w:hint="eastAsia" w:ascii="Times New Roman" w:hAnsi="Times New Roman" w:eastAsia="宋体" w:cs="Arial"/>
                      <w:color w:val="000000" w:themeColor="text1"/>
                      <w:sz w:val="21"/>
                      <w:u w:val="none"/>
                      <w:lang w:val="en-US" w:eastAsia="zh-CN"/>
                      <w14:textFill>
                        <w14:solidFill>
                          <w14:schemeClr w14:val="tx1"/>
                        </w14:solidFill>
                      </w14:textFill>
                    </w:rPr>
                  </w:pPr>
                  <w:r>
                    <w:rPr>
                      <w:rFonts w:hint="eastAsia" w:ascii="Times New Roman" w:hAnsi="Times New Roman" w:eastAsia="宋体" w:cs="Arial"/>
                      <w:color w:val="000000" w:themeColor="text1"/>
                      <w:sz w:val="21"/>
                      <w:u w:val="none"/>
                      <w:lang w:val="en-US" w:eastAsia="zh-CN"/>
                      <w14:textFill>
                        <w14:solidFill>
                          <w14:schemeClr w14:val="tx1"/>
                        </w14:solidFill>
                      </w14:textFill>
                    </w:rPr>
                    <w:t>连续</w:t>
                  </w:r>
                </w:p>
              </w:tc>
              <w:tc>
                <w:tcPr>
                  <w:tcW w:w="2123" w:type="dxa"/>
                </w:tcPr>
                <w:p>
                  <w:pPr>
                    <w:spacing w:line="240" w:lineRule="auto"/>
                    <w:ind w:firstLine="0" w:firstLineChars="0"/>
                    <w:jc w:val="center"/>
                    <w:rPr>
                      <w:rFonts w:hint="default" w:ascii="Times New Roman" w:hAnsi="Times New Roman" w:eastAsia="宋体" w:cs="Arial"/>
                      <w:color w:val="000000" w:themeColor="text1"/>
                      <w:sz w:val="21"/>
                      <w:u w:val="none"/>
                      <w:lang w:val="en-US" w:eastAsia="zh-CN"/>
                      <w14:textFill>
                        <w14:solidFill>
                          <w14:schemeClr w14:val="tx1"/>
                        </w14:solidFill>
                      </w14:textFill>
                    </w:rPr>
                  </w:pPr>
                  <w:r>
                    <w:rPr>
                      <w:rFonts w:hint="eastAsia" w:ascii="Times New Roman" w:hAnsi="Times New Roman" w:eastAsia="宋体" w:cs="Arial"/>
                      <w:color w:val="000000" w:themeColor="text1"/>
                      <w:sz w:val="21"/>
                      <w:u w:val="none"/>
                      <w:lang w:val="en-US" w:eastAsia="zh-CN"/>
                      <w14:textFill>
                        <w14:solidFill>
                          <w14:schemeClr w14:val="tx1"/>
                        </w14:solidFill>
                      </w14:textFill>
                    </w:rPr>
                    <w:t>80</w:t>
                  </w:r>
                </w:p>
              </w:tc>
            </w:tr>
          </w:tbl>
          <w:p>
            <w:pPr>
              <w:ind w:firstLine="482"/>
              <w:rPr>
                <w:b/>
                <w:bCs/>
                <w:u w:val="none"/>
              </w:rPr>
            </w:pPr>
            <w:r>
              <w:rPr>
                <w:b/>
                <w:bCs/>
                <w:u w:val="none"/>
              </w:rPr>
              <w:t>（2）噪声防护措施</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为进一步减小本项目对周边环境的影响，企业应加强噪声的治理，具体治理措施如下：</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①尽量选择低噪声和符合国家噪声标准的生产设备，并进行定期检修维护，使其处于良好运行状态；在设备与地面之间安装减振垫，减少机械振动产生的噪声污染；</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②合理布局，合理布置厂内各功能区的位置及厂区内部设备的位置，将高噪声设备尽量安置在厂区中间位置以增加其距离衰减量，减少对周围环境的影响；</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③搞好厂区绿化：据资料显示，密植树林带可以使中频率的声音衰减</w:t>
            </w:r>
            <w:r>
              <w:rPr>
                <w:rFonts w:hint="default" w:ascii="Times New Roman" w:hAnsi="Times New Roman" w:eastAsia="宋体" w:cs="Times New Roman"/>
                <w:color w:val="000000"/>
                <w:kern w:val="0"/>
                <w:sz w:val="24"/>
                <w:szCs w:val="24"/>
                <w:lang w:val="en-US" w:eastAsia="zh-CN" w:bidi="ar"/>
              </w:rPr>
              <w:t>3.5dB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/10m</w:t>
            </w:r>
            <w:r>
              <w:rPr>
                <w:rFonts w:hint="eastAsia" w:ascii="宋体" w:hAnsi="宋体" w:eastAsia="宋体" w:cs="宋体"/>
                <w:color w:val="000000"/>
                <w:kern w:val="0"/>
                <w:sz w:val="24"/>
                <w:szCs w:val="24"/>
                <w:lang w:val="en-US" w:eastAsia="zh-CN" w:bidi="ar"/>
              </w:rPr>
              <w:t>，高于</w:t>
            </w:r>
            <w:r>
              <w:rPr>
                <w:rFonts w:hint="default" w:ascii="Times New Roman" w:hAnsi="Times New Roman" w:eastAsia="宋体" w:cs="Times New Roman"/>
                <w:color w:val="000000"/>
                <w:kern w:val="0"/>
                <w:sz w:val="24"/>
                <w:szCs w:val="24"/>
                <w:lang w:val="en-US" w:eastAsia="zh-CN" w:bidi="ar"/>
              </w:rPr>
              <w:t>30cm</w:t>
            </w:r>
            <w:r>
              <w:rPr>
                <w:rFonts w:hint="eastAsia" w:ascii="宋体" w:hAnsi="宋体" w:eastAsia="宋体" w:cs="宋体"/>
                <w:color w:val="000000"/>
                <w:kern w:val="0"/>
                <w:sz w:val="24"/>
                <w:szCs w:val="24"/>
                <w:lang w:val="en-US" w:eastAsia="zh-CN" w:bidi="ar"/>
              </w:rPr>
              <w:t>的草地可以降低</w:t>
            </w:r>
            <w:r>
              <w:rPr>
                <w:rFonts w:hint="default" w:ascii="Times New Roman" w:hAnsi="Times New Roman" w:eastAsia="宋体" w:cs="Times New Roman"/>
                <w:color w:val="000000"/>
                <w:kern w:val="0"/>
                <w:sz w:val="24"/>
                <w:szCs w:val="24"/>
                <w:lang w:val="en-US" w:eastAsia="zh-CN" w:bidi="ar"/>
              </w:rPr>
              <w:t>0.7dB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/10m</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④利用好距离衰减，减少对场界外环境的影响；</w:t>
            </w:r>
          </w:p>
          <w:p>
            <w:pPr>
              <w:ind w:firstLine="480"/>
              <w:rPr>
                <w:rFonts w:hint="eastAsia"/>
                <w:u w:val="none"/>
                <w:lang w:val="en-US" w:eastAsia="zh-CN"/>
              </w:rPr>
            </w:pPr>
            <w:r>
              <w:rPr>
                <w:rFonts w:hint="eastAsia"/>
                <w:u w:val="none"/>
                <w:lang w:eastAsia="zh-CN"/>
              </w:rPr>
              <w:t>（</w:t>
            </w:r>
            <w:r>
              <w:rPr>
                <w:rFonts w:hint="eastAsia"/>
                <w:u w:val="none"/>
                <w:lang w:val="en-US" w:eastAsia="zh-CN"/>
              </w:rPr>
              <w:t>3</w:t>
            </w:r>
            <w:r>
              <w:rPr>
                <w:rFonts w:hint="eastAsia"/>
                <w:u w:val="none"/>
                <w:lang w:eastAsia="zh-CN"/>
              </w:rPr>
              <w:t>）</w:t>
            </w:r>
            <w:r>
              <w:rPr>
                <w:rFonts w:hint="eastAsia"/>
                <w:u w:val="none"/>
                <w:lang w:val="en-US" w:eastAsia="zh-CN"/>
              </w:rPr>
              <w:t>预测模型</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评价采用《环境影响评价技术导则</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声环境》（</w:t>
            </w:r>
            <w:r>
              <w:rPr>
                <w:rFonts w:hint="default" w:ascii="Times New Roman" w:hAnsi="Times New Roman" w:eastAsia="宋体" w:cs="Times New Roman"/>
                <w:color w:val="000000"/>
                <w:kern w:val="0"/>
                <w:sz w:val="24"/>
                <w:szCs w:val="24"/>
                <w:lang w:val="en-US" w:eastAsia="zh-CN" w:bidi="ar"/>
              </w:rPr>
              <w:t>HJ2.4-2021</w:t>
            </w:r>
            <w:r>
              <w:rPr>
                <w:rFonts w:hint="eastAsia" w:ascii="宋体" w:hAnsi="宋体" w:eastAsia="宋体" w:cs="宋体"/>
                <w:color w:val="000000"/>
                <w:kern w:val="0"/>
                <w:sz w:val="24"/>
                <w:szCs w:val="24"/>
                <w:lang w:val="en-US" w:eastAsia="zh-CN" w:bidi="ar"/>
              </w:rPr>
              <w:t>）推荐的工业噪声预测计算模式，对项目运行后厂界噪声变化情况进行分析。根据项目各个噪声源的特征，总体划分为面源和点源。对同</w:t>
            </w:r>
            <w:r>
              <w:rPr>
                <w:rFonts w:hint="eastAsia" w:ascii="宋体" w:hAnsi="宋体" w:cs="宋体"/>
                <w:color w:val="000000"/>
                <w:kern w:val="0"/>
                <w:sz w:val="24"/>
                <w:szCs w:val="24"/>
                <w:lang w:val="en-US" w:eastAsia="zh-CN" w:bidi="ar"/>
              </w:rPr>
              <w:t>栋</w:t>
            </w:r>
            <w:r>
              <w:rPr>
                <w:rFonts w:hint="eastAsia" w:ascii="宋体" w:hAnsi="宋体" w:eastAsia="宋体" w:cs="宋体"/>
                <w:color w:val="000000"/>
                <w:kern w:val="0"/>
                <w:sz w:val="24"/>
                <w:szCs w:val="24"/>
                <w:lang w:val="en-US" w:eastAsia="zh-CN" w:bidi="ar"/>
              </w:rPr>
              <w:t>厂房内多个设备可作为面源，将整个厂房等效作为面源；室外的噪声源设备，则均视为单个点源。根据项目建设内容及《环境影响评价技术导则</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声环境》（</w:t>
            </w:r>
            <w:r>
              <w:rPr>
                <w:rFonts w:hint="default" w:ascii="Times New Roman" w:hAnsi="Times New Roman" w:eastAsia="宋体" w:cs="Times New Roman"/>
                <w:color w:val="000000"/>
                <w:kern w:val="0"/>
                <w:sz w:val="24"/>
                <w:szCs w:val="24"/>
                <w:lang w:val="en-US" w:eastAsia="zh-CN" w:bidi="ar"/>
              </w:rPr>
              <w:t>HJ2.4-2021</w:t>
            </w:r>
            <w:r>
              <w:rPr>
                <w:rFonts w:hint="eastAsia" w:ascii="宋体" w:hAnsi="宋体" w:eastAsia="宋体" w:cs="宋体"/>
                <w:color w:val="000000"/>
                <w:kern w:val="0"/>
                <w:sz w:val="24"/>
                <w:szCs w:val="24"/>
                <w:lang w:val="en-US" w:eastAsia="zh-CN" w:bidi="ar"/>
              </w:rPr>
              <w:t xml:space="preserve">）的要求，项目环评采用的模型为其附录 </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 xml:space="preserve">（规范性附录）户外声传播的衰减和附录 </w:t>
            </w:r>
            <w:r>
              <w:rPr>
                <w:rFonts w:hint="default" w:ascii="Times New Roman" w:hAnsi="Times New Roman" w:eastAsia="宋体" w:cs="Times New Roman"/>
                <w:color w:val="000000"/>
                <w:kern w:val="0"/>
                <w:sz w:val="24"/>
                <w:szCs w:val="24"/>
                <w:lang w:val="en-US" w:eastAsia="zh-CN" w:bidi="ar"/>
              </w:rPr>
              <w:t>B</w:t>
            </w:r>
            <w:r>
              <w:rPr>
                <w:rFonts w:hint="eastAsia" w:ascii="宋体" w:hAnsi="宋体" w:eastAsia="宋体" w:cs="宋体"/>
                <w:color w:val="000000"/>
                <w:kern w:val="0"/>
                <w:sz w:val="24"/>
                <w:szCs w:val="24"/>
                <w:lang w:val="en-US" w:eastAsia="zh-CN" w:bidi="ar"/>
              </w:rPr>
              <w:t>（规范性附录）中“</w:t>
            </w:r>
            <w:r>
              <w:rPr>
                <w:rFonts w:hint="default" w:ascii="Times New Roman" w:hAnsi="Times New Roman" w:eastAsia="宋体" w:cs="Times New Roman"/>
                <w:color w:val="000000"/>
                <w:kern w:val="0"/>
                <w:sz w:val="24"/>
                <w:szCs w:val="24"/>
                <w:lang w:val="en-US" w:eastAsia="zh-CN" w:bidi="ar"/>
              </w:rPr>
              <w:t xml:space="preserve">B.1 </w:t>
            </w:r>
            <w:r>
              <w:rPr>
                <w:rFonts w:hint="eastAsia" w:ascii="宋体" w:hAnsi="宋体" w:eastAsia="宋体" w:cs="宋体"/>
                <w:color w:val="000000"/>
                <w:kern w:val="0"/>
                <w:sz w:val="24"/>
                <w:szCs w:val="24"/>
                <w:lang w:val="en-US" w:eastAsia="zh-CN" w:bidi="ar"/>
              </w:rPr>
              <w:t>工业噪声预测计算模型”。</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①</w:t>
            </w:r>
            <w:r>
              <w:rPr>
                <w:rFonts w:hint="eastAsia" w:cs="Times New Roman"/>
                <w:sz w:val="24"/>
                <w:lang w:val="en-US" w:eastAsia="zh-CN"/>
              </w:rPr>
              <w:t>等效</w:t>
            </w:r>
            <w:r>
              <w:rPr>
                <w:rFonts w:hint="eastAsia" w:ascii="Times New Roman" w:hAnsi="Times New Roman" w:eastAsia="宋体" w:cs="Times New Roman"/>
                <w:sz w:val="24"/>
                <w:lang w:val="en-US" w:eastAsia="zh-CN"/>
              </w:rPr>
              <w:t>室内声源</w:t>
            </w:r>
            <w:r>
              <w:rPr>
                <w:rFonts w:hint="eastAsia" w:cs="Times New Roman"/>
                <w:sz w:val="24"/>
                <w:lang w:val="en-US" w:eastAsia="zh-CN"/>
              </w:rPr>
              <w:t>声功率级法</w:t>
            </w:r>
            <w:r>
              <w:rPr>
                <w:rFonts w:hint="eastAsia" w:ascii="Times New Roman" w:hAnsi="Times New Roman" w:eastAsia="宋体" w:cs="Times New Roman"/>
                <w:sz w:val="24"/>
                <w:lang w:val="en-US" w:eastAsia="zh-CN"/>
              </w:rPr>
              <w:t>预测</w:t>
            </w:r>
            <w:r>
              <w:rPr>
                <w:rFonts w:hint="eastAsia" w:cs="Times New Roman"/>
                <w:sz w:val="24"/>
                <w:lang w:val="en-US" w:eastAsia="zh-CN"/>
              </w:rPr>
              <w:t>模式</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计算某一室内声源靠近围护结构处产生的倍频带声压级或A声级：</w:t>
            </w:r>
          </w:p>
          <w:p>
            <w:pPr>
              <w:pStyle w:val="83"/>
              <w:keepNext w:val="0"/>
              <w:keepLines w:val="0"/>
              <w:pageBreakBefore w:val="0"/>
              <w:widowControl w:val="0"/>
              <w:kinsoku/>
              <w:wordWrap/>
              <w:overflowPunct/>
              <w:topLinePunct w:val="0"/>
              <w:autoSpaceDE w:val="0"/>
              <w:autoSpaceDN w:val="0"/>
              <w:bidi w:val="0"/>
              <w:adjustRightInd w:val="0"/>
              <w:snapToGrid w:val="0"/>
              <w:spacing w:line="240" w:lineRule="auto"/>
              <w:ind w:firstLine="1200" w:firstLineChars="500"/>
              <w:jc w:val="center"/>
              <w:textAlignment w:val="auto"/>
              <w:rPr>
                <w:color w:val="auto"/>
                <w:sz w:val="24"/>
                <w:szCs w:val="24"/>
              </w:rPr>
            </w:pPr>
            <w:r>
              <w:rPr>
                <w:color w:val="auto"/>
                <w:sz w:val="24"/>
                <w:szCs w:val="24"/>
                <w:lang w:val="en-US"/>
              </w:rPr>
              <w:drawing>
                <wp:inline distT="0" distB="0" distL="114300" distR="114300">
                  <wp:extent cx="1587500" cy="379730"/>
                  <wp:effectExtent l="0" t="0" r="12700" b="127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5"/>
                          <a:stretch>
                            <a:fillRect/>
                          </a:stretch>
                        </pic:blipFill>
                        <pic:spPr>
                          <a:xfrm>
                            <a:off x="0" y="0"/>
                            <a:ext cx="1587500" cy="379730"/>
                          </a:xfrm>
                          <a:prstGeom prst="rect">
                            <a:avLst/>
                          </a:prstGeom>
                          <a:noFill/>
                          <a:ln>
                            <a:noFill/>
                          </a:ln>
                        </pic:spPr>
                      </pic:pic>
                    </a:graphicData>
                  </a:graphic>
                </wp:inline>
              </w:drawing>
            </w:r>
            <w:r>
              <w:rPr>
                <w:color w:val="auto"/>
                <w:sz w:val="24"/>
                <w:szCs w:val="24"/>
              </w:rPr>
              <w:t>（B.2）</w:t>
            </w:r>
          </w:p>
          <w:p>
            <w:pPr>
              <w:pStyle w:val="83"/>
              <w:keepNext w:val="0"/>
              <w:keepLines w:val="0"/>
              <w:pageBreakBefore w:val="0"/>
              <w:widowControl w:val="0"/>
              <w:kinsoku/>
              <w:wordWrap/>
              <w:overflowPunct/>
              <w:topLinePunct w:val="0"/>
              <w:autoSpaceDE w:val="0"/>
              <w:autoSpaceDN w:val="0"/>
              <w:bidi w:val="0"/>
              <w:adjustRightInd w:val="0"/>
              <w:snapToGrid/>
              <w:ind w:firstLine="468" w:firstLineChars="195"/>
              <w:jc w:val="left"/>
              <w:textAlignment w:val="auto"/>
              <w:rPr>
                <w:color w:val="auto"/>
                <w:sz w:val="24"/>
                <w:szCs w:val="24"/>
              </w:rPr>
            </w:pPr>
            <w:r>
              <w:rPr>
                <w:color w:val="auto"/>
                <w:sz w:val="24"/>
                <w:szCs w:val="24"/>
              </w:rPr>
              <w:t>式中：</w:t>
            </w:r>
          </w:p>
          <w:p>
            <w:pPr>
              <w:pStyle w:val="83"/>
              <w:keepNext w:val="0"/>
              <w:keepLines w:val="0"/>
              <w:pageBreakBefore w:val="0"/>
              <w:widowControl w:val="0"/>
              <w:kinsoku/>
              <w:wordWrap/>
              <w:overflowPunct/>
              <w:topLinePunct w:val="0"/>
              <w:autoSpaceDE w:val="0"/>
              <w:autoSpaceDN w:val="0"/>
              <w:bidi w:val="0"/>
              <w:adjustRightInd w:val="0"/>
              <w:snapToGrid/>
              <w:ind w:firstLine="420"/>
              <w:textAlignment w:val="auto"/>
              <w:rPr>
                <w:color w:val="auto"/>
                <w:sz w:val="24"/>
                <w:szCs w:val="24"/>
              </w:rPr>
            </w:pPr>
            <w:r>
              <w:rPr>
                <w:color w:val="auto"/>
                <w:sz w:val="24"/>
                <w:szCs w:val="24"/>
              </w:rPr>
              <w:t>L</w:t>
            </w:r>
            <w:r>
              <w:rPr>
                <w:color w:val="auto"/>
                <w:sz w:val="24"/>
                <w:szCs w:val="24"/>
                <w:vertAlign w:val="subscript"/>
              </w:rPr>
              <w:t>p1</w:t>
            </w:r>
            <w:r>
              <w:rPr>
                <w:color w:val="auto"/>
                <w:sz w:val="24"/>
                <w:szCs w:val="24"/>
              </w:rPr>
              <w:t>——靠近开口处（或窗户）室内某倍频带的声压级或A声级，dB；</w:t>
            </w:r>
          </w:p>
          <w:p>
            <w:pPr>
              <w:pStyle w:val="83"/>
              <w:keepNext w:val="0"/>
              <w:keepLines w:val="0"/>
              <w:pageBreakBefore w:val="0"/>
              <w:widowControl w:val="0"/>
              <w:kinsoku/>
              <w:wordWrap/>
              <w:overflowPunct/>
              <w:topLinePunct w:val="0"/>
              <w:autoSpaceDE w:val="0"/>
              <w:autoSpaceDN w:val="0"/>
              <w:bidi w:val="0"/>
              <w:adjustRightInd w:val="0"/>
              <w:snapToGrid/>
              <w:ind w:firstLine="420"/>
              <w:textAlignment w:val="auto"/>
              <w:rPr>
                <w:color w:val="auto"/>
                <w:sz w:val="24"/>
                <w:szCs w:val="24"/>
              </w:rPr>
            </w:pPr>
            <w:r>
              <w:rPr>
                <w:color w:val="auto"/>
                <w:sz w:val="24"/>
                <w:szCs w:val="24"/>
              </w:rPr>
              <w:t>L</w:t>
            </w:r>
            <w:r>
              <w:rPr>
                <w:color w:val="auto"/>
                <w:sz w:val="24"/>
                <w:szCs w:val="24"/>
                <w:vertAlign w:val="subscript"/>
              </w:rPr>
              <w:t>w</w:t>
            </w:r>
            <w:r>
              <w:rPr>
                <w:color w:val="auto"/>
                <w:sz w:val="24"/>
                <w:szCs w:val="24"/>
              </w:rPr>
              <w:t>——点声源声功率级（A计权或倍频带），dB；</w:t>
            </w:r>
          </w:p>
          <w:p>
            <w:pPr>
              <w:pStyle w:val="83"/>
              <w:keepNext w:val="0"/>
              <w:keepLines w:val="0"/>
              <w:pageBreakBefore w:val="0"/>
              <w:widowControl w:val="0"/>
              <w:kinsoku/>
              <w:wordWrap/>
              <w:overflowPunct/>
              <w:topLinePunct w:val="0"/>
              <w:autoSpaceDE w:val="0"/>
              <w:autoSpaceDN w:val="0"/>
              <w:bidi w:val="0"/>
              <w:adjustRightInd w:val="0"/>
              <w:snapToGrid/>
              <w:ind w:firstLine="420"/>
              <w:textAlignment w:val="auto"/>
              <w:rPr>
                <w:color w:val="auto"/>
                <w:sz w:val="24"/>
                <w:szCs w:val="24"/>
              </w:rPr>
            </w:pPr>
            <w:r>
              <w:rPr>
                <w:color w:val="auto"/>
                <w:sz w:val="24"/>
                <w:szCs w:val="24"/>
              </w:rPr>
              <w:t>Q——指向性因数；通常对无指向性声源，当声源放在房间中心时，Q=1；当放在一面墙的中心时，Q=2；当放在两面墙夹角处时，Q=4；当放在三面墙夹角处时，Q=8；</w:t>
            </w:r>
          </w:p>
          <w:p>
            <w:pPr>
              <w:pStyle w:val="83"/>
              <w:keepNext w:val="0"/>
              <w:keepLines w:val="0"/>
              <w:pageBreakBefore w:val="0"/>
              <w:widowControl w:val="0"/>
              <w:kinsoku/>
              <w:wordWrap/>
              <w:overflowPunct/>
              <w:topLinePunct w:val="0"/>
              <w:autoSpaceDE w:val="0"/>
              <w:autoSpaceDN w:val="0"/>
              <w:bidi w:val="0"/>
              <w:adjustRightInd w:val="0"/>
              <w:snapToGrid/>
              <w:ind w:firstLine="420"/>
              <w:textAlignment w:val="auto"/>
              <w:rPr>
                <w:color w:val="auto"/>
                <w:sz w:val="24"/>
                <w:szCs w:val="24"/>
              </w:rPr>
            </w:pPr>
            <w:r>
              <w:rPr>
                <w:color w:val="auto"/>
                <w:sz w:val="24"/>
                <w:szCs w:val="24"/>
              </w:rPr>
              <w:t>R——房间常数</w:t>
            </w:r>
            <w:r>
              <w:rPr>
                <w:rFonts w:hint="eastAsia"/>
                <w:color w:val="auto"/>
                <w:sz w:val="24"/>
                <w:szCs w:val="24"/>
                <w:lang w:eastAsia="zh-CN"/>
              </w:rPr>
              <w:t>；</w:t>
            </w:r>
            <w:r>
              <w:rPr>
                <w:color w:val="auto"/>
                <w:sz w:val="24"/>
                <w:szCs w:val="24"/>
              </w:rPr>
              <w:t>S为房间内表面面积，m</w:t>
            </w:r>
            <w:r>
              <w:rPr>
                <w:color w:val="auto"/>
                <w:sz w:val="24"/>
                <w:szCs w:val="24"/>
                <w:vertAlign w:val="superscript"/>
              </w:rPr>
              <w:t>2</w:t>
            </w:r>
            <w:r>
              <w:rPr>
                <w:color w:val="auto"/>
                <w:sz w:val="24"/>
                <w:szCs w:val="24"/>
              </w:rPr>
              <w:t>；α为平均吸声系数；</w:t>
            </w:r>
          </w:p>
          <w:p>
            <w:pPr>
              <w:pStyle w:val="83"/>
              <w:keepNext w:val="0"/>
              <w:keepLines w:val="0"/>
              <w:pageBreakBefore w:val="0"/>
              <w:widowControl w:val="0"/>
              <w:kinsoku/>
              <w:wordWrap/>
              <w:overflowPunct/>
              <w:topLinePunct w:val="0"/>
              <w:autoSpaceDE w:val="0"/>
              <w:autoSpaceDN w:val="0"/>
              <w:bidi w:val="0"/>
              <w:adjustRightInd w:val="0"/>
              <w:snapToGrid/>
              <w:ind w:firstLine="420"/>
              <w:textAlignment w:val="auto"/>
              <w:rPr>
                <w:color w:val="auto"/>
                <w:sz w:val="24"/>
                <w:szCs w:val="24"/>
              </w:rPr>
            </w:pPr>
            <w:r>
              <w:rPr>
                <w:color w:val="auto"/>
                <w:sz w:val="24"/>
                <w:szCs w:val="24"/>
              </w:rPr>
              <w:t>r——声源到靠近围护结构某点处的距离，m。</w:t>
            </w:r>
          </w:p>
          <w:p>
            <w:pPr>
              <w:pStyle w:val="83"/>
              <w:keepNext w:val="0"/>
              <w:keepLines w:val="0"/>
              <w:pageBreakBefore w:val="0"/>
              <w:widowControl w:val="0"/>
              <w:kinsoku/>
              <w:wordWrap/>
              <w:overflowPunct/>
              <w:topLinePunct w:val="0"/>
              <w:autoSpaceDE w:val="0"/>
              <w:autoSpaceDN w:val="0"/>
              <w:bidi w:val="0"/>
              <w:adjustRightInd w:val="0"/>
              <w:snapToGrid/>
              <w:ind w:firstLine="420"/>
              <w:textAlignment w:val="auto"/>
              <w:rPr>
                <w:color w:val="auto"/>
                <w:sz w:val="24"/>
                <w:szCs w:val="24"/>
              </w:rPr>
            </w:pPr>
            <w:r>
              <w:rPr>
                <w:color w:val="auto"/>
                <w:sz w:val="24"/>
                <w:szCs w:val="24"/>
              </w:rPr>
              <w:t>然后按式（B.3）计算出所有室内声源在围护结构处产生的i倍频带叠加声压级：</w:t>
            </w:r>
          </w:p>
          <w:p>
            <w:pPr>
              <w:pStyle w:val="83"/>
              <w:keepNext w:val="0"/>
              <w:keepLines w:val="0"/>
              <w:pageBreakBefore w:val="0"/>
              <w:widowControl w:val="0"/>
              <w:kinsoku/>
              <w:wordWrap/>
              <w:overflowPunct/>
              <w:topLinePunct w:val="0"/>
              <w:autoSpaceDE w:val="0"/>
              <w:autoSpaceDN w:val="0"/>
              <w:bidi w:val="0"/>
              <w:adjustRightInd w:val="0"/>
              <w:snapToGrid w:val="0"/>
              <w:spacing w:line="240" w:lineRule="auto"/>
              <w:ind w:firstLine="420"/>
              <w:jc w:val="center"/>
              <w:textAlignment w:val="auto"/>
              <w:rPr>
                <w:color w:val="auto"/>
                <w:sz w:val="24"/>
                <w:szCs w:val="24"/>
              </w:rPr>
            </w:pPr>
            <w:r>
              <w:rPr>
                <w:color w:val="auto"/>
                <w:sz w:val="24"/>
                <w:szCs w:val="24"/>
                <w:lang w:val="en-US"/>
              </w:rPr>
              <w:drawing>
                <wp:inline distT="0" distB="0" distL="114300" distR="114300">
                  <wp:extent cx="4374515" cy="492125"/>
                  <wp:effectExtent l="0" t="0" r="6985" b="317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6"/>
                          <a:srcRect l="24573" r="1697"/>
                          <a:stretch>
                            <a:fillRect/>
                          </a:stretch>
                        </pic:blipFill>
                        <pic:spPr>
                          <a:xfrm>
                            <a:off x="0" y="0"/>
                            <a:ext cx="4374515" cy="492125"/>
                          </a:xfrm>
                          <a:prstGeom prst="rect">
                            <a:avLst/>
                          </a:prstGeom>
                          <a:noFill/>
                          <a:ln>
                            <a:noFill/>
                          </a:ln>
                        </pic:spPr>
                      </pic:pic>
                    </a:graphicData>
                  </a:graphic>
                </wp:inline>
              </w:drawing>
            </w:r>
          </w:p>
          <w:p>
            <w:pPr>
              <w:pStyle w:val="83"/>
              <w:keepNext w:val="0"/>
              <w:keepLines w:val="0"/>
              <w:pageBreakBefore w:val="0"/>
              <w:widowControl w:val="0"/>
              <w:kinsoku/>
              <w:wordWrap/>
              <w:overflowPunct/>
              <w:topLinePunct w:val="0"/>
              <w:autoSpaceDE w:val="0"/>
              <w:autoSpaceDN w:val="0"/>
              <w:bidi w:val="0"/>
              <w:adjustRightInd w:val="0"/>
              <w:snapToGrid/>
              <w:ind w:firstLine="420"/>
              <w:textAlignment w:val="auto"/>
              <w:rPr>
                <w:color w:val="auto"/>
                <w:sz w:val="24"/>
                <w:szCs w:val="24"/>
              </w:rPr>
            </w:pPr>
            <w:r>
              <w:rPr>
                <w:color w:val="auto"/>
                <w:sz w:val="24"/>
                <w:szCs w:val="24"/>
              </w:rPr>
              <w:t>式中：</w:t>
            </w:r>
          </w:p>
          <w:p>
            <w:pPr>
              <w:pStyle w:val="83"/>
              <w:keepNext w:val="0"/>
              <w:keepLines w:val="0"/>
              <w:pageBreakBefore w:val="0"/>
              <w:widowControl w:val="0"/>
              <w:kinsoku/>
              <w:wordWrap/>
              <w:overflowPunct/>
              <w:topLinePunct w:val="0"/>
              <w:autoSpaceDE w:val="0"/>
              <w:autoSpaceDN w:val="0"/>
              <w:bidi w:val="0"/>
              <w:adjustRightInd w:val="0"/>
              <w:snapToGrid/>
              <w:ind w:firstLine="420"/>
              <w:textAlignment w:val="auto"/>
              <w:rPr>
                <w:color w:val="auto"/>
                <w:sz w:val="24"/>
                <w:szCs w:val="24"/>
              </w:rPr>
            </w:pPr>
            <w:r>
              <w:rPr>
                <w:color w:val="auto"/>
                <w:sz w:val="24"/>
                <w:szCs w:val="24"/>
              </w:rPr>
              <w:t>L</w:t>
            </w:r>
            <w:r>
              <w:rPr>
                <w:color w:val="auto"/>
                <w:sz w:val="24"/>
                <w:szCs w:val="24"/>
                <w:vertAlign w:val="subscript"/>
              </w:rPr>
              <w:t>pli</w:t>
            </w:r>
            <w:r>
              <w:rPr>
                <w:color w:val="auto"/>
                <w:sz w:val="24"/>
                <w:szCs w:val="24"/>
              </w:rPr>
              <w:t>——靠近围护结构处室内N个声源i倍频带的叠加声压级，dB；</w:t>
            </w:r>
          </w:p>
          <w:p>
            <w:pPr>
              <w:pStyle w:val="83"/>
              <w:keepNext w:val="0"/>
              <w:keepLines w:val="0"/>
              <w:pageBreakBefore w:val="0"/>
              <w:widowControl w:val="0"/>
              <w:kinsoku/>
              <w:wordWrap/>
              <w:overflowPunct/>
              <w:topLinePunct w:val="0"/>
              <w:autoSpaceDE w:val="0"/>
              <w:autoSpaceDN w:val="0"/>
              <w:bidi w:val="0"/>
              <w:adjustRightInd w:val="0"/>
              <w:snapToGrid/>
              <w:ind w:firstLine="420"/>
              <w:textAlignment w:val="auto"/>
              <w:rPr>
                <w:color w:val="auto"/>
                <w:sz w:val="24"/>
                <w:szCs w:val="24"/>
              </w:rPr>
            </w:pPr>
            <w:r>
              <w:rPr>
                <w:color w:val="auto"/>
                <w:sz w:val="24"/>
                <w:szCs w:val="24"/>
              </w:rPr>
              <w:t>L</w:t>
            </w:r>
            <w:r>
              <w:rPr>
                <w:color w:val="auto"/>
                <w:sz w:val="24"/>
                <w:szCs w:val="24"/>
                <w:vertAlign w:val="subscript"/>
              </w:rPr>
              <w:t>plij</w:t>
            </w:r>
            <w:r>
              <w:rPr>
                <w:color w:val="auto"/>
                <w:sz w:val="24"/>
                <w:szCs w:val="24"/>
              </w:rPr>
              <w:t>——室内j声源i倍频带的声压级，dB；</w:t>
            </w:r>
          </w:p>
          <w:p>
            <w:pPr>
              <w:pStyle w:val="83"/>
              <w:keepNext w:val="0"/>
              <w:keepLines w:val="0"/>
              <w:pageBreakBefore w:val="0"/>
              <w:widowControl w:val="0"/>
              <w:kinsoku/>
              <w:wordWrap/>
              <w:overflowPunct/>
              <w:topLinePunct w:val="0"/>
              <w:autoSpaceDE w:val="0"/>
              <w:autoSpaceDN w:val="0"/>
              <w:bidi w:val="0"/>
              <w:adjustRightInd w:val="0"/>
              <w:snapToGrid/>
              <w:ind w:firstLine="420"/>
              <w:textAlignment w:val="auto"/>
              <w:rPr>
                <w:color w:val="auto"/>
                <w:sz w:val="24"/>
                <w:szCs w:val="24"/>
              </w:rPr>
            </w:pPr>
            <w:r>
              <w:rPr>
                <w:color w:val="auto"/>
                <w:sz w:val="24"/>
                <w:szCs w:val="24"/>
              </w:rPr>
              <w:t>N——室内声源总数。</w:t>
            </w:r>
          </w:p>
          <w:p>
            <w:pPr>
              <w:pStyle w:val="83"/>
              <w:keepNext w:val="0"/>
              <w:keepLines w:val="0"/>
              <w:pageBreakBefore w:val="0"/>
              <w:widowControl w:val="0"/>
              <w:kinsoku/>
              <w:wordWrap/>
              <w:overflowPunct/>
              <w:topLinePunct w:val="0"/>
              <w:autoSpaceDE w:val="0"/>
              <w:autoSpaceDN w:val="0"/>
              <w:bidi w:val="0"/>
              <w:adjustRightInd w:val="0"/>
              <w:snapToGrid/>
              <w:ind w:firstLine="420"/>
              <w:textAlignment w:val="auto"/>
              <w:rPr>
                <w:color w:val="auto"/>
                <w:sz w:val="24"/>
                <w:szCs w:val="24"/>
              </w:rPr>
            </w:pPr>
            <w:r>
              <w:rPr>
                <w:color w:val="auto"/>
                <w:sz w:val="24"/>
                <w:szCs w:val="24"/>
              </w:rPr>
              <w:t>在室内近似为扩散声场时，按式（B.4）计算出靠近室外围护结构处的声压级：</w:t>
            </w:r>
          </w:p>
          <w:p>
            <w:pPr>
              <w:pStyle w:val="83"/>
              <w:keepNext w:val="0"/>
              <w:keepLines w:val="0"/>
              <w:pageBreakBefore w:val="0"/>
              <w:widowControl w:val="0"/>
              <w:kinsoku/>
              <w:wordWrap/>
              <w:overflowPunct/>
              <w:topLinePunct w:val="0"/>
              <w:autoSpaceDE w:val="0"/>
              <w:autoSpaceDN w:val="0"/>
              <w:bidi w:val="0"/>
              <w:adjustRightInd w:val="0"/>
              <w:snapToGrid/>
              <w:ind w:firstLine="840" w:firstLineChars="350"/>
              <w:jc w:val="center"/>
              <w:textAlignment w:val="auto"/>
              <w:rPr>
                <w:color w:val="auto"/>
                <w:sz w:val="24"/>
                <w:szCs w:val="24"/>
                <w:lang w:val="en-US"/>
              </w:rPr>
            </w:pPr>
            <w:r>
              <w:rPr>
                <w:color w:val="auto"/>
                <w:sz w:val="24"/>
                <w:szCs w:val="24"/>
                <w:lang w:val="en-US"/>
              </w:rPr>
              <w:t>L</w:t>
            </w:r>
            <w:r>
              <w:rPr>
                <w:color w:val="auto"/>
                <w:sz w:val="24"/>
                <w:szCs w:val="24"/>
                <w:vertAlign w:val="subscript"/>
                <w:lang w:val="en-US"/>
              </w:rPr>
              <w:t>p2i</w:t>
            </w:r>
            <w:r>
              <w:rPr>
                <w:color w:val="auto"/>
                <w:sz w:val="24"/>
                <w:szCs w:val="24"/>
                <w:lang w:val="en-US"/>
              </w:rPr>
              <w:t>（T）=L</w:t>
            </w:r>
            <w:r>
              <w:rPr>
                <w:color w:val="auto"/>
                <w:sz w:val="24"/>
                <w:szCs w:val="24"/>
                <w:vertAlign w:val="subscript"/>
                <w:lang w:val="en-US"/>
              </w:rPr>
              <w:t>p1i</w:t>
            </w:r>
            <w:r>
              <w:rPr>
                <w:color w:val="auto"/>
                <w:sz w:val="24"/>
                <w:szCs w:val="24"/>
                <w:lang w:val="en-US"/>
              </w:rPr>
              <w:t>（T）-（T</w:t>
            </w:r>
            <w:r>
              <w:rPr>
                <w:color w:val="auto"/>
                <w:sz w:val="24"/>
                <w:szCs w:val="24"/>
                <w:vertAlign w:val="subscript"/>
                <w:lang w:val="en-US"/>
              </w:rPr>
              <w:t>1i</w:t>
            </w:r>
            <w:r>
              <w:rPr>
                <w:color w:val="auto"/>
                <w:sz w:val="24"/>
                <w:szCs w:val="24"/>
                <w:lang w:val="en-US"/>
              </w:rPr>
              <w:t>+6）（B.4）</w:t>
            </w:r>
          </w:p>
          <w:p>
            <w:pPr>
              <w:pStyle w:val="83"/>
              <w:keepNext w:val="0"/>
              <w:keepLines w:val="0"/>
              <w:pageBreakBefore w:val="0"/>
              <w:widowControl w:val="0"/>
              <w:kinsoku/>
              <w:wordWrap/>
              <w:overflowPunct/>
              <w:topLinePunct w:val="0"/>
              <w:autoSpaceDE w:val="0"/>
              <w:autoSpaceDN w:val="0"/>
              <w:bidi w:val="0"/>
              <w:adjustRightInd w:val="0"/>
              <w:snapToGrid/>
              <w:ind w:firstLine="420"/>
              <w:textAlignment w:val="auto"/>
              <w:rPr>
                <w:color w:val="auto"/>
                <w:sz w:val="24"/>
                <w:szCs w:val="24"/>
              </w:rPr>
            </w:pPr>
            <w:r>
              <w:rPr>
                <w:color w:val="auto"/>
                <w:sz w:val="24"/>
                <w:szCs w:val="24"/>
              </w:rPr>
              <w:t>式中：</w:t>
            </w:r>
          </w:p>
          <w:p>
            <w:pPr>
              <w:pStyle w:val="83"/>
              <w:keepNext w:val="0"/>
              <w:keepLines w:val="0"/>
              <w:pageBreakBefore w:val="0"/>
              <w:kinsoku/>
              <w:wordWrap/>
              <w:overflowPunct/>
              <w:topLinePunct w:val="0"/>
              <w:bidi w:val="0"/>
              <w:adjustRightInd w:val="0"/>
              <w:snapToGrid/>
              <w:ind w:firstLine="420"/>
              <w:textAlignment w:val="auto"/>
              <w:rPr>
                <w:color w:val="auto"/>
                <w:sz w:val="24"/>
                <w:szCs w:val="24"/>
              </w:rPr>
            </w:pPr>
            <w:r>
              <w:rPr>
                <w:color w:val="auto"/>
                <w:sz w:val="24"/>
                <w:szCs w:val="24"/>
                <w:lang w:val="en-US"/>
              </w:rPr>
              <w:t>L</w:t>
            </w:r>
            <w:r>
              <w:rPr>
                <w:color w:val="auto"/>
                <w:sz w:val="24"/>
                <w:szCs w:val="24"/>
                <w:vertAlign w:val="subscript"/>
                <w:lang w:val="en-US"/>
              </w:rPr>
              <w:t>p2i</w:t>
            </w:r>
            <w:r>
              <w:rPr>
                <w:color w:val="auto"/>
                <w:sz w:val="24"/>
                <w:szCs w:val="24"/>
                <w:lang w:val="en-US"/>
              </w:rPr>
              <w:t>（T）</w:t>
            </w:r>
            <w:r>
              <w:rPr>
                <w:color w:val="auto"/>
                <w:sz w:val="24"/>
                <w:szCs w:val="24"/>
              </w:rPr>
              <w:t>——靠近围护结构处室外N个声源i倍频带的叠加声压级，dB；</w:t>
            </w:r>
          </w:p>
          <w:p>
            <w:pPr>
              <w:pStyle w:val="83"/>
              <w:keepNext w:val="0"/>
              <w:keepLines w:val="0"/>
              <w:pageBreakBefore w:val="0"/>
              <w:kinsoku/>
              <w:wordWrap/>
              <w:overflowPunct/>
              <w:topLinePunct w:val="0"/>
              <w:bidi w:val="0"/>
              <w:adjustRightInd w:val="0"/>
              <w:snapToGrid/>
              <w:ind w:firstLine="420"/>
              <w:textAlignment w:val="auto"/>
              <w:rPr>
                <w:color w:val="auto"/>
                <w:sz w:val="24"/>
                <w:szCs w:val="24"/>
              </w:rPr>
            </w:pPr>
            <w:r>
              <w:rPr>
                <w:color w:val="auto"/>
                <w:sz w:val="24"/>
                <w:szCs w:val="24"/>
                <w:lang w:val="en-US"/>
              </w:rPr>
              <w:t>L</w:t>
            </w:r>
            <w:r>
              <w:rPr>
                <w:color w:val="auto"/>
                <w:sz w:val="24"/>
                <w:szCs w:val="24"/>
                <w:vertAlign w:val="subscript"/>
                <w:lang w:val="en-US"/>
              </w:rPr>
              <w:t>p1i</w:t>
            </w:r>
            <w:r>
              <w:rPr>
                <w:color w:val="auto"/>
                <w:sz w:val="24"/>
                <w:szCs w:val="24"/>
              </w:rPr>
              <w:t>——靠近围护结构处室内N个声源i倍频带的叠加声压级，dB；</w:t>
            </w:r>
          </w:p>
          <w:p>
            <w:pPr>
              <w:pStyle w:val="83"/>
              <w:keepNext w:val="0"/>
              <w:keepLines w:val="0"/>
              <w:pageBreakBefore w:val="0"/>
              <w:kinsoku/>
              <w:wordWrap/>
              <w:overflowPunct/>
              <w:topLinePunct w:val="0"/>
              <w:bidi w:val="0"/>
              <w:adjustRightInd w:val="0"/>
              <w:snapToGrid/>
              <w:ind w:firstLine="420"/>
              <w:textAlignment w:val="auto"/>
              <w:rPr>
                <w:color w:val="auto"/>
                <w:sz w:val="24"/>
                <w:szCs w:val="24"/>
              </w:rPr>
            </w:pPr>
            <w:r>
              <w:rPr>
                <w:color w:val="auto"/>
                <w:sz w:val="24"/>
                <w:szCs w:val="24"/>
                <w:lang w:val="en-US"/>
              </w:rPr>
              <w:t>T</w:t>
            </w:r>
            <w:r>
              <w:rPr>
                <w:color w:val="auto"/>
                <w:sz w:val="24"/>
                <w:szCs w:val="24"/>
                <w:vertAlign w:val="subscript"/>
                <w:lang w:val="en-US"/>
              </w:rPr>
              <w:t>1i</w:t>
            </w:r>
            <w:r>
              <w:rPr>
                <w:color w:val="auto"/>
                <w:sz w:val="24"/>
                <w:szCs w:val="24"/>
              </w:rPr>
              <w:t>——围护结构i倍频带的隔声量，dB。</w:t>
            </w:r>
          </w:p>
          <w:p>
            <w:pPr>
              <w:pStyle w:val="83"/>
              <w:keepNext w:val="0"/>
              <w:keepLines w:val="0"/>
              <w:pageBreakBefore w:val="0"/>
              <w:kinsoku/>
              <w:wordWrap/>
              <w:overflowPunct/>
              <w:topLinePunct w:val="0"/>
              <w:bidi w:val="0"/>
              <w:adjustRightInd w:val="0"/>
              <w:snapToGrid/>
              <w:ind w:firstLine="420"/>
              <w:textAlignment w:val="auto"/>
              <w:rPr>
                <w:color w:val="auto"/>
                <w:sz w:val="24"/>
                <w:szCs w:val="24"/>
              </w:rPr>
            </w:pPr>
            <w:r>
              <w:rPr>
                <w:color w:val="auto"/>
                <w:sz w:val="24"/>
                <w:szCs w:val="24"/>
              </w:rPr>
              <w:t>然后按式（B.5）将室外声源的声压级和透过面积换算成等效的室外声源，计算出中心位置位于透声面积（S）处的等效声源的倍频带声功率级。</w:t>
            </w:r>
          </w:p>
          <w:p>
            <w:pPr>
              <w:pStyle w:val="83"/>
              <w:keepNext w:val="0"/>
              <w:keepLines w:val="0"/>
              <w:pageBreakBefore w:val="0"/>
              <w:kinsoku/>
              <w:wordWrap/>
              <w:overflowPunct/>
              <w:topLinePunct w:val="0"/>
              <w:bidi w:val="0"/>
              <w:adjustRightInd w:val="0"/>
              <w:snapToGrid/>
              <w:ind w:firstLine="420"/>
              <w:jc w:val="center"/>
              <w:textAlignment w:val="auto"/>
              <w:rPr>
                <w:color w:val="auto"/>
                <w:sz w:val="24"/>
                <w:szCs w:val="24"/>
                <w:lang w:val="en-US"/>
              </w:rPr>
            </w:pPr>
            <w:r>
              <w:rPr>
                <w:color w:val="auto"/>
                <w:sz w:val="24"/>
                <w:szCs w:val="24"/>
                <w:lang w:val="en-US"/>
              </w:rPr>
              <w:t>L</w:t>
            </w:r>
            <w:r>
              <w:rPr>
                <w:color w:val="auto"/>
                <w:sz w:val="24"/>
                <w:szCs w:val="24"/>
                <w:vertAlign w:val="subscript"/>
                <w:lang w:val="en-US"/>
              </w:rPr>
              <w:t>w</w:t>
            </w:r>
            <w:r>
              <w:rPr>
                <w:color w:val="auto"/>
                <w:sz w:val="24"/>
                <w:szCs w:val="24"/>
                <w:lang w:val="en-US"/>
              </w:rPr>
              <w:t>=L</w:t>
            </w:r>
            <w:r>
              <w:rPr>
                <w:color w:val="auto"/>
                <w:sz w:val="24"/>
                <w:szCs w:val="24"/>
                <w:vertAlign w:val="subscript"/>
                <w:lang w:val="en-US"/>
              </w:rPr>
              <w:t>p2</w:t>
            </w:r>
            <w:r>
              <w:rPr>
                <w:color w:val="auto"/>
                <w:sz w:val="24"/>
                <w:szCs w:val="24"/>
                <w:lang w:val="en-US"/>
              </w:rPr>
              <w:t>（T）+10LgS（B.5）</w:t>
            </w:r>
          </w:p>
          <w:p>
            <w:pPr>
              <w:pStyle w:val="83"/>
              <w:keepNext w:val="0"/>
              <w:keepLines w:val="0"/>
              <w:pageBreakBefore w:val="0"/>
              <w:kinsoku/>
              <w:wordWrap/>
              <w:overflowPunct/>
              <w:topLinePunct w:val="0"/>
              <w:bidi w:val="0"/>
              <w:adjustRightInd w:val="0"/>
              <w:snapToGrid/>
              <w:ind w:firstLine="420"/>
              <w:textAlignment w:val="auto"/>
              <w:rPr>
                <w:color w:val="auto"/>
                <w:sz w:val="24"/>
                <w:szCs w:val="24"/>
              </w:rPr>
            </w:pPr>
            <w:r>
              <w:rPr>
                <w:color w:val="auto"/>
                <w:sz w:val="24"/>
                <w:szCs w:val="24"/>
              </w:rPr>
              <w:t>式中：</w:t>
            </w:r>
          </w:p>
          <w:p>
            <w:pPr>
              <w:pStyle w:val="83"/>
              <w:keepNext w:val="0"/>
              <w:keepLines w:val="0"/>
              <w:pageBreakBefore w:val="0"/>
              <w:kinsoku/>
              <w:wordWrap/>
              <w:overflowPunct/>
              <w:topLinePunct w:val="0"/>
              <w:bidi w:val="0"/>
              <w:adjustRightInd w:val="0"/>
              <w:snapToGrid/>
              <w:ind w:firstLine="420"/>
              <w:textAlignment w:val="auto"/>
              <w:rPr>
                <w:color w:val="auto"/>
                <w:sz w:val="24"/>
                <w:szCs w:val="24"/>
              </w:rPr>
            </w:pPr>
            <w:r>
              <w:rPr>
                <w:color w:val="auto"/>
                <w:sz w:val="24"/>
                <w:szCs w:val="24"/>
              </w:rPr>
              <w:t>L</w:t>
            </w:r>
            <w:r>
              <w:rPr>
                <w:color w:val="auto"/>
                <w:sz w:val="24"/>
                <w:szCs w:val="24"/>
                <w:vertAlign w:val="subscript"/>
              </w:rPr>
              <w:t>w</w:t>
            </w:r>
            <w:r>
              <w:rPr>
                <w:color w:val="auto"/>
                <w:sz w:val="24"/>
                <w:szCs w:val="24"/>
              </w:rPr>
              <w:t>——中心位置位于透声面积（S）处的等效声源的倍频带声功率级，dB；</w:t>
            </w:r>
          </w:p>
          <w:p>
            <w:pPr>
              <w:pStyle w:val="83"/>
              <w:keepNext w:val="0"/>
              <w:keepLines w:val="0"/>
              <w:pageBreakBefore w:val="0"/>
              <w:kinsoku/>
              <w:wordWrap/>
              <w:overflowPunct/>
              <w:topLinePunct w:val="0"/>
              <w:bidi w:val="0"/>
              <w:adjustRightInd w:val="0"/>
              <w:snapToGrid/>
              <w:ind w:firstLine="420"/>
              <w:textAlignment w:val="auto"/>
              <w:rPr>
                <w:color w:val="auto"/>
                <w:sz w:val="24"/>
                <w:szCs w:val="24"/>
              </w:rPr>
            </w:pPr>
            <w:r>
              <w:rPr>
                <w:color w:val="auto"/>
                <w:sz w:val="24"/>
                <w:szCs w:val="24"/>
              </w:rPr>
              <w:t>L</w:t>
            </w:r>
            <w:r>
              <w:rPr>
                <w:color w:val="auto"/>
                <w:sz w:val="24"/>
                <w:szCs w:val="24"/>
                <w:vertAlign w:val="subscript"/>
              </w:rPr>
              <w:t>p2</w:t>
            </w:r>
            <w:r>
              <w:rPr>
                <w:color w:val="auto"/>
                <w:sz w:val="24"/>
                <w:szCs w:val="24"/>
              </w:rPr>
              <w:t>（T）——靠近围护结构处室外声源的声压级，dB；</w:t>
            </w:r>
          </w:p>
          <w:p>
            <w:pPr>
              <w:pStyle w:val="83"/>
              <w:keepNext w:val="0"/>
              <w:keepLines w:val="0"/>
              <w:pageBreakBefore w:val="0"/>
              <w:kinsoku/>
              <w:wordWrap/>
              <w:overflowPunct/>
              <w:topLinePunct w:val="0"/>
              <w:bidi w:val="0"/>
              <w:adjustRightInd w:val="0"/>
              <w:snapToGrid/>
              <w:ind w:firstLine="420"/>
              <w:textAlignment w:val="auto"/>
              <w:rPr>
                <w:color w:val="auto"/>
                <w:sz w:val="24"/>
                <w:szCs w:val="24"/>
              </w:rPr>
            </w:pPr>
            <w:r>
              <w:rPr>
                <w:color w:val="auto"/>
                <w:sz w:val="24"/>
                <w:szCs w:val="24"/>
              </w:rPr>
              <w:t>S——透声面积，m</w:t>
            </w:r>
            <w:r>
              <w:rPr>
                <w:color w:val="auto"/>
                <w:sz w:val="24"/>
                <w:szCs w:val="24"/>
                <w:vertAlign w:val="superscript"/>
              </w:rPr>
              <w:t>2</w:t>
            </w:r>
            <w:r>
              <w:rPr>
                <w:color w:val="auto"/>
                <w:sz w:val="24"/>
                <w:szCs w:val="24"/>
              </w:rPr>
              <w:t>。</w:t>
            </w:r>
          </w:p>
          <w:p>
            <w:pPr>
              <w:pStyle w:val="83"/>
              <w:keepNext w:val="0"/>
              <w:keepLines w:val="0"/>
              <w:pageBreakBefore w:val="0"/>
              <w:kinsoku/>
              <w:wordWrap/>
              <w:overflowPunct/>
              <w:topLinePunct w:val="0"/>
              <w:bidi w:val="0"/>
              <w:adjustRightInd w:val="0"/>
              <w:snapToGrid/>
              <w:ind w:firstLine="420"/>
              <w:textAlignment w:val="auto"/>
              <w:rPr>
                <w:color w:val="auto"/>
                <w:sz w:val="24"/>
                <w:szCs w:val="24"/>
              </w:rPr>
            </w:pPr>
            <w:r>
              <w:rPr>
                <w:color w:val="auto"/>
                <w:sz w:val="24"/>
                <w:szCs w:val="24"/>
              </w:rPr>
              <w:t>然后按室外声源预测方法计算预测点处的A声级。</w:t>
            </w:r>
          </w:p>
          <w:p>
            <w:pPr>
              <w:keepNext w:val="0"/>
              <w:keepLines w:val="0"/>
              <w:widowControl/>
              <w:suppressLineNumbers w:val="0"/>
              <w:jc w:val="left"/>
            </w:pPr>
            <w:r>
              <w:rPr>
                <w:rFonts w:hint="eastAsia" w:ascii="宋体" w:hAnsi="宋体" w:eastAsia="宋体" w:cs="宋体"/>
                <w:color w:val="auto"/>
                <w:sz w:val="24"/>
                <w:szCs w:val="24"/>
              </w:rPr>
              <w:t>②</w:t>
            </w:r>
            <w:r>
              <w:rPr>
                <w:rFonts w:hint="eastAsia" w:ascii="宋体" w:hAnsi="宋体" w:eastAsia="宋体" w:cs="宋体"/>
                <w:color w:val="000000"/>
                <w:kern w:val="0"/>
                <w:sz w:val="24"/>
                <w:szCs w:val="24"/>
                <w:lang w:val="en-US" w:eastAsia="zh-CN" w:bidi="ar"/>
              </w:rPr>
              <w:t>倍频带声压级和</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声级转换</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计算出的中心频率为</w:t>
            </w:r>
            <w:r>
              <w:rPr>
                <w:rFonts w:hint="default" w:ascii="Times New Roman" w:hAnsi="Times New Roman" w:eastAsia="宋体" w:cs="Times New Roman"/>
                <w:color w:val="000000"/>
                <w:kern w:val="0"/>
                <w:sz w:val="24"/>
                <w:szCs w:val="24"/>
                <w:lang w:val="en-US" w:eastAsia="zh-CN" w:bidi="ar"/>
              </w:rPr>
              <w:t>500</w:t>
            </w:r>
            <w:r>
              <w:rPr>
                <w:rFonts w:hint="eastAsia" w:cs="Times New Roman"/>
                <w:color w:val="000000"/>
                <w:kern w:val="0"/>
                <w:sz w:val="24"/>
                <w:szCs w:val="24"/>
                <w:lang w:val="en-US" w:eastAsia="zh-CN" w:bidi="ar"/>
              </w:rPr>
              <w:t>Hz</w:t>
            </w:r>
            <w:r>
              <w:rPr>
                <w:rFonts w:hint="eastAsia" w:ascii="宋体" w:hAnsi="宋体" w:eastAsia="宋体" w:cs="宋体"/>
                <w:color w:val="000000"/>
                <w:kern w:val="0"/>
                <w:sz w:val="24"/>
                <w:szCs w:val="24"/>
                <w:lang w:val="en-US" w:eastAsia="zh-CN" w:bidi="ar"/>
              </w:rPr>
              <w:t>倍频带声压级</w:t>
            </w:r>
            <w:r>
              <w:rPr>
                <w:rFonts w:hint="default" w:ascii="Times New Roman" w:hAnsi="Times New Roman" w:eastAsia="宋体" w:cs="Times New Roman"/>
                <w:color w:val="000000"/>
                <w:kern w:val="0"/>
                <w:sz w:val="24"/>
                <w:szCs w:val="24"/>
                <w:lang w:val="en-US" w:eastAsia="zh-CN" w:bidi="ar"/>
              </w:rPr>
              <w:t>Lp</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r</w:t>
            </w:r>
            <w:r>
              <w:rPr>
                <w:rFonts w:hint="eastAsia" w:ascii="宋体" w:hAnsi="宋体" w:eastAsia="宋体" w:cs="宋体"/>
                <w:color w:val="000000"/>
                <w:kern w:val="0"/>
                <w:sz w:val="24"/>
                <w:szCs w:val="24"/>
                <w:lang w:val="en-US" w:eastAsia="zh-CN" w:bidi="ar"/>
              </w:rPr>
              <w:t xml:space="preserve">），再根据导则倍频带声压级和 </w:t>
            </w:r>
            <w:r>
              <w:rPr>
                <w:rFonts w:hint="default" w:ascii="Times New Roman" w:hAnsi="Times New Roman" w:eastAsia="宋体" w:cs="Times New Roman"/>
                <w:color w:val="000000"/>
                <w:kern w:val="0"/>
                <w:sz w:val="24"/>
                <w:szCs w:val="24"/>
                <w:lang w:val="en-US" w:eastAsia="zh-CN" w:bidi="ar"/>
              </w:rPr>
              <w:t xml:space="preserve">A </w:t>
            </w:r>
            <w:r>
              <w:rPr>
                <w:rFonts w:hint="eastAsia" w:ascii="宋体" w:hAnsi="宋体" w:eastAsia="宋体" w:cs="宋体"/>
                <w:color w:val="000000"/>
                <w:kern w:val="0"/>
                <w:sz w:val="24"/>
                <w:szCs w:val="24"/>
                <w:lang w:val="en-US" w:eastAsia="zh-CN" w:bidi="ar"/>
              </w:rPr>
              <w:t>声级转换公式计算式如下：</w:t>
            </w:r>
          </w:p>
          <w:p>
            <w:pPr>
              <w:pStyle w:val="83"/>
              <w:keepNext w:val="0"/>
              <w:keepLines w:val="0"/>
              <w:pageBreakBefore w:val="0"/>
              <w:kinsoku/>
              <w:wordWrap/>
              <w:overflowPunct/>
              <w:topLinePunct w:val="0"/>
              <w:bidi w:val="0"/>
              <w:adjustRightInd w:val="0"/>
              <w:snapToGrid/>
              <w:ind w:firstLine="420"/>
              <w:jc w:val="center"/>
              <w:textAlignment w:val="auto"/>
              <w:rPr>
                <w:rFonts w:ascii="宋体" w:cs="宋体"/>
                <w:color w:val="auto"/>
                <w:sz w:val="24"/>
                <w:szCs w:val="24"/>
              </w:rPr>
            </w:pPr>
            <w:r>
              <w:drawing>
                <wp:inline distT="0" distB="0" distL="114300" distR="114300">
                  <wp:extent cx="1733550" cy="584835"/>
                  <wp:effectExtent l="0" t="0" r="0" b="571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27"/>
                          <a:stretch>
                            <a:fillRect/>
                          </a:stretch>
                        </pic:blipFill>
                        <pic:spPr>
                          <a:xfrm>
                            <a:off x="0" y="0"/>
                            <a:ext cx="1733550" cy="584835"/>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式中：</w:t>
            </w:r>
            <w:r>
              <w:rPr>
                <w:rFonts w:hint="default" w:ascii="Times New Roman" w:hAnsi="Times New Roman" w:eastAsia="宋体" w:cs="Times New Roman"/>
                <w:color w:val="000000"/>
                <w:kern w:val="0"/>
                <w:sz w:val="24"/>
                <w:szCs w:val="24"/>
                <w:lang w:val="en-US" w:eastAsia="zh-CN" w:bidi="ar"/>
              </w:rPr>
              <w:t>ΔL</w:t>
            </w:r>
            <w:r>
              <w:rPr>
                <w:rFonts w:hint="default" w:ascii="Times New Roman" w:hAnsi="Times New Roman" w:eastAsia="宋体" w:cs="Times New Roman"/>
                <w:color w:val="000000"/>
                <w:kern w:val="0"/>
                <w:sz w:val="15"/>
                <w:szCs w:val="15"/>
                <w:lang w:val="en-US" w:eastAsia="zh-CN" w:bidi="ar"/>
              </w:rPr>
              <w:t xml:space="preserve">i </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为第</w:t>
            </w:r>
            <w:r>
              <w:rPr>
                <w:rFonts w:hint="default" w:ascii="Times New Roman" w:hAnsi="Times New Roman" w:eastAsia="宋体" w:cs="Times New Roman"/>
                <w:color w:val="000000"/>
                <w:kern w:val="0"/>
                <w:sz w:val="24"/>
                <w:szCs w:val="24"/>
                <w:lang w:val="en-US" w:eastAsia="zh-CN" w:bidi="ar"/>
              </w:rPr>
              <w:t>i</w:t>
            </w:r>
            <w:r>
              <w:rPr>
                <w:rFonts w:hint="eastAsia" w:ascii="宋体" w:hAnsi="宋体" w:eastAsia="宋体" w:cs="宋体"/>
                <w:color w:val="000000"/>
                <w:kern w:val="0"/>
                <w:sz w:val="24"/>
                <w:szCs w:val="24"/>
                <w:lang w:val="en-US" w:eastAsia="zh-CN" w:bidi="ar"/>
              </w:rPr>
              <w:t>倍频带的</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计权网络修正值，</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N——</w:t>
            </w:r>
            <w:r>
              <w:rPr>
                <w:rFonts w:hint="eastAsia" w:ascii="宋体" w:hAnsi="宋体" w:eastAsia="宋体" w:cs="宋体"/>
                <w:color w:val="000000"/>
                <w:kern w:val="0"/>
                <w:sz w:val="24"/>
                <w:szCs w:val="24"/>
                <w:lang w:val="en-US" w:eastAsia="zh-CN" w:bidi="ar"/>
              </w:rPr>
              <w:t>总倍频带数。</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查导则附录</w:t>
            </w:r>
            <w:r>
              <w:rPr>
                <w:rFonts w:hint="default" w:ascii="Times New Roman" w:hAnsi="Times New Roman" w:eastAsia="宋体" w:cs="Times New Roman"/>
                <w:color w:val="000000"/>
                <w:kern w:val="0"/>
                <w:sz w:val="24"/>
                <w:szCs w:val="24"/>
                <w:lang w:val="en-US" w:eastAsia="zh-CN" w:bidi="ar"/>
              </w:rPr>
              <w:t>B</w:t>
            </w:r>
            <w:r>
              <w:rPr>
                <w:rFonts w:hint="eastAsia" w:ascii="宋体" w:hAnsi="宋体" w:eastAsia="宋体" w:cs="宋体"/>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B1</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500</w:t>
            </w:r>
            <w:r>
              <w:rPr>
                <w:rFonts w:hint="eastAsia" w:cs="Times New Roman"/>
                <w:color w:val="000000"/>
                <w:kern w:val="0"/>
                <w:sz w:val="24"/>
                <w:szCs w:val="24"/>
                <w:lang w:val="en-US" w:eastAsia="zh-CN" w:bidi="ar"/>
              </w:rPr>
              <w:t>Hz</w:t>
            </w:r>
            <w:r>
              <w:rPr>
                <w:rFonts w:hint="eastAsia" w:ascii="宋体" w:hAnsi="宋体" w:eastAsia="宋体" w:cs="宋体"/>
                <w:color w:val="000000"/>
                <w:kern w:val="0"/>
                <w:sz w:val="24"/>
                <w:szCs w:val="24"/>
                <w:lang w:val="en-US" w:eastAsia="zh-CN" w:bidi="ar"/>
              </w:rPr>
              <w:t>对应的</w:t>
            </w:r>
            <w:r>
              <w:rPr>
                <w:rFonts w:hint="default" w:ascii="Times New Roman" w:hAnsi="Times New Roman" w:eastAsia="宋体" w:cs="Times New Roman"/>
                <w:color w:val="000000"/>
                <w:kern w:val="0"/>
                <w:sz w:val="24"/>
                <w:szCs w:val="24"/>
                <w:lang w:val="en-US" w:eastAsia="zh-CN" w:bidi="ar"/>
              </w:rPr>
              <w:t>ΔL</w:t>
            </w:r>
            <w:r>
              <w:rPr>
                <w:rFonts w:hint="default" w:ascii="Times New Roman" w:hAnsi="Times New Roman" w:eastAsia="宋体" w:cs="Times New Roman"/>
                <w:color w:val="000000"/>
                <w:kern w:val="0"/>
                <w:sz w:val="15"/>
                <w:szCs w:val="15"/>
                <w:lang w:val="en-US" w:eastAsia="zh-CN" w:bidi="ar"/>
              </w:rPr>
              <w:t>i</w:t>
            </w:r>
            <w:r>
              <w:rPr>
                <w:rFonts w:hint="eastAsia" w:ascii="宋体" w:hAnsi="宋体" w:eastAsia="宋体" w:cs="宋体"/>
                <w:color w:val="000000"/>
                <w:kern w:val="0"/>
                <w:sz w:val="24"/>
                <w:szCs w:val="24"/>
                <w:lang w:val="en-US" w:eastAsia="zh-CN" w:bidi="ar"/>
              </w:rPr>
              <w:t>为</w:t>
            </w:r>
            <w:r>
              <w:rPr>
                <w:rFonts w:hint="default" w:ascii="Times New Roman" w:hAnsi="Times New Roman" w:eastAsia="宋体" w:cs="Times New Roman"/>
                <w:color w:val="000000"/>
                <w:kern w:val="0"/>
                <w:sz w:val="24"/>
                <w:szCs w:val="24"/>
                <w:lang w:val="en-US" w:eastAsia="zh-CN" w:bidi="ar"/>
              </w:rPr>
              <w:t>-3.2dB</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预测中声功率级、声压级均按照中心频率为</w:t>
            </w:r>
            <w:r>
              <w:rPr>
                <w:rFonts w:hint="default" w:ascii="Times New Roman" w:hAnsi="Times New Roman" w:eastAsia="宋体" w:cs="Times New Roman"/>
                <w:color w:val="000000"/>
                <w:kern w:val="0"/>
                <w:sz w:val="24"/>
                <w:szCs w:val="24"/>
                <w:lang w:val="en-US" w:eastAsia="zh-CN" w:bidi="ar"/>
              </w:rPr>
              <w:t>500</w:t>
            </w:r>
            <w:r>
              <w:rPr>
                <w:rFonts w:hint="eastAsia" w:cs="Times New Roman"/>
                <w:color w:val="000000"/>
                <w:kern w:val="0"/>
                <w:sz w:val="24"/>
                <w:szCs w:val="24"/>
                <w:lang w:val="en-US" w:eastAsia="zh-CN" w:bidi="ar"/>
              </w:rPr>
              <w:t>Hz</w:t>
            </w:r>
            <w:r>
              <w:rPr>
                <w:rFonts w:hint="eastAsia" w:ascii="宋体" w:hAnsi="宋体" w:eastAsia="宋体" w:cs="宋体"/>
                <w:color w:val="000000"/>
                <w:kern w:val="0"/>
                <w:sz w:val="24"/>
                <w:szCs w:val="24"/>
                <w:lang w:val="en-US" w:eastAsia="zh-CN" w:bidi="ar"/>
              </w:rPr>
              <w:t>的倍频带做估算。</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 xml:space="preserve">）室外声源至预测点贡献值计算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一个大型机器设备的振动表面，车间透声的墙壁，均可以认为是面声源。</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如果已知面声源单位面积的声功率为 </w:t>
            </w:r>
            <w:r>
              <w:rPr>
                <w:rFonts w:hint="default" w:ascii="Times New Roman" w:hAnsi="Times New Roman" w:eastAsia="宋体" w:cs="Times New Roman"/>
                <w:color w:val="000000"/>
                <w:kern w:val="0"/>
                <w:sz w:val="24"/>
                <w:szCs w:val="24"/>
                <w:lang w:val="en-US" w:eastAsia="zh-CN" w:bidi="ar"/>
              </w:rPr>
              <w:t>W</w:t>
            </w:r>
            <w:r>
              <w:rPr>
                <w:rFonts w:hint="eastAsia" w:ascii="宋体" w:hAnsi="宋体" w:eastAsia="宋体" w:cs="宋体"/>
                <w:color w:val="000000"/>
                <w:kern w:val="0"/>
                <w:sz w:val="24"/>
                <w:szCs w:val="24"/>
                <w:lang w:val="en-US" w:eastAsia="zh-CN" w:bidi="ar"/>
              </w:rPr>
              <w:t>，各面积元噪声的位相是随机的，面声源可看作由无数点声源连续分布组合而成，其合成声级可按能量叠加法求出。</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当预测点和面声源中心距离 </w:t>
            </w:r>
            <w:r>
              <w:rPr>
                <w:rFonts w:hint="default" w:ascii="Times New Roman" w:hAnsi="Times New Roman" w:eastAsia="宋体" w:cs="Times New Roman"/>
                <w:color w:val="000000"/>
                <w:kern w:val="0"/>
                <w:sz w:val="24"/>
                <w:szCs w:val="24"/>
                <w:lang w:val="en-US" w:eastAsia="zh-CN" w:bidi="ar"/>
              </w:rPr>
              <w:t xml:space="preserve">r </w:t>
            </w:r>
            <w:r>
              <w:rPr>
                <w:rFonts w:hint="eastAsia" w:ascii="宋体" w:hAnsi="宋体" w:eastAsia="宋体" w:cs="宋体"/>
                <w:color w:val="000000"/>
                <w:kern w:val="0"/>
                <w:sz w:val="24"/>
                <w:szCs w:val="24"/>
                <w:lang w:val="en-US" w:eastAsia="zh-CN" w:bidi="ar"/>
              </w:rPr>
              <w:t>处于以下条件时，将车间作为一整个</w:t>
            </w:r>
            <w:r>
              <w:rPr>
                <w:rFonts w:hint="eastAsia" w:ascii="宋体" w:hAnsi="宋体" w:cs="宋体"/>
                <w:color w:val="000000"/>
                <w:kern w:val="0"/>
                <w:sz w:val="24"/>
                <w:szCs w:val="24"/>
                <w:lang w:val="en-US" w:eastAsia="zh-CN" w:bidi="ar"/>
              </w:rPr>
              <w:t>点</w:t>
            </w:r>
            <w:r>
              <w:rPr>
                <w:rFonts w:hint="eastAsia" w:ascii="宋体" w:hAnsi="宋体" w:eastAsia="宋体" w:cs="宋体"/>
                <w:color w:val="000000"/>
                <w:kern w:val="0"/>
                <w:sz w:val="24"/>
                <w:szCs w:val="24"/>
                <w:lang w:val="en-US" w:eastAsia="zh-CN" w:bidi="ar"/>
              </w:rPr>
              <w:t>源，可按下述方法近似计算：</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r&lt;a/π</w:t>
            </w:r>
            <w:r>
              <w:rPr>
                <w:rFonts w:hint="eastAsia" w:ascii="宋体" w:hAnsi="宋体" w:eastAsia="宋体" w:cs="宋体"/>
                <w:color w:val="000000"/>
                <w:kern w:val="0"/>
                <w:sz w:val="24"/>
                <w:szCs w:val="24"/>
                <w:lang w:val="en-US" w:eastAsia="zh-CN" w:bidi="ar"/>
              </w:rPr>
              <w:t>时，几乎不衰减（</w:t>
            </w:r>
            <w:r>
              <w:rPr>
                <w:rFonts w:hint="default" w:ascii="Times New Roman" w:hAnsi="Times New Roman" w:eastAsia="宋体" w:cs="Times New Roman"/>
                <w:color w:val="000000"/>
                <w:kern w:val="0"/>
                <w:sz w:val="24"/>
                <w:szCs w:val="24"/>
                <w:lang w:val="en-US" w:eastAsia="zh-CN" w:bidi="ar"/>
              </w:rPr>
              <w:t>Adiv≈0</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当</w:t>
            </w:r>
            <w:r>
              <w:rPr>
                <w:rFonts w:hint="default" w:ascii="Times New Roman" w:hAnsi="Times New Roman" w:eastAsia="宋体" w:cs="Times New Roman"/>
                <w:color w:val="000000"/>
                <w:kern w:val="0"/>
                <w:sz w:val="24"/>
                <w:szCs w:val="24"/>
                <w:lang w:val="en-US" w:eastAsia="zh-CN" w:bidi="ar"/>
              </w:rPr>
              <w:t>a/π&lt;r&lt;b/π</w:t>
            </w:r>
            <w:r>
              <w:rPr>
                <w:rFonts w:hint="eastAsia" w:ascii="宋体" w:hAnsi="宋体" w:eastAsia="宋体" w:cs="宋体"/>
                <w:color w:val="000000"/>
                <w:kern w:val="0"/>
                <w:sz w:val="24"/>
                <w:szCs w:val="24"/>
                <w:lang w:val="en-US" w:eastAsia="zh-CN" w:bidi="ar"/>
              </w:rPr>
              <w:t>时，类似于线声源衰减特性，即：</w:t>
            </w:r>
            <w:r>
              <w:rPr>
                <w:rFonts w:hint="default" w:ascii="Times New Roman" w:hAnsi="Times New Roman" w:eastAsia="宋体" w:cs="Times New Roman"/>
                <w:color w:val="000000"/>
                <w:kern w:val="0"/>
                <w:sz w:val="24"/>
                <w:szCs w:val="24"/>
                <w:lang w:val="en-US" w:eastAsia="zh-CN" w:bidi="ar"/>
              </w:rPr>
              <w:t>L</w:t>
            </w:r>
            <w:r>
              <w:rPr>
                <w:rFonts w:hint="default" w:ascii="Times New Roman" w:hAnsi="Times New Roman" w:eastAsia="宋体" w:cs="Times New Roman"/>
                <w:color w:val="000000"/>
                <w:kern w:val="0"/>
                <w:sz w:val="15"/>
                <w:szCs w:val="15"/>
                <w:lang w:val="en-US" w:eastAsia="zh-CN" w:bidi="ar"/>
              </w:rPr>
              <w:t>A</w:t>
            </w:r>
            <w:r>
              <w:rPr>
                <w:rFonts w:hint="eastAsia" w:ascii="宋体" w:hAnsi="宋体" w:eastAsia="宋体" w:cs="宋体"/>
                <w:color w:val="000000"/>
                <w:kern w:val="0"/>
                <w:sz w:val="12"/>
                <w:szCs w:val="12"/>
                <w:lang w:val="en-US" w:eastAsia="zh-CN" w:bidi="ar"/>
              </w:rPr>
              <w:t>（</w:t>
            </w:r>
            <w:r>
              <w:rPr>
                <w:rFonts w:hint="default" w:ascii="Times New Roman" w:hAnsi="Times New Roman" w:eastAsia="宋体" w:cs="Times New Roman"/>
                <w:color w:val="000000"/>
                <w:kern w:val="0"/>
                <w:sz w:val="15"/>
                <w:szCs w:val="15"/>
                <w:lang w:val="en-US" w:eastAsia="zh-CN" w:bidi="ar"/>
              </w:rPr>
              <w:t>r</w:t>
            </w:r>
            <w:r>
              <w:rPr>
                <w:rFonts w:hint="eastAsia" w:ascii="宋体" w:hAnsi="宋体" w:eastAsia="宋体" w:cs="宋体"/>
                <w:color w:val="000000"/>
                <w:kern w:val="0"/>
                <w:sz w:val="12"/>
                <w:szCs w:val="12"/>
                <w:lang w:val="en-US" w:eastAsia="zh-CN" w:bidi="ar"/>
              </w:rPr>
              <w:t>）</w:t>
            </w:r>
            <w:r>
              <w:rPr>
                <w:rFonts w:hint="default" w:ascii="Times New Roman" w:hAnsi="Times New Roman" w:eastAsia="宋体" w:cs="Times New Roman"/>
                <w:color w:val="000000"/>
                <w:kern w:val="0"/>
                <w:sz w:val="24"/>
                <w:szCs w:val="24"/>
                <w:lang w:val="en-US" w:eastAsia="zh-CN" w:bidi="ar"/>
              </w:rPr>
              <w:t>=L</w:t>
            </w:r>
            <w:r>
              <w:rPr>
                <w:rFonts w:hint="default" w:ascii="Times New Roman" w:hAnsi="Times New Roman" w:eastAsia="宋体" w:cs="Times New Roman"/>
                <w:color w:val="000000"/>
                <w:kern w:val="0"/>
                <w:sz w:val="15"/>
                <w:szCs w:val="15"/>
                <w:lang w:val="en-US" w:eastAsia="zh-CN" w:bidi="ar"/>
              </w:rPr>
              <w:t>AW-</w:t>
            </w:r>
            <w:r>
              <w:rPr>
                <w:rFonts w:hint="default" w:ascii="Times New Roman" w:hAnsi="Times New Roman" w:eastAsia="宋体" w:cs="Times New Roman"/>
                <w:color w:val="000000"/>
                <w:kern w:val="0"/>
                <w:sz w:val="24"/>
                <w:szCs w:val="24"/>
                <w:lang w:val="en-US" w:eastAsia="zh-CN" w:bidi="ar"/>
              </w:rPr>
              <w:t>10lg</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r</w:t>
            </w:r>
            <w:r>
              <w:rPr>
                <w:rFonts w:hint="default" w:ascii="Times New Roman" w:hAnsi="Times New Roman" w:eastAsia="宋体" w:cs="Times New Roman"/>
                <w:color w:val="000000"/>
                <w:kern w:val="0"/>
                <w:sz w:val="15"/>
                <w:szCs w:val="15"/>
                <w:lang w:val="en-US" w:eastAsia="zh-CN" w:bidi="ar"/>
              </w:rPr>
              <w:t>0</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当</w:t>
            </w:r>
            <w:r>
              <w:rPr>
                <w:rFonts w:hint="default" w:ascii="Times New Roman" w:hAnsi="Times New Roman" w:eastAsia="宋体" w:cs="Times New Roman"/>
                <w:color w:val="000000"/>
                <w:kern w:val="0"/>
                <w:sz w:val="24"/>
                <w:szCs w:val="24"/>
                <w:lang w:val="en-US" w:eastAsia="zh-CN" w:bidi="ar"/>
              </w:rPr>
              <w:t>r&gt;b/π</w:t>
            </w:r>
            <w:r>
              <w:rPr>
                <w:rFonts w:hint="eastAsia" w:ascii="宋体" w:hAnsi="宋体" w:eastAsia="宋体" w:cs="宋体"/>
                <w:color w:val="000000"/>
                <w:kern w:val="0"/>
                <w:sz w:val="24"/>
                <w:szCs w:val="24"/>
                <w:lang w:val="en-US" w:eastAsia="zh-CN" w:bidi="ar"/>
              </w:rPr>
              <w:t>时，类似于点声源衰减特性，即：</w:t>
            </w:r>
            <w:r>
              <w:rPr>
                <w:rFonts w:hint="default" w:ascii="Times New Roman" w:hAnsi="Times New Roman" w:eastAsia="宋体" w:cs="Times New Roman"/>
                <w:color w:val="000000"/>
                <w:kern w:val="0"/>
                <w:sz w:val="24"/>
                <w:szCs w:val="24"/>
                <w:lang w:val="en-US" w:eastAsia="zh-CN" w:bidi="ar"/>
              </w:rPr>
              <w:t>L</w:t>
            </w:r>
            <w:r>
              <w:rPr>
                <w:rFonts w:hint="default" w:ascii="Times New Roman" w:hAnsi="Times New Roman" w:eastAsia="宋体" w:cs="Times New Roman"/>
                <w:color w:val="000000"/>
                <w:kern w:val="0"/>
                <w:sz w:val="15"/>
                <w:szCs w:val="15"/>
                <w:lang w:val="en-US" w:eastAsia="zh-CN" w:bidi="ar"/>
              </w:rPr>
              <w:t>A</w:t>
            </w:r>
            <w:r>
              <w:rPr>
                <w:rFonts w:hint="eastAsia" w:ascii="宋体" w:hAnsi="宋体" w:eastAsia="宋体" w:cs="宋体"/>
                <w:color w:val="000000"/>
                <w:kern w:val="0"/>
                <w:sz w:val="12"/>
                <w:szCs w:val="12"/>
                <w:lang w:val="en-US" w:eastAsia="zh-CN" w:bidi="ar"/>
              </w:rPr>
              <w:t>（</w:t>
            </w:r>
            <w:r>
              <w:rPr>
                <w:rFonts w:hint="default" w:ascii="Times New Roman" w:hAnsi="Times New Roman" w:eastAsia="宋体" w:cs="Times New Roman"/>
                <w:color w:val="000000"/>
                <w:kern w:val="0"/>
                <w:sz w:val="15"/>
                <w:szCs w:val="15"/>
                <w:lang w:val="en-US" w:eastAsia="zh-CN" w:bidi="ar"/>
              </w:rPr>
              <w:t>r</w:t>
            </w:r>
            <w:r>
              <w:rPr>
                <w:rFonts w:hint="eastAsia" w:ascii="宋体" w:hAnsi="宋体" w:eastAsia="宋体" w:cs="宋体"/>
                <w:color w:val="000000"/>
                <w:kern w:val="0"/>
                <w:sz w:val="12"/>
                <w:szCs w:val="12"/>
                <w:lang w:val="en-US" w:eastAsia="zh-CN" w:bidi="ar"/>
              </w:rPr>
              <w:t>）</w:t>
            </w:r>
            <w:r>
              <w:rPr>
                <w:rFonts w:hint="default" w:ascii="Times New Roman" w:hAnsi="Times New Roman" w:eastAsia="宋体" w:cs="Times New Roman"/>
                <w:color w:val="000000"/>
                <w:kern w:val="0"/>
                <w:sz w:val="24"/>
                <w:szCs w:val="24"/>
                <w:lang w:val="en-US" w:eastAsia="zh-CN" w:bidi="ar"/>
              </w:rPr>
              <w:t>=L</w:t>
            </w:r>
            <w:r>
              <w:rPr>
                <w:rFonts w:hint="default" w:ascii="Times New Roman" w:hAnsi="Times New Roman" w:eastAsia="宋体" w:cs="Times New Roman"/>
                <w:color w:val="000000"/>
                <w:kern w:val="0"/>
                <w:sz w:val="15"/>
                <w:szCs w:val="15"/>
                <w:lang w:val="en-US" w:eastAsia="zh-CN" w:bidi="ar"/>
              </w:rPr>
              <w:t>A</w:t>
            </w:r>
            <w:r>
              <w:rPr>
                <w:rFonts w:hint="eastAsia" w:ascii="宋体" w:hAnsi="宋体" w:eastAsia="宋体" w:cs="宋体"/>
                <w:color w:val="000000"/>
                <w:kern w:val="0"/>
                <w:sz w:val="12"/>
                <w:szCs w:val="12"/>
                <w:lang w:val="en-US" w:eastAsia="zh-CN" w:bidi="ar"/>
              </w:rPr>
              <w:t>（</w:t>
            </w:r>
            <w:r>
              <w:rPr>
                <w:rFonts w:hint="default" w:ascii="Times New Roman" w:hAnsi="Times New Roman" w:eastAsia="宋体" w:cs="Times New Roman"/>
                <w:color w:val="000000"/>
                <w:kern w:val="0"/>
                <w:sz w:val="15"/>
                <w:szCs w:val="15"/>
                <w:lang w:val="en-US" w:eastAsia="zh-CN" w:bidi="ar"/>
              </w:rPr>
              <w:t>b/π</w:t>
            </w:r>
            <w:r>
              <w:rPr>
                <w:rFonts w:hint="eastAsia" w:ascii="宋体" w:hAnsi="宋体" w:eastAsia="宋体" w:cs="宋体"/>
                <w:color w:val="000000"/>
                <w:kern w:val="0"/>
                <w:sz w:val="12"/>
                <w:szCs w:val="12"/>
                <w:lang w:val="en-US" w:eastAsia="zh-CN" w:bidi="ar"/>
              </w:rPr>
              <w:t>）</w:t>
            </w:r>
            <w:r>
              <w:rPr>
                <w:rFonts w:hint="default" w:ascii="Times New Roman" w:hAnsi="Times New Roman" w:eastAsia="宋体" w:cs="Times New Roman"/>
                <w:color w:val="000000"/>
                <w:kern w:val="0"/>
                <w:sz w:val="24"/>
                <w:szCs w:val="24"/>
                <w:lang w:val="en-US" w:eastAsia="zh-CN" w:bidi="ar"/>
              </w:rPr>
              <w:t>-20lg[r/</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b/π</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其中：</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为面声源宽度，</w:t>
            </w:r>
            <w:r>
              <w:rPr>
                <w:rFonts w:hint="default" w:ascii="Times New Roman" w:hAnsi="Times New Roman" w:eastAsia="宋体" w:cs="Times New Roman"/>
                <w:color w:val="000000"/>
                <w:kern w:val="0"/>
                <w:sz w:val="24"/>
                <w:szCs w:val="24"/>
                <w:lang w:val="en-US" w:eastAsia="zh-CN" w:bidi="ar"/>
              </w:rPr>
              <w:t>b</w:t>
            </w:r>
            <w:r>
              <w:rPr>
                <w:rFonts w:hint="eastAsia" w:ascii="宋体" w:hAnsi="宋体" w:eastAsia="宋体" w:cs="宋体"/>
                <w:color w:val="000000"/>
                <w:kern w:val="0"/>
                <w:sz w:val="24"/>
                <w:szCs w:val="24"/>
                <w:lang w:val="en-US" w:eastAsia="zh-CN" w:bidi="ar"/>
              </w:rPr>
              <w:t>为面声源长度，</w:t>
            </w:r>
            <w:r>
              <w:rPr>
                <w:rFonts w:hint="default" w:ascii="Times New Roman" w:hAnsi="Times New Roman" w:eastAsia="宋体" w:cs="Times New Roman"/>
                <w:color w:val="000000"/>
                <w:kern w:val="0"/>
                <w:sz w:val="24"/>
                <w:szCs w:val="24"/>
                <w:lang w:val="en-US" w:eastAsia="zh-CN" w:bidi="ar"/>
              </w:rPr>
              <w:t>b&gt;a</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面声源的几何发散衰减：</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当 </w:t>
            </w:r>
            <w:r>
              <w:rPr>
                <w:rFonts w:hint="default" w:ascii="Times New Roman" w:hAnsi="Times New Roman" w:eastAsia="宋体" w:cs="Times New Roman"/>
                <w:color w:val="000000"/>
                <w:kern w:val="0"/>
                <w:sz w:val="24"/>
                <w:szCs w:val="24"/>
                <w:lang w:val="en-US" w:eastAsia="zh-CN" w:bidi="ar"/>
              </w:rPr>
              <w:t>r&gt;b/π</w:t>
            </w:r>
            <w:r>
              <w:rPr>
                <w:rFonts w:hint="eastAsia" w:ascii="宋体" w:hAnsi="宋体" w:eastAsia="宋体" w:cs="宋体"/>
                <w:color w:val="000000"/>
                <w:kern w:val="0"/>
                <w:sz w:val="24"/>
                <w:szCs w:val="24"/>
                <w:lang w:val="en-US" w:eastAsia="zh-CN" w:bidi="ar"/>
              </w:rPr>
              <w:t>时，类似于点声源衰减特性，即：</w:t>
            </w:r>
            <w:r>
              <w:rPr>
                <w:rFonts w:hint="default" w:ascii="Times New Roman" w:hAnsi="Times New Roman" w:eastAsia="宋体" w:cs="Times New Roman"/>
                <w:color w:val="000000"/>
                <w:kern w:val="0"/>
                <w:sz w:val="24"/>
                <w:szCs w:val="24"/>
                <w:lang w:val="en-US" w:eastAsia="zh-CN" w:bidi="ar"/>
              </w:rPr>
              <w:t>LA</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r</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=LA</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b/π</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-20lg[r/</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b/π</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，距离加倍衰减趋近于</w:t>
            </w:r>
            <w:r>
              <w:rPr>
                <w:rFonts w:hint="default" w:ascii="Times New Roman" w:hAnsi="Times New Roman" w:eastAsia="宋体" w:cs="Times New Roman"/>
                <w:color w:val="000000"/>
                <w:kern w:val="0"/>
                <w:sz w:val="24"/>
                <w:szCs w:val="24"/>
                <w:lang w:val="en-US" w:eastAsia="zh-CN" w:bidi="ar"/>
              </w:rPr>
              <w:t>6dB</w:t>
            </w:r>
            <w:r>
              <w:rPr>
                <w:rFonts w:hint="eastAsia" w:ascii="宋体" w:hAnsi="宋体" w:eastAsia="宋体" w:cs="宋体"/>
                <w:color w:val="000000"/>
                <w:kern w:val="0"/>
                <w:sz w:val="24"/>
                <w:szCs w:val="24"/>
                <w:lang w:val="en-US" w:eastAsia="zh-CN" w:bidi="ar"/>
              </w:rPr>
              <w:t>，类似点声源衰减特性</w:t>
            </w:r>
            <w:r>
              <w:rPr>
                <w:rFonts w:hint="default" w:ascii="Times New Roman" w:hAnsi="Times New Roman" w:eastAsia="宋体" w:cs="Times New Roman"/>
                <w:color w:val="000000"/>
                <w:kern w:val="0"/>
                <w:sz w:val="24"/>
                <w:szCs w:val="24"/>
                <w:lang w:val="en-US" w:eastAsia="zh-CN" w:bidi="ar"/>
              </w:rPr>
              <w:t>A</w:t>
            </w:r>
            <w:r>
              <w:rPr>
                <w:rFonts w:hint="default" w:ascii="Times New Roman" w:hAnsi="Times New Roman" w:eastAsia="宋体" w:cs="Times New Roman"/>
                <w:color w:val="000000"/>
                <w:kern w:val="0"/>
                <w:sz w:val="15"/>
                <w:szCs w:val="15"/>
                <w:lang w:val="en-US" w:eastAsia="zh-CN" w:bidi="ar"/>
              </w:rPr>
              <w:t>div</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20lg</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r/r</w:t>
            </w:r>
            <w:r>
              <w:rPr>
                <w:rFonts w:hint="default" w:ascii="Times New Roman" w:hAnsi="Times New Roman" w:eastAsia="宋体" w:cs="Times New Roman"/>
                <w:color w:val="000000"/>
                <w:kern w:val="0"/>
                <w:sz w:val="15"/>
                <w:szCs w:val="15"/>
                <w:lang w:val="en-US" w:eastAsia="zh-CN" w:bidi="ar"/>
              </w:rPr>
              <w:t>0</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）预测点的预测等效声级（</w:t>
            </w:r>
            <w:r>
              <w:rPr>
                <w:rFonts w:hint="default" w:ascii="Times New Roman" w:hAnsi="Times New Roman" w:eastAsia="宋体" w:cs="Times New Roman"/>
                <w:b/>
                <w:bCs/>
                <w:color w:val="000000"/>
                <w:kern w:val="0"/>
                <w:sz w:val="24"/>
                <w:szCs w:val="24"/>
                <w:lang w:val="en-US" w:eastAsia="zh-CN" w:bidi="ar"/>
              </w:rPr>
              <w:t>L</w:t>
            </w:r>
            <w:r>
              <w:rPr>
                <w:rFonts w:hint="default" w:ascii="Times New Roman" w:hAnsi="Times New Roman" w:eastAsia="宋体" w:cs="Times New Roman"/>
                <w:b/>
                <w:bCs/>
                <w:color w:val="000000"/>
                <w:kern w:val="0"/>
                <w:sz w:val="15"/>
                <w:szCs w:val="15"/>
                <w:lang w:val="en-US" w:eastAsia="zh-CN" w:bidi="ar"/>
              </w:rPr>
              <w:t>Eq</w:t>
            </w:r>
            <w:r>
              <w:rPr>
                <w:rFonts w:hint="eastAsia" w:ascii="宋体" w:hAnsi="宋体" w:eastAsia="宋体" w:cs="宋体"/>
                <w:b/>
                <w:bCs/>
                <w:color w:val="000000"/>
                <w:kern w:val="0"/>
                <w:sz w:val="24"/>
                <w:szCs w:val="24"/>
                <w:lang w:val="en-US" w:eastAsia="zh-CN" w:bidi="ar"/>
              </w:rPr>
              <w:t>）计算</w:t>
            </w:r>
          </w:p>
          <w:p>
            <w:pPr>
              <w:pStyle w:val="83"/>
              <w:keepNext w:val="0"/>
              <w:keepLines w:val="0"/>
              <w:pageBreakBefore w:val="0"/>
              <w:kinsoku/>
              <w:wordWrap/>
              <w:overflowPunct/>
              <w:topLinePunct w:val="0"/>
              <w:bidi w:val="0"/>
              <w:adjustRightInd w:val="0"/>
              <w:snapToGrid/>
              <w:ind w:firstLine="420"/>
              <w:textAlignment w:val="auto"/>
              <w:rPr>
                <w:rFonts w:ascii="宋体" w:cs="宋体"/>
                <w:color w:val="auto"/>
                <w:sz w:val="24"/>
                <w:szCs w:val="24"/>
              </w:rPr>
            </w:pPr>
            <w:r>
              <w:drawing>
                <wp:inline distT="0" distB="0" distL="114300" distR="114300">
                  <wp:extent cx="2496185" cy="361950"/>
                  <wp:effectExtent l="0" t="0" r="18415" b="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28"/>
                          <a:stretch>
                            <a:fillRect/>
                          </a:stretch>
                        </pic:blipFill>
                        <pic:spPr>
                          <a:xfrm>
                            <a:off x="0" y="0"/>
                            <a:ext cx="2496185" cy="361950"/>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式中：</w:t>
            </w:r>
            <w:r>
              <w:rPr>
                <w:rFonts w:hint="default" w:ascii="Times New Roman" w:hAnsi="Times New Roman" w:eastAsia="宋体" w:cs="Times New Roman"/>
                <w:color w:val="000000"/>
                <w:kern w:val="0"/>
                <w:sz w:val="24"/>
                <w:szCs w:val="24"/>
                <w:lang w:val="en-US" w:eastAsia="zh-CN" w:bidi="ar"/>
              </w:rPr>
              <w:t>L</w:t>
            </w:r>
            <w:r>
              <w:rPr>
                <w:rFonts w:hint="default" w:ascii="Times New Roman" w:hAnsi="Times New Roman" w:eastAsia="宋体" w:cs="Times New Roman"/>
                <w:color w:val="000000"/>
                <w:kern w:val="0"/>
                <w:sz w:val="15"/>
                <w:szCs w:val="15"/>
                <w:lang w:val="en-US" w:eastAsia="zh-CN" w:bidi="ar"/>
              </w:rPr>
              <w:t>Eqg</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建设项目声源在预测点的等效声级贡献量，</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L</w:t>
            </w:r>
            <w:r>
              <w:rPr>
                <w:rFonts w:hint="default" w:ascii="Times New Roman" w:hAnsi="Times New Roman" w:eastAsia="宋体" w:cs="Times New Roman"/>
                <w:color w:val="000000"/>
                <w:kern w:val="0"/>
                <w:sz w:val="15"/>
                <w:szCs w:val="15"/>
                <w:lang w:val="en-US" w:eastAsia="zh-CN" w:bidi="ar"/>
              </w:rPr>
              <w:t>Eqb</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预测点背景值，</w:t>
            </w:r>
            <w:r>
              <w:rPr>
                <w:rFonts w:hint="default" w:ascii="Times New Roman" w:hAnsi="Times New Roman" w:eastAsia="宋体" w:cs="Times New Roman"/>
                <w:color w:val="000000"/>
                <w:kern w:val="0"/>
                <w:sz w:val="24"/>
                <w:szCs w:val="24"/>
                <w:lang w:val="en-US" w:eastAsia="zh-CN" w:bidi="ar"/>
              </w:rPr>
              <w:t>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u w:val="none"/>
              </w:rPr>
            </w:pPr>
          </w:p>
        </w:tc>
      </w:tr>
    </w:tbl>
    <w:p>
      <w:pPr>
        <w:pStyle w:val="32"/>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22"/>
        <w:widowControl w:val="0"/>
        <w:snapToGrid/>
        <w:spacing w:before="0" w:after="0" w:line="240" w:lineRule="auto"/>
        <w:ind w:right="0" w:firstLine="0" w:firstLineChars="0"/>
        <w:jc w:val="center"/>
        <w:rPr>
          <w:b/>
          <w:sz w:val="21"/>
          <w:szCs w:val="21"/>
          <w:u w:val="single"/>
        </w:rPr>
      </w:pPr>
      <w:r>
        <w:rPr>
          <w:rFonts w:hint="eastAsia"/>
          <w:b/>
          <w:bCs/>
          <w:sz w:val="21"/>
          <w:szCs w:val="24"/>
          <w:u w:val="single"/>
        </w:rPr>
        <w:t xml:space="preserve"> 表 </w:t>
      </w:r>
      <w:r>
        <w:rPr>
          <w:b/>
          <w:bCs/>
          <w:sz w:val="21"/>
          <w:szCs w:val="24"/>
          <w:u w:val="single"/>
        </w:rPr>
        <w:t>4</w:t>
      </w:r>
      <w:r>
        <w:rPr>
          <w:rFonts w:hint="eastAsia"/>
          <w:b/>
          <w:bCs/>
          <w:sz w:val="21"/>
          <w:szCs w:val="24"/>
          <w:u w:val="single"/>
        </w:rPr>
        <w:t>-</w:t>
      </w:r>
      <w:r>
        <w:rPr>
          <w:rFonts w:hint="eastAsia"/>
          <w:b/>
          <w:bCs/>
          <w:sz w:val="21"/>
          <w:szCs w:val="24"/>
          <w:u w:val="single"/>
          <w:lang w:val="en-US" w:eastAsia="zh-CN"/>
        </w:rPr>
        <w:t>18</w:t>
      </w:r>
      <w:r>
        <w:rPr>
          <w:b/>
          <w:bCs/>
          <w:sz w:val="21"/>
          <w:szCs w:val="24"/>
          <w:u w:val="single"/>
        </w:rPr>
        <w:t xml:space="preserve"> </w:t>
      </w:r>
      <w:r>
        <w:rPr>
          <w:rFonts w:hint="eastAsia"/>
          <w:b/>
          <w:bCs/>
          <w:sz w:val="21"/>
          <w:szCs w:val="24"/>
          <w:u w:val="single"/>
        </w:rPr>
        <w:t>工业企业噪声源强调查清单（室外声源）</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778"/>
        <w:gridCol w:w="778"/>
        <w:gridCol w:w="1109"/>
        <w:gridCol w:w="1109"/>
        <w:gridCol w:w="908"/>
        <w:gridCol w:w="2551"/>
        <w:gridCol w:w="1490"/>
        <w:gridCol w:w="2480"/>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trPr>
        <w:tc>
          <w:tcPr>
            <w:tcW w:w="294" w:type="pct"/>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kern w:val="0"/>
                <w:sz w:val="21"/>
                <w:szCs w:val="21"/>
                <w:u w:val="single"/>
              </w:rPr>
            </w:pPr>
            <w:bookmarkStart w:id="21" w:name="PT_5"/>
            <w:r>
              <w:rPr>
                <w:rFonts w:hint="eastAsia"/>
                <w:b/>
                <w:kern w:val="0"/>
                <w:sz w:val="21"/>
                <w:szCs w:val="21"/>
                <w:u w:val="single"/>
              </w:rPr>
              <w:t>序号</w:t>
            </w:r>
          </w:p>
        </w:tc>
        <w:tc>
          <w:tcPr>
            <w:tcW w:w="294" w:type="pct"/>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kern w:val="0"/>
                <w:sz w:val="21"/>
                <w:szCs w:val="21"/>
                <w:u w:val="single"/>
              </w:rPr>
            </w:pPr>
            <w:r>
              <w:rPr>
                <w:rFonts w:hint="eastAsia"/>
                <w:b/>
                <w:kern w:val="0"/>
                <w:sz w:val="21"/>
                <w:szCs w:val="21"/>
                <w:u w:val="single"/>
              </w:rPr>
              <w:t>声源名称</w:t>
            </w:r>
          </w:p>
        </w:tc>
        <w:tc>
          <w:tcPr>
            <w:tcW w:w="294" w:type="pct"/>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kern w:val="0"/>
                <w:sz w:val="21"/>
                <w:szCs w:val="21"/>
                <w:u w:val="single"/>
              </w:rPr>
            </w:pPr>
            <w:r>
              <w:rPr>
                <w:rFonts w:hint="eastAsia"/>
                <w:b/>
                <w:kern w:val="0"/>
                <w:sz w:val="21"/>
                <w:szCs w:val="21"/>
                <w:u w:val="single"/>
                <w:lang w:val="en-US" w:eastAsia="zh-CN"/>
              </w:rPr>
              <w:t>型</w:t>
            </w:r>
            <w:r>
              <w:rPr>
                <w:rFonts w:hint="eastAsia"/>
                <w:b/>
                <w:kern w:val="0"/>
                <w:sz w:val="21"/>
                <w:szCs w:val="21"/>
                <w:u w:val="single"/>
              </w:rPr>
              <w:t>号</w:t>
            </w:r>
          </w:p>
        </w:tc>
        <w:tc>
          <w:tcPr>
            <w:tcW w:w="1181" w:type="pct"/>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kern w:val="0"/>
                <w:sz w:val="21"/>
                <w:szCs w:val="21"/>
                <w:u w:val="single"/>
              </w:rPr>
            </w:pPr>
            <w:r>
              <w:rPr>
                <w:rFonts w:hint="eastAsia"/>
                <w:b/>
                <w:kern w:val="0"/>
                <w:sz w:val="21"/>
                <w:szCs w:val="21"/>
                <w:u w:val="single"/>
              </w:rPr>
              <w:t>空间相对位置</w:t>
            </w:r>
            <w:r>
              <w:rPr>
                <w:b/>
                <w:kern w:val="0"/>
                <w:sz w:val="21"/>
                <w:szCs w:val="21"/>
                <w:u w:val="single"/>
              </w:rPr>
              <w:t>/m</w:t>
            </w:r>
          </w:p>
        </w:tc>
        <w:tc>
          <w:tcPr>
            <w:tcW w:w="1527" w:type="pct"/>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kern w:val="0"/>
                <w:sz w:val="21"/>
                <w:szCs w:val="21"/>
                <w:u w:val="single"/>
              </w:rPr>
            </w:pPr>
            <w:r>
              <w:rPr>
                <w:rFonts w:hint="eastAsia"/>
                <w:b/>
                <w:kern w:val="0"/>
                <w:sz w:val="21"/>
                <w:szCs w:val="21"/>
                <w:u w:val="single"/>
              </w:rPr>
              <w:t>声源源强（任选一种）</w:t>
            </w:r>
          </w:p>
        </w:tc>
        <w:tc>
          <w:tcPr>
            <w:tcW w:w="937" w:type="pct"/>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kern w:val="0"/>
                <w:sz w:val="21"/>
                <w:szCs w:val="21"/>
                <w:u w:val="single"/>
              </w:rPr>
            </w:pPr>
            <w:r>
              <w:rPr>
                <w:rFonts w:hint="eastAsia"/>
                <w:b/>
                <w:kern w:val="0"/>
                <w:sz w:val="21"/>
                <w:szCs w:val="21"/>
                <w:u w:val="single"/>
              </w:rPr>
              <w:t>声源控制措施</w:t>
            </w:r>
          </w:p>
        </w:tc>
        <w:tc>
          <w:tcPr>
            <w:tcW w:w="471" w:type="pct"/>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kern w:val="0"/>
                <w:sz w:val="21"/>
                <w:szCs w:val="21"/>
                <w:u w:val="single"/>
              </w:rPr>
            </w:pPr>
            <w:r>
              <w:rPr>
                <w:rFonts w:hint="eastAsia"/>
                <w:b/>
                <w:kern w:val="0"/>
                <w:sz w:val="21"/>
                <w:szCs w:val="21"/>
                <w:u w:val="single"/>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9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kern w:val="0"/>
                <w:sz w:val="21"/>
                <w:szCs w:val="21"/>
                <w:u w:val="single"/>
              </w:rPr>
            </w:pPr>
          </w:p>
        </w:tc>
        <w:tc>
          <w:tcPr>
            <w:tcW w:w="29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kern w:val="0"/>
                <w:sz w:val="21"/>
                <w:szCs w:val="21"/>
                <w:u w:val="single"/>
              </w:rPr>
            </w:pPr>
          </w:p>
        </w:tc>
        <w:tc>
          <w:tcPr>
            <w:tcW w:w="29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kern w:val="0"/>
                <w:sz w:val="21"/>
                <w:szCs w:val="21"/>
                <w:u w:val="single"/>
              </w:rPr>
            </w:pPr>
          </w:p>
        </w:tc>
        <w:tc>
          <w:tcPr>
            <w:tcW w:w="419" w:type="pct"/>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spacing w:line="240" w:lineRule="auto"/>
              <w:ind w:firstLine="0" w:firstLineChars="0"/>
              <w:jc w:val="center"/>
              <w:rPr>
                <w:kern w:val="0"/>
                <w:sz w:val="21"/>
                <w:szCs w:val="21"/>
                <w:u w:val="single"/>
              </w:rPr>
            </w:pPr>
            <w:r>
              <w:rPr>
                <w:kern w:val="0"/>
                <w:sz w:val="21"/>
                <w:szCs w:val="21"/>
                <w:u w:val="single"/>
              </w:rPr>
              <w:t>X</w:t>
            </w:r>
          </w:p>
        </w:tc>
        <w:tc>
          <w:tcPr>
            <w:tcW w:w="419" w:type="pct"/>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spacing w:line="240" w:lineRule="auto"/>
              <w:ind w:firstLine="0" w:firstLineChars="0"/>
              <w:jc w:val="center"/>
              <w:rPr>
                <w:kern w:val="0"/>
                <w:sz w:val="21"/>
                <w:szCs w:val="21"/>
                <w:u w:val="single"/>
              </w:rPr>
            </w:pPr>
            <w:r>
              <w:rPr>
                <w:kern w:val="0"/>
                <w:sz w:val="21"/>
                <w:szCs w:val="21"/>
                <w:u w:val="single"/>
              </w:rPr>
              <w:t>Y</w:t>
            </w:r>
          </w:p>
        </w:tc>
        <w:tc>
          <w:tcPr>
            <w:tcW w:w="343" w:type="pct"/>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spacing w:line="240" w:lineRule="auto"/>
              <w:ind w:firstLine="0" w:firstLineChars="0"/>
              <w:jc w:val="center"/>
              <w:rPr>
                <w:kern w:val="0"/>
                <w:sz w:val="21"/>
                <w:szCs w:val="21"/>
                <w:u w:val="single"/>
              </w:rPr>
            </w:pPr>
            <w:r>
              <w:rPr>
                <w:kern w:val="0"/>
                <w:sz w:val="21"/>
                <w:szCs w:val="21"/>
                <w:u w:val="single"/>
              </w:rPr>
              <w:t>Z</w:t>
            </w:r>
          </w:p>
        </w:tc>
        <w:tc>
          <w:tcPr>
            <w:tcW w:w="964" w:type="pct"/>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spacing w:line="240" w:lineRule="auto"/>
              <w:ind w:firstLine="0" w:firstLineChars="0"/>
              <w:jc w:val="center"/>
              <w:rPr>
                <w:kern w:val="0"/>
                <w:sz w:val="21"/>
                <w:szCs w:val="21"/>
                <w:u w:val="single"/>
              </w:rPr>
            </w:pPr>
            <w:r>
              <w:rPr>
                <w:rFonts w:hint="eastAsia"/>
                <w:kern w:val="0"/>
                <w:sz w:val="21"/>
                <w:szCs w:val="21"/>
                <w:u w:val="single"/>
              </w:rPr>
              <w:t>（声压级</w:t>
            </w:r>
            <w:r>
              <w:rPr>
                <w:kern w:val="0"/>
                <w:sz w:val="21"/>
                <w:szCs w:val="21"/>
                <w:u w:val="single"/>
              </w:rPr>
              <w:t>/</w:t>
            </w:r>
            <w:r>
              <w:rPr>
                <w:rFonts w:hint="eastAsia"/>
                <w:kern w:val="0"/>
                <w:sz w:val="21"/>
                <w:szCs w:val="21"/>
                <w:u w:val="single"/>
              </w:rPr>
              <w:t>距声源距离）</w:t>
            </w:r>
            <w:r>
              <w:rPr>
                <w:kern w:val="0"/>
                <w:sz w:val="21"/>
                <w:szCs w:val="21"/>
                <w:u w:val="single"/>
              </w:rPr>
              <w:t>/</w:t>
            </w:r>
            <w:r>
              <w:rPr>
                <w:rFonts w:hint="eastAsia"/>
                <w:kern w:val="0"/>
                <w:sz w:val="21"/>
                <w:szCs w:val="21"/>
                <w:u w:val="single"/>
              </w:rPr>
              <w:t>（</w:t>
            </w:r>
            <w:r>
              <w:rPr>
                <w:kern w:val="0"/>
                <w:sz w:val="21"/>
                <w:szCs w:val="21"/>
                <w:u w:val="single"/>
              </w:rPr>
              <w:t>dB(A)/m</w:t>
            </w:r>
            <w:r>
              <w:rPr>
                <w:rFonts w:hint="eastAsia"/>
                <w:kern w:val="0"/>
                <w:sz w:val="21"/>
                <w:szCs w:val="21"/>
                <w:u w:val="single"/>
              </w:rPr>
              <w:t>）</w:t>
            </w:r>
          </w:p>
        </w:tc>
        <w:tc>
          <w:tcPr>
            <w:tcW w:w="563" w:type="pct"/>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spacing w:line="240" w:lineRule="auto"/>
              <w:ind w:firstLine="0" w:firstLineChars="0"/>
              <w:jc w:val="center"/>
              <w:rPr>
                <w:kern w:val="0"/>
                <w:sz w:val="21"/>
                <w:szCs w:val="21"/>
                <w:u w:val="single"/>
              </w:rPr>
            </w:pPr>
            <w:r>
              <w:rPr>
                <w:rFonts w:hint="eastAsia"/>
                <w:kern w:val="0"/>
                <w:sz w:val="21"/>
                <w:szCs w:val="21"/>
                <w:u w:val="single"/>
              </w:rPr>
              <w:t>声功率级</w:t>
            </w:r>
            <w:r>
              <w:rPr>
                <w:kern w:val="0"/>
                <w:sz w:val="21"/>
                <w:szCs w:val="21"/>
                <w:u w:val="single"/>
              </w:rPr>
              <w:t>/dB(A)</w:t>
            </w:r>
          </w:p>
          <w:bookmarkEnd w:id="21"/>
        </w:tc>
        <w:tc>
          <w:tcPr>
            <w:tcW w:w="93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kern w:val="0"/>
                <w:sz w:val="21"/>
                <w:szCs w:val="21"/>
                <w:u w:val="single"/>
              </w:rPr>
            </w:pPr>
          </w:p>
        </w:tc>
        <w:tc>
          <w:tcPr>
            <w:tcW w:w="47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kern w:val="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trPr>
        <w:tc>
          <w:tcPr>
            <w:tcW w:w="294" w:type="pct"/>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ind w:firstLine="0" w:firstLineChars="0"/>
              <w:jc w:val="center"/>
              <w:rPr>
                <w:rFonts w:cs="宋体"/>
                <w:color w:val="000000" w:themeColor="text1"/>
                <w:sz w:val="21"/>
                <w:szCs w:val="22"/>
                <w:u w:val="single"/>
                <w14:textFill>
                  <w14:solidFill>
                    <w14:schemeClr w14:val="tx1"/>
                  </w14:solidFill>
                </w14:textFill>
              </w:rPr>
            </w:pPr>
            <w:r>
              <w:rPr>
                <w:rFonts w:cs="Arial"/>
                <w:color w:val="000000" w:themeColor="text1"/>
                <w:sz w:val="21"/>
                <w:szCs w:val="22"/>
                <w:u w:val="single"/>
                <w14:textFill>
                  <w14:solidFill>
                    <w14:schemeClr w14:val="tx1"/>
                  </w14:solidFill>
                </w14:textFill>
              </w:rPr>
              <w:t>1</w:t>
            </w:r>
          </w:p>
        </w:tc>
        <w:tc>
          <w:tcPr>
            <w:tcW w:w="294" w:type="pct"/>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ind w:firstLine="0" w:firstLineChars="0"/>
              <w:jc w:val="center"/>
              <w:rPr>
                <w:rFonts w:hint="eastAsia" w:eastAsia="宋体" w:cs="宋体"/>
                <w:color w:val="000000" w:themeColor="text1"/>
                <w:sz w:val="21"/>
                <w:szCs w:val="22"/>
                <w:u w:val="single"/>
                <w:lang w:eastAsia="zh-CN"/>
                <w14:textFill>
                  <w14:solidFill>
                    <w14:schemeClr w14:val="tx1"/>
                  </w14:solidFill>
                </w14:textFill>
              </w:rPr>
            </w:pPr>
            <w:r>
              <w:rPr>
                <w:rFonts w:hint="eastAsia" w:cs="宋体"/>
                <w:color w:val="000000" w:themeColor="text1"/>
                <w:sz w:val="21"/>
                <w:szCs w:val="22"/>
                <w:u w:val="single"/>
                <w:lang w:val="en-US" w:eastAsia="zh-CN"/>
                <w14:textFill>
                  <w14:solidFill>
                    <w14:schemeClr w14:val="tx1"/>
                  </w14:solidFill>
                </w14:textFill>
              </w:rPr>
              <w:t>风机</w:t>
            </w:r>
          </w:p>
        </w:tc>
        <w:tc>
          <w:tcPr>
            <w:tcW w:w="294" w:type="pct"/>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ind w:firstLine="0" w:firstLineChars="0"/>
              <w:jc w:val="center"/>
              <w:rPr>
                <w:rFonts w:hint="default" w:eastAsia="宋体" w:cs="宋体"/>
                <w:color w:val="000000" w:themeColor="text1"/>
                <w:sz w:val="21"/>
                <w:szCs w:val="22"/>
                <w:u w:val="single"/>
                <w:lang w:val="en-US" w:eastAsia="zh-CN"/>
                <w14:textFill>
                  <w14:solidFill>
                    <w14:schemeClr w14:val="tx1"/>
                  </w14:solidFill>
                </w14:textFill>
              </w:rPr>
            </w:pPr>
            <w:r>
              <w:rPr>
                <w:rFonts w:hint="eastAsia" w:cs="宋体"/>
                <w:color w:val="000000" w:themeColor="text1"/>
                <w:sz w:val="21"/>
                <w:szCs w:val="22"/>
                <w:u w:val="single"/>
                <w:lang w:val="en-US" w:eastAsia="zh-CN"/>
                <w14:textFill>
                  <w14:solidFill>
                    <w14:schemeClr w14:val="tx1"/>
                  </w14:solidFill>
                </w14:textFill>
              </w:rPr>
              <w:t>/</w:t>
            </w:r>
          </w:p>
        </w:tc>
        <w:tc>
          <w:tcPr>
            <w:tcW w:w="419" w:type="pct"/>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ind w:firstLine="0" w:firstLineChars="0"/>
              <w:jc w:val="center"/>
              <w:rPr>
                <w:rFonts w:hint="default" w:eastAsia="宋体" w:cs="宋体"/>
                <w:color w:val="000000" w:themeColor="text1"/>
                <w:sz w:val="21"/>
                <w:szCs w:val="22"/>
                <w:u w:val="single"/>
                <w:lang w:val="en-US" w:eastAsia="zh-CN"/>
                <w14:textFill>
                  <w14:solidFill>
                    <w14:schemeClr w14:val="tx1"/>
                  </w14:solidFill>
                </w14:textFill>
              </w:rPr>
            </w:pPr>
            <w:r>
              <w:rPr>
                <w:rFonts w:hint="eastAsia" w:cs="宋体"/>
                <w:color w:val="000000" w:themeColor="text1"/>
                <w:sz w:val="21"/>
                <w:szCs w:val="22"/>
                <w:u w:val="single"/>
                <w:lang w:val="en-US" w:eastAsia="zh-CN"/>
                <w14:textFill>
                  <w14:solidFill>
                    <w14:schemeClr w14:val="tx1"/>
                  </w14:solidFill>
                </w14:textFill>
              </w:rPr>
              <w:t>-139</w:t>
            </w:r>
          </w:p>
        </w:tc>
        <w:tc>
          <w:tcPr>
            <w:tcW w:w="419" w:type="pct"/>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ind w:firstLine="0" w:firstLineChars="0"/>
              <w:jc w:val="center"/>
              <w:rPr>
                <w:rFonts w:hint="default" w:eastAsia="宋体" w:cs="宋体"/>
                <w:color w:val="000000" w:themeColor="text1"/>
                <w:sz w:val="21"/>
                <w:szCs w:val="22"/>
                <w:u w:val="single"/>
                <w:lang w:val="en-US" w:eastAsia="zh-CN"/>
                <w14:textFill>
                  <w14:solidFill>
                    <w14:schemeClr w14:val="tx1"/>
                  </w14:solidFill>
                </w14:textFill>
              </w:rPr>
            </w:pPr>
            <w:r>
              <w:rPr>
                <w:rFonts w:hint="eastAsia" w:cs="宋体"/>
                <w:color w:val="000000" w:themeColor="text1"/>
                <w:sz w:val="21"/>
                <w:szCs w:val="22"/>
                <w:u w:val="single"/>
                <w:lang w:val="en-US" w:eastAsia="zh-CN"/>
                <w14:textFill>
                  <w14:solidFill>
                    <w14:schemeClr w14:val="tx1"/>
                  </w14:solidFill>
                </w14:textFill>
              </w:rPr>
              <w:t>21</w:t>
            </w:r>
          </w:p>
        </w:tc>
        <w:tc>
          <w:tcPr>
            <w:tcW w:w="343" w:type="pct"/>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ind w:firstLine="0" w:firstLineChars="0"/>
              <w:jc w:val="center"/>
              <w:rPr>
                <w:rFonts w:hint="default" w:eastAsia="宋体" w:cs="宋体"/>
                <w:color w:val="000000" w:themeColor="text1"/>
                <w:sz w:val="21"/>
                <w:szCs w:val="22"/>
                <w:u w:val="single"/>
                <w:lang w:val="en-US" w:eastAsia="zh-CN"/>
                <w14:textFill>
                  <w14:solidFill>
                    <w14:schemeClr w14:val="tx1"/>
                  </w14:solidFill>
                </w14:textFill>
              </w:rPr>
            </w:pPr>
            <w:r>
              <w:rPr>
                <w:rFonts w:hint="eastAsia" w:cs="宋体"/>
                <w:color w:val="000000" w:themeColor="text1"/>
                <w:sz w:val="21"/>
                <w:szCs w:val="22"/>
                <w:u w:val="single"/>
                <w:lang w:val="en-US" w:eastAsia="zh-CN"/>
                <w14:textFill>
                  <w14:solidFill>
                    <w14:schemeClr w14:val="tx1"/>
                  </w14:solidFill>
                </w14:textFill>
              </w:rPr>
              <w:t>0</w:t>
            </w:r>
          </w:p>
        </w:tc>
        <w:tc>
          <w:tcPr>
            <w:tcW w:w="964" w:type="pct"/>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ind w:firstLine="0" w:firstLineChars="0"/>
              <w:jc w:val="center"/>
              <w:rPr>
                <w:rFonts w:hint="eastAsia" w:eastAsia="宋体" w:cs="宋体"/>
                <w:color w:val="000000" w:themeColor="text1"/>
                <w:sz w:val="21"/>
                <w:szCs w:val="22"/>
                <w:u w:val="single"/>
                <w:lang w:val="en-US" w:eastAsia="zh-CN"/>
                <w14:textFill>
                  <w14:solidFill>
                    <w14:schemeClr w14:val="tx1"/>
                  </w14:solidFill>
                </w14:textFill>
              </w:rPr>
            </w:pPr>
            <w:r>
              <w:rPr>
                <w:rFonts w:hint="eastAsia" w:cs="宋体"/>
                <w:color w:val="000000" w:themeColor="text1"/>
                <w:sz w:val="21"/>
                <w:szCs w:val="22"/>
                <w:u w:val="single"/>
                <w:lang w:val="en-US" w:eastAsia="zh-CN"/>
                <w14:textFill>
                  <w14:solidFill>
                    <w14:schemeClr w14:val="tx1"/>
                  </w14:solidFill>
                </w14:textFill>
              </w:rPr>
              <w:t>/</w:t>
            </w:r>
          </w:p>
        </w:tc>
        <w:tc>
          <w:tcPr>
            <w:tcW w:w="563" w:type="pct"/>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ind w:firstLine="0" w:firstLineChars="0"/>
              <w:jc w:val="center"/>
              <w:rPr>
                <w:rFonts w:hint="default" w:ascii="Times New Roman" w:hAnsi="Times New Roman" w:eastAsia="宋体" w:cs="宋体"/>
                <w:color w:val="000000" w:themeColor="text1"/>
                <w:sz w:val="21"/>
                <w:szCs w:val="22"/>
                <w:u w:val="single"/>
                <w:lang w:val="en-US" w:eastAsia="zh-CN"/>
                <w14:textFill>
                  <w14:solidFill>
                    <w14:schemeClr w14:val="tx1"/>
                  </w14:solidFill>
                </w14:textFill>
              </w:rPr>
            </w:pPr>
            <w:r>
              <w:rPr>
                <w:rFonts w:hint="eastAsia" w:ascii="Times New Roman" w:hAnsi="Times New Roman" w:eastAsia="宋体" w:cs="宋体"/>
                <w:color w:val="000000" w:themeColor="text1"/>
                <w:sz w:val="21"/>
                <w:szCs w:val="22"/>
                <w:u w:val="single"/>
                <w:lang w:val="en-US" w:eastAsia="zh-CN"/>
                <w14:textFill>
                  <w14:solidFill>
                    <w14:schemeClr w14:val="tx1"/>
                  </w14:solidFill>
                </w14:textFill>
              </w:rPr>
              <w:t>80</w:t>
            </w:r>
          </w:p>
        </w:tc>
        <w:tc>
          <w:tcPr>
            <w:tcW w:w="937" w:type="pct"/>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ind w:firstLine="0" w:firstLineChars="0"/>
              <w:jc w:val="center"/>
              <w:rPr>
                <w:rFonts w:hint="eastAsia" w:ascii="Times New Roman" w:hAnsi="Times New Roman" w:eastAsia="宋体" w:cs="宋体"/>
                <w:color w:val="000000" w:themeColor="text1"/>
                <w:sz w:val="21"/>
                <w:szCs w:val="22"/>
                <w:u w:val="single"/>
                <w14:textFill>
                  <w14:solidFill>
                    <w14:schemeClr w14:val="tx1"/>
                  </w14:solidFill>
                </w14:textFill>
              </w:rPr>
            </w:pPr>
            <w:r>
              <w:rPr>
                <w:rFonts w:hint="eastAsia" w:ascii="Times New Roman" w:hAnsi="Times New Roman" w:eastAsia="宋体" w:cs="宋体"/>
                <w:color w:val="000000" w:themeColor="text1"/>
                <w:sz w:val="21"/>
                <w:szCs w:val="22"/>
                <w:u w:val="single"/>
                <w:lang w:val="en-US" w:eastAsia="zh-CN"/>
                <w14:textFill>
                  <w14:solidFill>
                    <w14:schemeClr w14:val="tx1"/>
                  </w14:solidFill>
                </w14:textFill>
              </w:rPr>
              <w:t>基础减振、消声</w:t>
            </w:r>
          </w:p>
        </w:tc>
        <w:tc>
          <w:tcPr>
            <w:tcW w:w="471" w:type="pct"/>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ind w:firstLine="0" w:firstLineChars="0"/>
              <w:jc w:val="center"/>
              <w:rPr>
                <w:rFonts w:cs="宋体"/>
                <w:color w:val="000000" w:themeColor="text1"/>
                <w:sz w:val="21"/>
                <w:szCs w:val="22"/>
                <w:u w:val="single"/>
                <w14:textFill>
                  <w14:solidFill>
                    <w14:schemeClr w14:val="tx1"/>
                  </w14:solidFill>
                </w14:textFill>
              </w:rPr>
            </w:pPr>
            <w:r>
              <w:rPr>
                <w:rFonts w:hint="eastAsia" w:cs="宋体"/>
                <w:color w:val="000000" w:themeColor="text1"/>
                <w:sz w:val="21"/>
                <w:szCs w:val="22"/>
                <w:u w:val="single"/>
                <w14:textFill>
                  <w14:solidFill>
                    <w14:schemeClr w14:val="tx1"/>
                  </w14:solidFill>
                </w14:textFill>
              </w:rPr>
              <w:t>昼间</w:t>
            </w:r>
          </w:p>
        </w:tc>
      </w:tr>
    </w:tbl>
    <w:p>
      <w:pPr>
        <w:ind w:firstLine="420"/>
        <w:jc w:val="left"/>
        <w:rPr>
          <w:bCs/>
          <w:color w:val="000000" w:themeColor="text1"/>
          <w:sz w:val="21"/>
          <w:szCs w:val="21"/>
          <w:u w:val="single"/>
          <w14:textFill>
            <w14:solidFill>
              <w14:schemeClr w14:val="tx1"/>
            </w14:solidFill>
          </w14:textFill>
        </w:rPr>
      </w:pPr>
      <w:r>
        <w:rPr>
          <w:rFonts w:hint="eastAsia"/>
          <w:bCs/>
          <w:color w:val="000000" w:themeColor="text1"/>
          <w:sz w:val="21"/>
          <w:szCs w:val="21"/>
          <w:u w:val="single"/>
          <w14:textFill>
            <w14:solidFill>
              <w14:schemeClr w14:val="tx1"/>
            </w14:solidFill>
          </w14:textFill>
        </w:rPr>
        <w:t>注：表中坐标以厂界中心（112.765538254,28.725126928）为坐标原点，正东向为</w:t>
      </w:r>
      <w:r>
        <w:rPr>
          <w:bCs/>
          <w:color w:val="000000" w:themeColor="text1"/>
          <w:sz w:val="21"/>
          <w:szCs w:val="21"/>
          <w:u w:val="single"/>
          <w14:textFill>
            <w14:solidFill>
              <w14:schemeClr w14:val="tx1"/>
            </w14:solidFill>
          </w14:textFill>
        </w:rPr>
        <w:t>X</w:t>
      </w:r>
      <w:r>
        <w:rPr>
          <w:rFonts w:hint="eastAsia"/>
          <w:bCs/>
          <w:color w:val="000000" w:themeColor="text1"/>
          <w:sz w:val="21"/>
          <w:szCs w:val="21"/>
          <w:u w:val="single"/>
          <w14:textFill>
            <w14:solidFill>
              <w14:schemeClr w14:val="tx1"/>
            </w14:solidFill>
          </w14:textFill>
        </w:rPr>
        <w:t>轴正方向，正北向为</w:t>
      </w:r>
      <w:r>
        <w:rPr>
          <w:bCs/>
          <w:color w:val="000000" w:themeColor="text1"/>
          <w:sz w:val="21"/>
          <w:szCs w:val="21"/>
          <w:u w:val="single"/>
          <w14:textFill>
            <w14:solidFill>
              <w14:schemeClr w14:val="tx1"/>
            </w14:solidFill>
          </w14:textFill>
        </w:rPr>
        <w:t>Y</w:t>
      </w:r>
      <w:r>
        <w:rPr>
          <w:rFonts w:hint="eastAsia"/>
          <w:bCs/>
          <w:color w:val="000000" w:themeColor="text1"/>
          <w:sz w:val="21"/>
          <w:szCs w:val="21"/>
          <w:u w:val="single"/>
          <w14:textFill>
            <w14:solidFill>
              <w14:schemeClr w14:val="tx1"/>
            </w14:solidFill>
          </w14:textFill>
        </w:rPr>
        <w:t>轴正方向。</w:t>
      </w:r>
    </w:p>
    <w:p>
      <w:pPr>
        <w:spacing w:line="240" w:lineRule="auto"/>
        <w:ind w:firstLine="422" w:firstLineChars="0"/>
        <w:jc w:val="center"/>
        <w:rPr>
          <w:b/>
          <w:bCs/>
          <w:kern w:val="0"/>
          <w:sz w:val="21"/>
          <w:u w:val="single"/>
        </w:rPr>
      </w:pPr>
      <w:r>
        <w:rPr>
          <w:rFonts w:hint="eastAsia"/>
          <w:b/>
          <w:bCs/>
          <w:kern w:val="0"/>
          <w:sz w:val="21"/>
          <w:u w:val="single"/>
        </w:rPr>
        <w:t xml:space="preserve">表 </w:t>
      </w:r>
      <w:r>
        <w:rPr>
          <w:b/>
          <w:bCs/>
          <w:kern w:val="0"/>
          <w:sz w:val="21"/>
          <w:u w:val="single"/>
        </w:rPr>
        <w:t>4</w:t>
      </w:r>
      <w:r>
        <w:rPr>
          <w:rFonts w:hint="eastAsia"/>
          <w:b/>
          <w:bCs/>
          <w:kern w:val="0"/>
          <w:sz w:val="21"/>
          <w:u w:val="single"/>
        </w:rPr>
        <w:t>-</w:t>
      </w:r>
      <w:r>
        <w:rPr>
          <w:rFonts w:hint="eastAsia"/>
          <w:b/>
          <w:bCs/>
          <w:kern w:val="0"/>
          <w:sz w:val="21"/>
          <w:u w:val="single"/>
          <w:lang w:val="en-US" w:eastAsia="zh-CN"/>
        </w:rPr>
        <w:t>19</w:t>
      </w:r>
      <w:r>
        <w:rPr>
          <w:b/>
          <w:bCs/>
          <w:kern w:val="0"/>
          <w:sz w:val="21"/>
          <w:u w:val="single"/>
        </w:rPr>
        <w:t xml:space="preserve"> </w:t>
      </w:r>
      <w:r>
        <w:rPr>
          <w:rFonts w:hint="eastAsia"/>
          <w:b/>
          <w:bCs/>
          <w:kern w:val="0"/>
          <w:sz w:val="21"/>
          <w:u w:val="single"/>
        </w:rPr>
        <w:t>工业企业噪声源强调查清单（室内声源）</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672"/>
        <w:gridCol w:w="675"/>
        <w:gridCol w:w="985"/>
        <w:gridCol w:w="754"/>
        <w:gridCol w:w="593"/>
        <w:gridCol w:w="439"/>
        <w:gridCol w:w="593"/>
        <w:gridCol w:w="593"/>
        <w:gridCol w:w="593"/>
        <w:gridCol w:w="622"/>
        <w:gridCol w:w="593"/>
        <w:gridCol w:w="593"/>
        <w:gridCol w:w="593"/>
        <w:gridCol w:w="622"/>
        <w:gridCol w:w="719"/>
        <w:gridCol w:w="650"/>
        <w:gridCol w:w="566"/>
        <w:gridCol w:w="600"/>
        <w:gridCol w:w="534"/>
        <w:gridCol w:w="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trPr>
        <w:tc>
          <w:tcPr>
            <w:tcW w:w="249" w:type="pct"/>
            <w:vMerge w:val="restart"/>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bookmarkStart w:id="22" w:name="PT_6"/>
            <w:r>
              <w:rPr>
                <w:b/>
                <w:bCs/>
                <w:color w:val="000000" w:themeColor="text1"/>
                <w:sz w:val="21"/>
                <w:szCs w:val="21"/>
                <w:u w:val="single"/>
                <w14:textFill>
                  <w14:solidFill>
                    <w14:schemeClr w14:val="tx1"/>
                  </w14:solidFill>
                </w14:textFill>
              </w:rPr>
              <w:t>序号</w:t>
            </w:r>
          </w:p>
        </w:tc>
        <w:tc>
          <w:tcPr>
            <w:tcW w:w="254" w:type="pct"/>
            <w:vMerge w:val="restart"/>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建筑物名称</w:t>
            </w:r>
          </w:p>
        </w:tc>
        <w:tc>
          <w:tcPr>
            <w:tcW w:w="255" w:type="pct"/>
            <w:vMerge w:val="restart"/>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声源名称</w:t>
            </w:r>
          </w:p>
        </w:tc>
        <w:tc>
          <w:tcPr>
            <w:tcW w:w="372" w:type="pct"/>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声源源强</w:t>
            </w:r>
          </w:p>
        </w:tc>
        <w:tc>
          <w:tcPr>
            <w:tcW w:w="675" w:type="pct"/>
            <w:gridSpan w:val="3"/>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空间相对位置/m</w:t>
            </w:r>
          </w:p>
        </w:tc>
        <w:tc>
          <w:tcPr>
            <w:tcW w:w="907" w:type="pct"/>
            <w:gridSpan w:val="4"/>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距室内边界距离/m</w:t>
            </w:r>
          </w:p>
        </w:tc>
        <w:tc>
          <w:tcPr>
            <w:tcW w:w="907" w:type="pct"/>
            <w:gridSpan w:val="4"/>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室内边界声级/dB(A)</w:t>
            </w:r>
          </w:p>
        </w:tc>
        <w:tc>
          <w:tcPr>
            <w:tcW w:w="271" w:type="pct"/>
            <w:vMerge w:val="restart"/>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建筑物插入损失/dB(A)</w:t>
            </w:r>
            <w:bookmarkStart w:id="23" w:name="PT_10"/>
            <w:bookmarkEnd w:id="23"/>
          </w:p>
        </w:tc>
        <w:tc>
          <w:tcPr>
            <w:tcW w:w="1106" w:type="pct"/>
            <w:gridSpan w:val="5"/>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249" w:type="pct"/>
            <w:vMerge w:val="continue"/>
            <w:shd w:val="clear" w:color="auto" w:fill="FFFFFF"/>
            <w:tcMar>
              <w:top w:w="0" w:type="dxa"/>
              <w:left w:w="0" w:type="dxa"/>
              <w:bottom w:w="0" w:type="dxa"/>
              <w:right w:w="0" w:type="dxa"/>
            </w:tcMar>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p>
        </w:tc>
        <w:tc>
          <w:tcPr>
            <w:tcW w:w="254" w:type="pct"/>
            <w:vMerge w:val="continue"/>
            <w:shd w:val="clear" w:color="auto" w:fill="FFFFFF"/>
            <w:tcMar>
              <w:top w:w="0" w:type="dxa"/>
              <w:left w:w="0" w:type="dxa"/>
              <w:bottom w:w="0" w:type="dxa"/>
              <w:right w:w="0" w:type="dxa"/>
            </w:tcMar>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p>
        </w:tc>
        <w:tc>
          <w:tcPr>
            <w:tcW w:w="255" w:type="pct"/>
            <w:vMerge w:val="continue"/>
            <w:shd w:val="clear" w:color="auto" w:fill="FFFFFF"/>
            <w:tcMar>
              <w:top w:w="0" w:type="dxa"/>
              <w:left w:w="0" w:type="dxa"/>
              <w:bottom w:w="0" w:type="dxa"/>
              <w:right w:w="0" w:type="dxa"/>
            </w:tcMar>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p>
        </w:tc>
        <w:tc>
          <w:tcPr>
            <w:tcW w:w="372" w:type="pct"/>
            <w:shd w:val="clear" w:color="auto" w:fill="FFFFFF"/>
            <w:tcMar>
              <w:top w:w="0" w:type="dxa"/>
              <w:left w:w="0" w:type="dxa"/>
              <w:bottom w:w="0" w:type="dxa"/>
              <w:right w:w="0" w:type="dxa"/>
            </w:tcMar>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声功率级/dB(A)</w:t>
            </w:r>
          </w:p>
        </w:tc>
        <w:tc>
          <w:tcPr>
            <w:tcW w:w="285" w:type="pct"/>
            <w:shd w:val="clear" w:color="auto" w:fill="FFFFFF"/>
            <w:tcMar>
              <w:top w:w="0" w:type="dxa"/>
              <w:left w:w="0" w:type="dxa"/>
              <w:bottom w:w="0" w:type="dxa"/>
              <w:right w:w="0" w:type="dxa"/>
            </w:tcMar>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X</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Y</w:t>
            </w:r>
          </w:p>
        </w:tc>
        <w:tc>
          <w:tcPr>
            <w:tcW w:w="165" w:type="pct"/>
            <w:shd w:val="clear" w:color="auto" w:fill="FFFFFF"/>
            <w:tcMar>
              <w:top w:w="0" w:type="dxa"/>
              <w:left w:w="0" w:type="dxa"/>
              <w:bottom w:w="0" w:type="dxa"/>
              <w:right w:w="0" w:type="dxa"/>
            </w:tcMar>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Z</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rFonts w:hint="eastAsia"/>
                <w:b/>
                <w:bCs/>
                <w:color w:val="000000" w:themeColor="text1"/>
                <w:sz w:val="21"/>
                <w:szCs w:val="21"/>
                <w:u w:val="single"/>
                <w14:textFill>
                  <w14:solidFill>
                    <w14:schemeClr w14:val="tx1"/>
                  </w14:solidFill>
                </w14:textFill>
              </w:rPr>
              <w:t>东</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rFonts w:hint="eastAsia"/>
                <w:b/>
                <w:bCs/>
                <w:color w:val="000000" w:themeColor="text1"/>
                <w:sz w:val="21"/>
                <w:szCs w:val="21"/>
                <w:u w:val="single"/>
                <w14:textFill>
                  <w14:solidFill>
                    <w14:schemeClr w14:val="tx1"/>
                  </w14:solidFill>
                </w14:textFill>
              </w:rPr>
              <w:t>南</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rFonts w:hint="eastAsia"/>
                <w:b/>
                <w:bCs/>
                <w:color w:val="000000" w:themeColor="text1"/>
                <w:sz w:val="21"/>
                <w:szCs w:val="21"/>
                <w:u w:val="single"/>
                <w14:textFill>
                  <w14:solidFill>
                    <w14:schemeClr w14:val="tx1"/>
                  </w14:solidFill>
                </w14:textFill>
              </w:rPr>
              <w:t>西</w:t>
            </w:r>
          </w:p>
        </w:tc>
        <w:tc>
          <w:tcPr>
            <w:tcW w:w="235" w:type="pct"/>
            <w:shd w:val="clear" w:color="auto" w:fill="FFFFFF"/>
            <w:tcMar>
              <w:top w:w="0" w:type="dxa"/>
              <w:left w:w="0" w:type="dxa"/>
              <w:bottom w:w="0" w:type="dxa"/>
              <w:right w:w="0" w:type="dxa"/>
            </w:tcMar>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rFonts w:hint="eastAsia"/>
                <w:b/>
                <w:bCs/>
                <w:color w:val="000000" w:themeColor="text1"/>
                <w:sz w:val="21"/>
                <w:szCs w:val="21"/>
                <w:u w:val="single"/>
                <w14:textFill>
                  <w14:solidFill>
                    <w14:schemeClr w14:val="tx1"/>
                  </w14:solidFill>
                </w14:textFill>
              </w:rPr>
              <w:t>北</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rFonts w:hint="eastAsia"/>
                <w:b/>
                <w:bCs/>
                <w:color w:val="000000" w:themeColor="text1"/>
                <w:sz w:val="21"/>
                <w:szCs w:val="21"/>
                <w:u w:val="single"/>
                <w14:textFill>
                  <w14:solidFill>
                    <w14:schemeClr w14:val="tx1"/>
                  </w14:solidFill>
                </w14:textFill>
              </w:rPr>
              <w:t>东</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rFonts w:hint="eastAsia"/>
                <w:b/>
                <w:bCs/>
                <w:color w:val="000000" w:themeColor="text1"/>
                <w:sz w:val="21"/>
                <w:szCs w:val="21"/>
                <w:u w:val="single"/>
                <w14:textFill>
                  <w14:solidFill>
                    <w14:schemeClr w14:val="tx1"/>
                  </w14:solidFill>
                </w14:textFill>
              </w:rPr>
              <w:t>南</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rFonts w:hint="eastAsia"/>
                <w:b/>
                <w:bCs/>
                <w:color w:val="000000" w:themeColor="text1"/>
                <w:sz w:val="21"/>
                <w:szCs w:val="21"/>
                <w:u w:val="single"/>
                <w14:textFill>
                  <w14:solidFill>
                    <w14:schemeClr w14:val="tx1"/>
                  </w14:solidFill>
                </w14:textFill>
              </w:rPr>
              <w:t>西</w:t>
            </w:r>
          </w:p>
        </w:tc>
        <w:tc>
          <w:tcPr>
            <w:tcW w:w="235" w:type="pct"/>
            <w:shd w:val="clear" w:color="auto" w:fill="FFFFFF"/>
            <w:tcMar>
              <w:top w:w="0" w:type="dxa"/>
              <w:left w:w="0" w:type="dxa"/>
              <w:bottom w:w="0" w:type="dxa"/>
              <w:right w:w="0" w:type="dxa"/>
            </w:tcMar>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rFonts w:hint="eastAsia"/>
                <w:b/>
                <w:bCs/>
                <w:color w:val="000000" w:themeColor="text1"/>
                <w:sz w:val="21"/>
                <w:szCs w:val="21"/>
                <w:u w:val="single"/>
                <w14:textFill>
                  <w14:solidFill>
                    <w14:schemeClr w14:val="tx1"/>
                  </w14:solidFill>
                </w14:textFill>
              </w:rPr>
              <w:t>北</w:t>
            </w:r>
          </w:p>
        </w:tc>
        <w:tc>
          <w:tcPr>
            <w:tcW w:w="271" w:type="pct"/>
            <w:vMerge w:val="continue"/>
            <w:shd w:val="clear" w:color="auto" w:fill="FFFFFF"/>
            <w:tcMar>
              <w:top w:w="0" w:type="dxa"/>
              <w:left w:w="0" w:type="dxa"/>
              <w:bottom w:w="0" w:type="dxa"/>
              <w:right w:w="0" w:type="dxa"/>
            </w:tcMar>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p>
        </w:tc>
        <w:tc>
          <w:tcPr>
            <w:tcW w:w="245" w:type="pct"/>
            <w:shd w:val="clear" w:color="auto" w:fill="FFFFFF"/>
            <w:tcMar>
              <w:top w:w="0" w:type="dxa"/>
              <w:left w:w="0" w:type="dxa"/>
              <w:bottom w:w="0" w:type="dxa"/>
              <w:right w:w="0" w:type="dxa"/>
            </w:tcMar>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rFonts w:hint="eastAsia"/>
                <w:b/>
                <w:bCs/>
                <w:color w:val="000000" w:themeColor="text1"/>
                <w:sz w:val="21"/>
                <w:szCs w:val="21"/>
                <w:u w:val="single"/>
                <w14:textFill>
                  <w14:solidFill>
                    <w14:schemeClr w14:val="tx1"/>
                  </w14:solidFill>
                </w14:textFill>
              </w:rPr>
              <w:t>东</w:t>
            </w:r>
          </w:p>
        </w:tc>
        <w:tc>
          <w:tcPr>
            <w:tcW w:w="214" w:type="pct"/>
            <w:shd w:val="clear" w:color="auto" w:fill="FFFFFF"/>
            <w:tcMar>
              <w:top w:w="0" w:type="dxa"/>
              <w:left w:w="0" w:type="dxa"/>
              <w:bottom w:w="0" w:type="dxa"/>
              <w:right w:w="0" w:type="dxa"/>
            </w:tcMar>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rFonts w:hint="eastAsia"/>
                <w:b/>
                <w:bCs/>
                <w:color w:val="000000" w:themeColor="text1"/>
                <w:sz w:val="21"/>
                <w:szCs w:val="21"/>
                <w:u w:val="single"/>
                <w14:textFill>
                  <w14:solidFill>
                    <w14:schemeClr w14:val="tx1"/>
                  </w14:solidFill>
                </w14:textFill>
              </w:rPr>
              <w:t>南</w:t>
            </w:r>
          </w:p>
        </w:tc>
        <w:tc>
          <w:tcPr>
            <w:tcW w:w="226" w:type="pct"/>
            <w:shd w:val="clear" w:color="auto" w:fill="FFFFFF"/>
            <w:tcMar>
              <w:top w:w="0" w:type="dxa"/>
              <w:left w:w="0" w:type="dxa"/>
              <w:bottom w:w="0" w:type="dxa"/>
              <w:right w:w="0" w:type="dxa"/>
            </w:tcMar>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rFonts w:hint="eastAsia"/>
                <w:b/>
                <w:bCs/>
                <w:color w:val="000000" w:themeColor="text1"/>
                <w:sz w:val="21"/>
                <w:szCs w:val="21"/>
                <w:u w:val="single"/>
                <w14:textFill>
                  <w14:solidFill>
                    <w14:schemeClr w14:val="tx1"/>
                  </w14:solidFill>
                </w14:textFill>
              </w:rPr>
              <w:t>西</w:t>
            </w:r>
          </w:p>
        </w:tc>
        <w:tc>
          <w:tcPr>
            <w:tcW w:w="201" w:type="pct"/>
            <w:shd w:val="clear" w:color="auto" w:fill="FFFFFF"/>
            <w:tcMar>
              <w:top w:w="0" w:type="dxa"/>
              <w:left w:w="0" w:type="dxa"/>
              <w:bottom w:w="0" w:type="dxa"/>
              <w:right w:w="0" w:type="dxa"/>
            </w:tcMar>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rFonts w:hint="eastAsia"/>
                <w:b/>
                <w:bCs/>
                <w:color w:val="000000" w:themeColor="text1"/>
                <w:sz w:val="21"/>
                <w:szCs w:val="21"/>
                <w:u w:val="single"/>
                <w14:textFill>
                  <w14:solidFill>
                    <w14:schemeClr w14:val="tx1"/>
                  </w14:solidFill>
                </w14:textFill>
              </w:rPr>
              <w:t>北</w:t>
            </w:r>
          </w:p>
        </w:tc>
        <w:tc>
          <w:tcPr>
            <w:tcW w:w="217" w:type="pct"/>
            <w:shd w:val="clear" w:color="auto" w:fill="FFFFFF"/>
            <w:tcMar>
              <w:top w:w="0" w:type="dxa"/>
              <w:left w:w="0" w:type="dxa"/>
              <w:bottom w:w="0" w:type="dxa"/>
              <w:right w:w="0" w:type="dxa"/>
            </w:tcMar>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249" w:type="pct"/>
            <w:shd w:val="clear" w:color="auto" w:fill="FFFFFF"/>
            <w:tcMar>
              <w:top w:w="0" w:type="dxa"/>
              <w:left w:w="0" w:type="dxa"/>
              <w:bottom w:w="0" w:type="dxa"/>
              <w:right w:w="0" w:type="dxa"/>
            </w:tcMar>
            <w:vAlign w:val="center"/>
          </w:tcPr>
          <w:p>
            <w:pPr>
              <w:spacing w:line="240" w:lineRule="auto"/>
              <w:ind w:firstLine="0" w:firstLineChars="0"/>
              <w:jc w:val="center"/>
              <w:rPr>
                <w:color w:val="000000" w:themeColor="text1"/>
                <w:sz w:val="21"/>
                <w:u w:val="single"/>
                <w14:textFill>
                  <w14:solidFill>
                    <w14:schemeClr w14:val="tx1"/>
                  </w14:solidFill>
                </w14:textFill>
              </w:rPr>
            </w:pPr>
            <w:r>
              <w:rPr>
                <w:rFonts w:cs="Arial"/>
                <w:color w:val="000000" w:themeColor="text1"/>
                <w:sz w:val="21"/>
                <w:u w:val="single"/>
                <w14:textFill>
                  <w14:solidFill>
                    <w14:schemeClr w14:val="tx1"/>
                  </w14:solidFill>
                </w14:textFill>
              </w:rPr>
              <w:t>1</w:t>
            </w:r>
          </w:p>
        </w:tc>
        <w:tc>
          <w:tcPr>
            <w:tcW w:w="254"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深加工车间</w:t>
            </w:r>
          </w:p>
        </w:tc>
        <w:tc>
          <w:tcPr>
            <w:tcW w:w="255" w:type="pct"/>
            <w:shd w:val="clear" w:color="auto" w:fill="FFFFFF"/>
            <w:tcMar>
              <w:top w:w="0" w:type="dxa"/>
              <w:left w:w="0" w:type="dxa"/>
              <w:bottom w:w="0" w:type="dxa"/>
              <w:right w:w="0" w:type="dxa"/>
            </w:tcMar>
            <w:vAlign w:val="top"/>
          </w:tcPr>
          <w:p>
            <w:pPr>
              <w:spacing w:line="240" w:lineRule="auto"/>
              <w:ind w:firstLine="0" w:firstLineChars="0"/>
              <w:jc w:val="center"/>
              <w:rPr>
                <w:rFonts w:hint="default" w:ascii="Times New Roman" w:hAnsi="Times New Roman" w:eastAsia="宋体" w:cs="Arial"/>
                <w:color w:val="000000" w:themeColor="text1"/>
                <w:kern w:val="2"/>
                <w:sz w:val="21"/>
                <w:szCs w:val="24"/>
                <w:u w:val="single"/>
                <w:lang w:val="en-US" w:eastAsia="zh-CN" w:bidi="ar-SA"/>
                <w14:textFill>
                  <w14:solidFill>
                    <w14:schemeClr w14:val="tx1"/>
                  </w14:solidFill>
                </w14:textFill>
              </w:rPr>
            </w:pPr>
            <w:r>
              <w:rPr>
                <w:rFonts w:hint="eastAsia" w:ascii="Times New Roman" w:hAnsi="Times New Roman" w:eastAsia="宋体" w:cs="Arial"/>
                <w:color w:val="000000" w:themeColor="text1"/>
                <w:sz w:val="21"/>
                <w:u w:val="single"/>
                <w:lang w:val="en-US" w:eastAsia="zh-CN"/>
                <w14:textFill>
                  <w14:solidFill>
                    <w14:schemeClr w14:val="tx1"/>
                  </w14:solidFill>
                </w14:textFill>
              </w:rPr>
              <w:t>拌料装袋生产线</w:t>
            </w:r>
          </w:p>
        </w:tc>
        <w:tc>
          <w:tcPr>
            <w:tcW w:w="372"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ascii="Times New Roman" w:hAnsi="Times New Roman" w:eastAsia="宋体" w:cs="Arial"/>
                <w:color w:val="000000" w:themeColor="text1"/>
                <w:sz w:val="21"/>
                <w:u w:val="single"/>
                <w:lang w:val="en-US" w:eastAsia="zh-CN"/>
                <w14:textFill>
                  <w14:solidFill>
                    <w14:schemeClr w14:val="tx1"/>
                  </w14:solidFill>
                </w14:textFill>
              </w:rPr>
              <w:t>80</w:t>
            </w:r>
          </w:p>
        </w:tc>
        <w:tc>
          <w:tcPr>
            <w:tcW w:w="285"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ascii="Times New Roman" w:hAnsi="Times New Roman" w:eastAsia="宋体" w:cs="宋体"/>
                <w:color w:val="000000" w:themeColor="text1"/>
                <w:kern w:val="2"/>
                <w:sz w:val="21"/>
                <w:szCs w:val="22"/>
                <w:u w:val="single"/>
                <w:lang w:val="en-US" w:eastAsia="zh-CN" w:bidi="ar-SA"/>
                <w14:textFill>
                  <w14:solidFill>
                    <w14:schemeClr w14:val="tx1"/>
                  </w14:solidFill>
                </w14:textFill>
              </w:rPr>
            </w:pPr>
            <w:r>
              <w:rPr>
                <w:rFonts w:hint="eastAsia" w:cs="宋体"/>
                <w:color w:val="000000" w:themeColor="text1"/>
                <w:sz w:val="21"/>
                <w:szCs w:val="22"/>
                <w:u w:val="single"/>
                <w:lang w:val="en-US" w:eastAsia="zh-CN"/>
                <w14:textFill>
                  <w14:solidFill>
                    <w14:schemeClr w14:val="tx1"/>
                  </w14:solidFill>
                </w14:textFill>
              </w:rPr>
              <w:t>-16</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ascii="Times New Roman" w:hAnsi="Times New Roman" w:eastAsia="宋体" w:cs="宋体"/>
                <w:color w:val="000000" w:themeColor="text1"/>
                <w:kern w:val="2"/>
                <w:sz w:val="21"/>
                <w:szCs w:val="22"/>
                <w:u w:val="single"/>
                <w:lang w:val="en-US" w:eastAsia="zh-CN" w:bidi="ar-SA"/>
                <w14:textFill>
                  <w14:solidFill>
                    <w14:schemeClr w14:val="tx1"/>
                  </w14:solidFill>
                </w14:textFill>
              </w:rPr>
            </w:pPr>
            <w:r>
              <w:rPr>
                <w:rFonts w:hint="eastAsia" w:cs="宋体"/>
                <w:color w:val="000000" w:themeColor="text1"/>
                <w:sz w:val="21"/>
                <w:szCs w:val="22"/>
                <w:u w:val="single"/>
                <w:lang w:val="en-US" w:eastAsia="zh-CN"/>
                <w14:textFill>
                  <w14:solidFill>
                    <w14:schemeClr w14:val="tx1"/>
                  </w14:solidFill>
                </w14:textFill>
              </w:rPr>
              <w:t>9</w:t>
            </w:r>
          </w:p>
        </w:tc>
        <w:tc>
          <w:tcPr>
            <w:tcW w:w="165" w:type="pct"/>
            <w:shd w:val="clear" w:color="auto" w:fill="FFFFFF"/>
            <w:tcMar>
              <w:top w:w="0" w:type="dxa"/>
              <w:left w:w="0" w:type="dxa"/>
              <w:bottom w:w="0" w:type="dxa"/>
              <w:right w:w="0" w:type="dxa"/>
            </w:tcMar>
            <w:vAlign w:val="center"/>
          </w:tcPr>
          <w:p>
            <w:pPr>
              <w:spacing w:line="240" w:lineRule="auto"/>
              <w:ind w:firstLine="0" w:firstLineChars="0"/>
              <w:jc w:val="center"/>
              <w:rPr>
                <w:rFonts w:hint="eastAsia" w:ascii="Times New Roman" w:hAnsi="Times New Roman" w:eastAsia="宋体" w:cs="宋体"/>
                <w:color w:val="000000" w:themeColor="text1"/>
                <w:kern w:val="2"/>
                <w:sz w:val="21"/>
                <w:szCs w:val="22"/>
                <w:u w:val="single"/>
                <w:lang w:val="en-US" w:eastAsia="zh-CN" w:bidi="ar-SA"/>
                <w14:textFill>
                  <w14:solidFill>
                    <w14:schemeClr w14:val="tx1"/>
                  </w14:solidFill>
                </w14:textFill>
              </w:rPr>
            </w:pPr>
            <w:r>
              <w:rPr>
                <w:rFonts w:hint="eastAsia" w:cs="宋体"/>
                <w:color w:val="000000" w:themeColor="text1"/>
                <w:sz w:val="21"/>
                <w:szCs w:val="22"/>
                <w:u w:val="single"/>
                <w:lang w:val="en-US" w:eastAsia="zh-CN"/>
                <w14:textFill>
                  <w14:solidFill>
                    <w14:schemeClr w14:val="tx1"/>
                  </w14:solidFill>
                </w14:textFill>
              </w:rPr>
              <w:t>0</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20</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10</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eastAsia"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3</w:t>
            </w:r>
          </w:p>
        </w:tc>
        <w:tc>
          <w:tcPr>
            <w:tcW w:w="235"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10</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52.03</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58.05</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68.51</w:t>
            </w:r>
          </w:p>
        </w:tc>
        <w:tc>
          <w:tcPr>
            <w:tcW w:w="235"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58.05</w:t>
            </w:r>
          </w:p>
        </w:tc>
        <w:tc>
          <w:tcPr>
            <w:tcW w:w="271" w:type="pct"/>
            <w:vMerge w:val="restar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10</w:t>
            </w:r>
          </w:p>
        </w:tc>
        <w:tc>
          <w:tcPr>
            <w:tcW w:w="245"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color w:val="000000" w:themeColor="text1"/>
                <w:sz w:val="21"/>
                <w:u w:val="single"/>
                <w:lang w:val="en-US" w:eastAsia="zh-CN"/>
                <w14:textFill>
                  <w14:solidFill>
                    <w14:schemeClr w14:val="tx1"/>
                  </w14:solidFill>
                </w14:textFill>
              </w:rPr>
            </w:pPr>
            <w:r>
              <w:rPr>
                <w:rFonts w:hint="default"/>
                <w:color w:val="000000" w:themeColor="text1"/>
                <w:sz w:val="21"/>
                <w:u w:val="single"/>
                <w:lang w:val="en-US" w:eastAsia="zh-CN"/>
                <w14:textFill>
                  <w14:solidFill>
                    <w14:schemeClr w14:val="tx1"/>
                  </w14:solidFill>
                </w14:textFill>
              </w:rPr>
              <w:t>42.03</w:t>
            </w:r>
          </w:p>
        </w:tc>
        <w:tc>
          <w:tcPr>
            <w:tcW w:w="214" w:type="pct"/>
            <w:shd w:val="clear" w:color="auto" w:fill="FFFFFF"/>
            <w:tcMar>
              <w:top w:w="0" w:type="dxa"/>
              <w:left w:w="0" w:type="dxa"/>
              <w:bottom w:w="0" w:type="dxa"/>
              <w:right w:w="0" w:type="dxa"/>
            </w:tcMar>
            <w:vAlign w:val="center"/>
          </w:tcPr>
          <w:p>
            <w:pPr>
              <w:spacing w:line="240" w:lineRule="auto"/>
              <w:ind w:firstLine="0" w:firstLineChars="0"/>
              <w:jc w:val="center"/>
              <w:rPr>
                <w:rFonts w:hint="eastAsia"/>
                <w:color w:val="000000" w:themeColor="text1"/>
                <w:sz w:val="21"/>
                <w:u w:val="single"/>
                <w:lang w:val="en-US" w:eastAsia="zh-CN"/>
                <w14:textFill>
                  <w14:solidFill>
                    <w14:schemeClr w14:val="tx1"/>
                  </w14:solidFill>
                </w14:textFill>
              </w:rPr>
            </w:pPr>
            <w:r>
              <w:rPr>
                <w:rFonts w:hint="default"/>
                <w:color w:val="000000" w:themeColor="text1"/>
                <w:sz w:val="21"/>
                <w:u w:val="single"/>
                <w:lang w:val="en-US" w:eastAsia="zh-CN"/>
                <w14:textFill>
                  <w14:solidFill>
                    <w14:schemeClr w14:val="tx1"/>
                  </w14:solidFill>
                </w14:textFill>
              </w:rPr>
              <w:t>48.05</w:t>
            </w:r>
          </w:p>
        </w:tc>
        <w:tc>
          <w:tcPr>
            <w:tcW w:w="226" w:type="pct"/>
            <w:shd w:val="clear" w:color="auto" w:fill="FFFFFF"/>
            <w:tcMar>
              <w:top w:w="0" w:type="dxa"/>
              <w:left w:w="0" w:type="dxa"/>
              <w:bottom w:w="0" w:type="dxa"/>
              <w:right w:w="0" w:type="dxa"/>
            </w:tcMar>
            <w:vAlign w:val="center"/>
          </w:tcPr>
          <w:p>
            <w:pPr>
              <w:spacing w:line="240" w:lineRule="auto"/>
              <w:ind w:firstLine="0" w:firstLineChars="0"/>
              <w:jc w:val="center"/>
              <w:rPr>
                <w:rFonts w:hint="eastAsia"/>
                <w:color w:val="000000" w:themeColor="text1"/>
                <w:sz w:val="21"/>
                <w:u w:val="single"/>
                <w:lang w:val="en-US" w:eastAsia="zh-CN"/>
                <w14:textFill>
                  <w14:solidFill>
                    <w14:schemeClr w14:val="tx1"/>
                  </w14:solidFill>
                </w14:textFill>
              </w:rPr>
            </w:pPr>
            <w:r>
              <w:rPr>
                <w:rFonts w:hint="default"/>
                <w:color w:val="000000" w:themeColor="text1"/>
                <w:sz w:val="21"/>
                <w:u w:val="single"/>
                <w:lang w:val="en-US" w:eastAsia="zh-CN"/>
                <w14:textFill>
                  <w14:solidFill>
                    <w14:schemeClr w14:val="tx1"/>
                  </w14:solidFill>
                </w14:textFill>
              </w:rPr>
              <w:t>58.51</w:t>
            </w:r>
          </w:p>
        </w:tc>
        <w:tc>
          <w:tcPr>
            <w:tcW w:w="201" w:type="pct"/>
            <w:shd w:val="clear" w:color="auto" w:fill="FFFFFF"/>
            <w:tcMar>
              <w:top w:w="0" w:type="dxa"/>
              <w:left w:w="0" w:type="dxa"/>
              <w:bottom w:w="0" w:type="dxa"/>
              <w:right w:w="0" w:type="dxa"/>
            </w:tcMar>
            <w:vAlign w:val="center"/>
          </w:tcPr>
          <w:p>
            <w:pPr>
              <w:spacing w:line="240" w:lineRule="auto"/>
              <w:ind w:firstLine="0" w:firstLineChars="0"/>
              <w:jc w:val="center"/>
              <w:rPr>
                <w:rFonts w:hint="eastAsia"/>
                <w:color w:val="000000" w:themeColor="text1"/>
                <w:sz w:val="21"/>
                <w:u w:val="single"/>
                <w:lang w:val="en-US" w:eastAsia="zh-CN"/>
                <w14:textFill>
                  <w14:solidFill>
                    <w14:schemeClr w14:val="tx1"/>
                  </w14:solidFill>
                </w14:textFill>
              </w:rPr>
            </w:pPr>
            <w:r>
              <w:rPr>
                <w:rFonts w:hint="default"/>
                <w:color w:val="000000" w:themeColor="text1"/>
                <w:sz w:val="21"/>
                <w:u w:val="single"/>
                <w:lang w:val="en-US" w:eastAsia="zh-CN"/>
                <w14:textFill>
                  <w14:solidFill>
                    <w14:schemeClr w14:val="tx1"/>
                  </w14:solidFill>
                </w14:textFill>
              </w:rPr>
              <w:t>48.05</w:t>
            </w:r>
          </w:p>
        </w:tc>
        <w:tc>
          <w:tcPr>
            <w:tcW w:w="217" w:type="pct"/>
            <w:shd w:val="clear" w:color="auto" w:fill="FFFFFF"/>
            <w:tcMar>
              <w:top w:w="0" w:type="dxa"/>
              <w:left w:w="0" w:type="dxa"/>
              <w:bottom w:w="0" w:type="dxa"/>
              <w:right w:w="0" w:type="dxa"/>
            </w:tcMar>
            <w:vAlign w:val="center"/>
          </w:tcPr>
          <w:p>
            <w:pPr>
              <w:spacing w:line="240" w:lineRule="auto"/>
              <w:ind w:firstLine="0" w:firstLineChars="0"/>
              <w:jc w:val="center"/>
              <w:rPr>
                <w:color w:val="000000" w:themeColor="text1"/>
                <w:sz w:val="21"/>
                <w:u w:val="single"/>
                <w14:textFill>
                  <w14:solidFill>
                    <w14:schemeClr w14:val="tx1"/>
                  </w14:solidFill>
                </w14:textFill>
              </w:rPr>
            </w:pPr>
            <w:r>
              <w:rPr>
                <w:rFonts w:cs="Arial"/>
                <w:color w:val="000000" w:themeColor="text1"/>
                <w:sz w:val="21"/>
                <w:u w:val="singl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249" w:type="pct"/>
            <w:shd w:val="clear" w:color="auto" w:fill="FFFFFF"/>
            <w:tcMar>
              <w:top w:w="0" w:type="dxa"/>
              <w:left w:w="0" w:type="dxa"/>
              <w:bottom w:w="0" w:type="dxa"/>
              <w:right w:w="0" w:type="dxa"/>
            </w:tcMar>
            <w:vAlign w:val="center"/>
          </w:tcPr>
          <w:p>
            <w:pPr>
              <w:spacing w:line="240" w:lineRule="auto"/>
              <w:ind w:firstLine="0" w:firstLineChars="0"/>
              <w:jc w:val="center"/>
              <w:rPr>
                <w:color w:val="000000" w:themeColor="text1"/>
                <w:sz w:val="21"/>
                <w:u w:val="single"/>
                <w14:textFill>
                  <w14:solidFill>
                    <w14:schemeClr w14:val="tx1"/>
                  </w14:solidFill>
                </w14:textFill>
              </w:rPr>
            </w:pPr>
            <w:r>
              <w:rPr>
                <w:rFonts w:cs="Arial"/>
                <w:color w:val="000000" w:themeColor="text1"/>
                <w:sz w:val="21"/>
                <w:u w:val="single"/>
                <w14:textFill>
                  <w14:solidFill>
                    <w14:schemeClr w14:val="tx1"/>
                  </w14:solidFill>
                </w14:textFill>
              </w:rPr>
              <w:t>2</w:t>
            </w:r>
          </w:p>
        </w:tc>
        <w:tc>
          <w:tcPr>
            <w:tcW w:w="254" w:type="pct"/>
            <w:shd w:val="clear" w:color="auto" w:fill="FFFFFF"/>
            <w:tcMar>
              <w:top w:w="0" w:type="dxa"/>
              <w:left w:w="0" w:type="dxa"/>
              <w:bottom w:w="0" w:type="dxa"/>
              <w:right w:w="0" w:type="dxa"/>
            </w:tcMar>
            <w:vAlign w:val="center"/>
          </w:tcPr>
          <w:p>
            <w:pPr>
              <w:spacing w:line="240" w:lineRule="auto"/>
              <w:ind w:firstLine="0" w:firstLineChars="0"/>
              <w:jc w:val="center"/>
              <w:rPr>
                <w:color w:val="000000" w:themeColor="text1"/>
                <w:sz w:val="21"/>
                <w:u w:val="single"/>
                <w14:textFill>
                  <w14:solidFill>
                    <w14:schemeClr w14:val="tx1"/>
                  </w14:solidFill>
                </w14:textFill>
              </w:rPr>
            </w:pPr>
            <w:r>
              <w:rPr>
                <w:rFonts w:hint="eastAsia" w:ascii="Times New Roman" w:hAnsi="Times New Roman" w:eastAsia="宋体" w:cs="Times New Roman"/>
                <w:kern w:val="2"/>
                <w:sz w:val="21"/>
                <w:szCs w:val="28"/>
                <w:u w:val="single"/>
                <w:lang w:val="en-US" w:eastAsia="zh-CN" w:bidi="ar-SA"/>
              </w:rPr>
              <w:t>菌种培育基地</w:t>
            </w:r>
          </w:p>
        </w:tc>
        <w:tc>
          <w:tcPr>
            <w:tcW w:w="255" w:type="pct"/>
            <w:shd w:val="clear" w:color="auto" w:fill="FFFFFF"/>
            <w:tcMar>
              <w:top w:w="0" w:type="dxa"/>
              <w:left w:w="0" w:type="dxa"/>
              <w:bottom w:w="0" w:type="dxa"/>
              <w:right w:w="0" w:type="dxa"/>
            </w:tcMar>
            <w:vAlign w:val="top"/>
          </w:tcPr>
          <w:p>
            <w:pPr>
              <w:spacing w:line="240" w:lineRule="auto"/>
              <w:ind w:firstLine="0" w:firstLineChars="0"/>
              <w:jc w:val="center"/>
              <w:rPr>
                <w:rFonts w:hint="default" w:ascii="Times New Roman" w:hAnsi="Times New Roman" w:eastAsia="宋体" w:cs="Arial"/>
                <w:color w:val="000000" w:themeColor="text1"/>
                <w:kern w:val="2"/>
                <w:sz w:val="21"/>
                <w:szCs w:val="24"/>
                <w:u w:val="single"/>
                <w:lang w:val="en-US" w:eastAsia="zh-CN" w:bidi="ar-SA"/>
                <w14:textFill>
                  <w14:solidFill>
                    <w14:schemeClr w14:val="tx1"/>
                  </w14:solidFill>
                </w14:textFill>
              </w:rPr>
            </w:pPr>
            <w:r>
              <w:rPr>
                <w:rFonts w:hint="eastAsia" w:ascii="Times New Roman" w:hAnsi="Times New Roman" w:eastAsia="宋体" w:cs="Arial"/>
                <w:color w:val="000000" w:themeColor="text1"/>
                <w:sz w:val="21"/>
                <w:u w:val="single"/>
                <w:lang w:val="en-US" w:eastAsia="zh-CN"/>
                <w14:textFill>
                  <w14:solidFill>
                    <w14:schemeClr w14:val="tx1"/>
                  </w14:solidFill>
                </w14:textFill>
              </w:rPr>
              <w:t>灭菌设备</w:t>
            </w:r>
          </w:p>
        </w:tc>
        <w:tc>
          <w:tcPr>
            <w:tcW w:w="372"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ascii="Times New Roman" w:hAnsi="Times New Roman" w:eastAsia="宋体" w:cs="Arial"/>
                <w:color w:val="000000" w:themeColor="text1"/>
                <w:sz w:val="21"/>
                <w:u w:val="single"/>
                <w:lang w:val="en-US" w:eastAsia="zh-CN"/>
                <w14:textFill>
                  <w14:solidFill>
                    <w14:schemeClr w14:val="tx1"/>
                  </w14:solidFill>
                </w14:textFill>
              </w:rPr>
              <w:t>70</w:t>
            </w:r>
          </w:p>
        </w:tc>
        <w:tc>
          <w:tcPr>
            <w:tcW w:w="285"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84</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-22</w:t>
            </w:r>
          </w:p>
        </w:tc>
        <w:tc>
          <w:tcPr>
            <w:tcW w:w="165" w:type="pct"/>
            <w:shd w:val="clear" w:color="auto" w:fill="FFFFFF"/>
            <w:tcMar>
              <w:top w:w="0" w:type="dxa"/>
              <w:left w:w="0" w:type="dxa"/>
              <w:bottom w:w="0" w:type="dxa"/>
              <w:right w:w="0" w:type="dxa"/>
            </w:tcMar>
            <w:vAlign w:val="center"/>
          </w:tcPr>
          <w:p>
            <w:pPr>
              <w:spacing w:line="240" w:lineRule="auto"/>
              <w:ind w:firstLine="0" w:firstLineChars="0"/>
              <w:jc w:val="center"/>
              <w:rPr>
                <w:rFonts w:hint="eastAsia"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0</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70</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eastAsia"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5</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12</w:t>
            </w:r>
          </w:p>
        </w:tc>
        <w:tc>
          <w:tcPr>
            <w:tcW w:w="235"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30</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31.15</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54.07</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46.67</w:t>
            </w:r>
          </w:p>
        </w:tc>
        <w:tc>
          <w:tcPr>
            <w:tcW w:w="235"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38.51</w:t>
            </w:r>
          </w:p>
        </w:tc>
        <w:tc>
          <w:tcPr>
            <w:tcW w:w="271" w:type="pct"/>
            <w:vMerge w:val="continue"/>
            <w:shd w:val="clear" w:color="auto" w:fill="FFFFFF"/>
            <w:tcMar>
              <w:top w:w="0" w:type="dxa"/>
              <w:left w:w="0" w:type="dxa"/>
              <w:bottom w:w="0" w:type="dxa"/>
              <w:right w:w="0" w:type="dxa"/>
            </w:tcMar>
            <w:vAlign w:val="center"/>
          </w:tcPr>
          <w:p>
            <w:pPr>
              <w:spacing w:line="240" w:lineRule="auto"/>
              <w:ind w:firstLine="0" w:firstLineChars="0"/>
              <w:jc w:val="center"/>
              <w:rPr>
                <w:color w:val="000000" w:themeColor="text1"/>
                <w:sz w:val="21"/>
                <w:u w:val="single"/>
                <w14:textFill>
                  <w14:solidFill>
                    <w14:schemeClr w14:val="tx1"/>
                  </w14:solidFill>
                </w14:textFill>
              </w:rPr>
            </w:pPr>
          </w:p>
        </w:tc>
        <w:tc>
          <w:tcPr>
            <w:tcW w:w="245" w:type="pct"/>
            <w:shd w:val="clear" w:color="auto" w:fill="FFFFFF"/>
            <w:tcMar>
              <w:top w:w="0" w:type="dxa"/>
              <w:left w:w="0" w:type="dxa"/>
              <w:bottom w:w="0" w:type="dxa"/>
              <w:right w:w="0" w:type="dxa"/>
            </w:tcMar>
            <w:vAlign w:val="center"/>
          </w:tcPr>
          <w:p>
            <w:pPr>
              <w:spacing w:line="240" w:lineRule="auto"/>
              <w:ind w:firstLine="0" w:firstLineChars="0"/>
              <w:jc w:val="center"/>
              <w:rPr>
                <w:rFonts w:hint="eastAsia"/>
                <w:color w:val="000000" w:themeColor="text1"/>
                <w:sz w:val="21"/>
                <w:u w:val="single"/>
                <w:lang w:val="en-US" w:eastAsia="zh-CN"/>
                <w14:textFill>
                  <w14:solidFill>
                    <w14:schemeClr w14:val="tx1"/>
                  </w14:solidFill>
                </w14:textFill>
              </w:rPr>
            </w:pPr>
            <w:r>
              <w:rPr>
                <w:rFonts w:hint="default"/>
                <w:color w:val="000000" w:themeColor="text1"/>
                <w:sz w:val="21"/>
                <w:u w:val="single"/>
                <w:lang w:val="en-US" w:eastAsia="zh-CN"/>
                <w14:textFill>
                  <w14:solidFill>
                    <w14:schemeClr w14:val="tx1"/>
                  </w14:solidFill>
                </w14:textFill>
              </w:rPr>
              <w:t>21.15</w:t>
            </w:r>
          </w:p>
        </w:tc>
        <w:tc>
          <w:tcPr>
            <w:tcW w:w="214" w:type="pct"/>
            <w:shd w:val="clear" w:color="auto" w:fill="FFFFFF"/>
            <w:tcMar>
              <w:top w:w="0" w:type="dxa"/>
              <w:left w:w="0" w:type="dxa"/>
              <w:bottom w:w="0" w:type="dxa"/>
              <w:right w:w="0" w:type="dxa"/>
            </w:tcMar>
            <w:vAlign w:val="center"/>
          </w:tcPr>
          <w:p>
            <w:pPr>
              <w:spacing w:line="240" w:lineRule="auto"/>
              <w:ind w:firstLine="0" w:firstLineChars="0"/>
              <w:jc w:val="center"/>
              <w:rPr>
                <w:rFonts w:hint="eastAsia"/>
                <w:color w:val="000000" w:themeColor="text1"/>
                <w:sz w:val="21"/>
                <w:u w:val="single"/>
                <w:lang w:val="en-US" w:eastAsia="zh-CN"/>
                <w14:textFill>
                  <w14:solidFill>
                    <w14:schemeClr w14:val="tx1"/>
                  </w14:solidFill>
                </w14:textFill>
              </w:rPr>
            </w:pPr>
            <w:r>
              <w:rPr>
                <w:rFonts w:hint="default"/>
                <w:color w:val="000000" w:themeColor="text1"/>
                <w:sz w:val="21"/>
                <w:u w:val="single"/>
                <w:lang w:val="en-US" w:eastAsia="zh-CN"/>
                <w14:textFill>
                  <w14:solidFill>
                    <w14:schemeClr w14:val="tx1"/>
                  </w14:solidFill>
                </w14:textFill>
              </w:rPr>
              <w:t>44.07</w:t>
            </w:r>
          </w:p>
        </w:tc>
        <w:tc>
          <w:tcPr>
            <w:tcW w:w="226" w:type="pct"/>
            <w:shd w:val="clear" w:color="auto" w:fill="FFFFFF"/>
            <w:tcMar>
              <w:top w:w="0" w:type="dxa"/>
              <w:left w:w="0" w:type="dxa"/>
              <w:bottom w:w="0" w:type="dxa"/>
              <w:right w:w="0" w:type="dxa"/>
            </w:tcMar>
            <w:vAlign w:val="center"/>
          </w:tcPr>
          <w:p>
            <w:pPr>
              <w:spacing w:line="240" w:lineRule="auto"/>
              <w:ind w:firstLine="0" w:firstLineChars="0"/>
              <w:jc w:val="center"/>
              <w:rPr>
                <w:rFonts w:hint="eastAsia"/>
                <w:color w:val="000000" w:themeColor="text1"/>
                <w:sz w:val="21"/>
                <w:u w:val="single"/>
                <w:lang w:val="en-US" w:eastAsia="zh-CN"/>
                <w14:textFill>
                  <w14:solidFill>
                    <w14:schemeClr w14:val="tx1"/>
                  </w14:solidFill>
                </w14:textFill>
              </w:rPr>
            </w:pPr>
            <w:r>
              <w:rPr>
                <w:rFonts w:hint="default"/>
                <w:color w:val="000000" w:themeColor="text1"/>
                <w:sz w:val="21"/>
                <w:u w:val="single"/>
                <w:lang w:val="en-US" w:eastAsia="zh-CN"/>
                <w14:textFill>
                  <w14:solidFill>
                    <w14:schemeClr w14:val="tx1"/>
                  </w14:solidFill>
                </w14:textFill>
              </w:rPr>
              <w:t>36.67</w:t>
            </w:r>
          </w:p>
        </w:tc>
        <w:tc>
          <w:tcPr>
            <w:tcW w:w="201" w:type="pct"/>
            <w:shd w:val="clear" w:color="auto" w:fill="FFFFFF"/>
            <w:tcMar>
              <w:top w:w="0" w:type="dxa"/>
              <w:left w:w="0" w:type="dxa"/>
              <w:bottom w:w="0" w:type="dxa"/>
              <w:right w:w="0" w:type="dxa"/>
            </w:tcMar>
            <w:vAlign w:val="center"/>
          </w:tcPr>
          <w:p>
            <w:pPr>
              <w:spacing w:line="240" w:lineRule="auto"/>
              <w:ind w:firstLine="0" w:firstLineChars="0"/>
              <w:jc w:val="center"/>
              <w:rPr>
                <w:rFonts w:hint="eastAsia"/>
                <w:color w:val="000000" w:themeColor="text1"/>
                <w:sz w:val="21"/>
                <w:u w:val="single"/>
                <w:lang w:val="en-US" w:eastAsia="zh-CN"/>
                <w14:textFill>
                  <w14:solidFill>
                    <w14:schemeClr w14:val="tx1"/>
                  </w14:solidFill>
                </w14:textFill>
              </w:rPr>
            </w:pPr>
            <w:r>
              <w:rPr>
                <w:rFonts w:hint="default"/>
                <w:color w:val="000000" w:themeColor="text1"/>
                <w:sz w:val="21"/>
                <w:u w:val="single"/>
                <w:lang w:val="en-US" w:eastAsia="zh-CN"/>
                <w14:textFill>
                  <w14:solidFill>
                    <w14:schemeClr w14:val="tx1"/>
                  </w14:solidFill>
                </w14:textFill>
              </w:rPr>
              <w:t>28.51</w:t>
            </w:r>
          </w:p>
        </w:tc>
        <w:tc>
          <w:tcPr>
            <w:tcW w:w="217" w:type="pct"/>
            <w:shd w:val="clear" w:color="auto" w:fill="FFFFFF"/>
            <w:tcMar>
              <w:top w:w="0" w:type="dxa"/>
              <w:left w:w="0" w:type="dxa"/>
              <w:bottom w:w="0" w:type="dxa"/>
              <w:right w:w="0" w:type="dxa"/>
            </w:tcMar>
            <w:vAlign w:val="center"/>
          </w:tcPr>
          <w:p>
            <w:pPr>
              <w:spacing w:line="240" w:lineRule="auto"/>
              <w:ind w:firstLine="0" w:firstLineChars="0"/>
              <w:jc w:val="center"/>
              <w:rPr>
                <w:color w:val="000000" w:themeColor="text1"/>
                <w:sz w:val="21"/>
                <w:u w:val="single"/>
                <w14:textFill>
                  <w14:solidFill>
                    <w14:schemeClr w14:val="tx1"/>
                  </w14:solidFill>
                </w14:textFill>
              </w:rPr>
            </w:pPr>
            <w:r>
              <w:rPr>
                <w:rFonts w:cs="Arial"/>
                <w:color w:val="000000" w:themeColor="text1"/>
                <w:sz w:val="21"/>
                <w:u w:val="singl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249" w:type="pct"/>
            <w:shd w:val="clear" w:color="auto" w:fill="FFFFFF"/>
            <w:tcMar>
              <w:top w:w="0" w:type="dxa"/>
              <w:left w:w="0" w:type="dxa"/>
              <w:bottom w:w="0" w:type="dxa"/>
              <w:right w:w="0" w:type="dxa"/>
            </w:tcMar>
            <w:vAlign w:val="center"/>
          </w:tcPr>
          <w:p>
            <w:pPr>
              <w:spacing w:line="240" w:lineRule="auto"/>
              <w:ind w:firstLine="0" w:firstLineChars="0"/>
              <w:jc w:val="center"/>
              <w:rPr>
                <w:color w:val="000000" w:themeColor="text1"/>
                <w:sz w:val="21"/>
                <w:u w:val="single"/>
                <w14:textFill>
                  <w14:solidFill>
                    <w14:schemeClr w14:val="tx1"/>
                  </w14:solidFill>
                </w14:textFill>
              </w:rPr>
            </w:pPr>
            <w:r>
              <w:rPr>
                <w:rFonts w:cs="Arial"/>
                <w:color w:val="000000" w:themeColor="text1"/>
                <w:sz w:val="21"/>
                <w:u w:val="single"/>
                <w14:textFill>
                  <w14:solidFill>
                    <w14:schemeClr w14:val="tx1"/>
                  </w14:solidFill>
                </w14:textFill>
              </w:rPr>
              <w:t>3</w:t>
            </w:r>
          </w:p>
        </w:tc>
        <w:tc>
          <w:tcPr>
            <w:tcW w:w="254" w:type="pct"/>
            <w:shd w:val="clear" w:color="auto" w:fill="FFFFFF"/>
            <w:tcMar>
              <w:top w:w="0" w:type="dxa"/>
              <w:left w:w="0" w:type="dxa"/>
              <w:bottom w:w="0" w:type="dxa"/>
              <w:right w:w="0" w:type="dxa"/>
            </w:tcMar>
            <w:vAlign w:val="center"/>
          </w:tcPr>
          <w:p>
            <w:pPr>
              <w:spacing w:line="240" w:lineRule="auto"/>
              <w:ind w:firstLine="0" w:firstLineChars="0"/>
              <w:jc w:val="center"/>
              <w:rPr>
                <w:rFonts w:hint="eastAsia" w:eastAsia="宋体"/>
                <w:color w:val="000000" w:themeColor="text1"/>
                <w:sz w:val="21"/>
                <w:u w:val="single"/>
                <w:lang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锅炉房</w:t>
            </w:r>
          </w:p>
        </w:tc>
        <w:tc>
          <w:tcPr>
            <w:tcW w:w="255" w:type="pct"/>
            <w:shd w:val="clear" w:color="auto" w:fill="FFFFFF"/>
            <w:tcMar>
              <w:top w:w="0" w:type="dxa"/>
              <w:left w:w="0" w:type="dxa"/>
              <w:bottom w:w="0" w:type="dxa"/>
              <w:right w:w="0" w:type="dxa"/>
            </w:tcMar>
            <w:vAlign w:val="top"/>
          </w:tcPr>
          <w:p>
            <w:pPr>
              <w:spacing w:line="240" w:lineRule="auto"/>
              <w:ind w:firstLine="0" w:firstLineChars="0"/>
              <w:jc w:val="center"/>
              <w:rPr>
                <w:rFonts w:hint="default" w:ascii="Times New Roman" w:hAnsi="Times New Roman" w:eastAsia="宋体" w:cs="Arial"/>
                <w:color w:val="000000" w:themeColor="text1"/>
                <w:kern w:val="2"/>
                <w:sz w:val="21"/>
                <w:szCs w:val="24"/>
                <w:u w:val="single"/>
                <w:lang w:val="en-US" w:eastAsia="zh-CN" w:bidi="ar-SA"/>
                <w14:textFill>
                  <w14:solidFill>
                    <w14:schemeClr w14:val="tx1"/>
                  </w14:solidFill>
                </w14:textFill>
              </w:rPr>
            </w:pPr>
            <w:r>
              <w:rPr>
                <w:rFonts w:hint="eastAsia" w:ascii="Times New Roman" w:hAnsi="Times New Roman" w:eastAsia="宋体" w:cs="Arial"/>
                <w:color w:val="000000" w:themeColor="text1"/>
                <w:sz w:val="21"/>
                <w:u w:val="single"/>
                <w:lang w:val="en-US" w:eastAsia="zh-CN"/>
                <w14:textFill>
                  <w14:solidFill>
                    <w14:schemeClr w14:val="tx1"/>
                  </w14:solidFill>
                </w14:textFill>
              </w:rPr>
              <w:t>生物质锅炉</w:t>
            </w:r>
          </w:p>
        </w:tc>
        <w:tc>
          <w:tcPr>
            <w:tcW w:w="372"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ascii="Times New Roman" w:hAnsi="Times New Roman" w:eastAsia="宋体" w:cs="Arial"/>
                <w:color w:val="000000" w:themeColor="text1"/>
                <w:sz w:val="21"/>
                <w:u w:val="single"/>
                <w:lang w:val="en-US" w:eastAsia="zh-CN"/>
                <w14:textFill>
                  <w14:solidFill>
                    <w14:schemeClr w14:val="tx1"/>
                  </w14:solidFill>
                </w14:textFill>
              </w:rPr>
              <w:t>85</w:t>
            </w:r>
          </w:p>
        </w:tc>
        <w:tc>
          <w:tcPr>
            <w:tcW w:w="285"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-128</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21</w:t>
            </w:r>
          </w:p>
        </w:tc>
        <w:tc>
          <w:tcPr>
            <w:tcW w:w="165" w:type="pct"/>
            <w:shd w:val="clear" w:color="auto" w:fill="FFFFFF"/>
            <w:tcMar>
              <w:top w:w="0" w:type="dxa"/>
              <w:left w:w="0" w:type="dxa"/>
              <w:bottom w:w="0" w:type="dxa"/>
              <w:right w:w="0" w:type="dxa"/>
            </w:tcMar>
            <w:vAlign w:val="center"/>
          </w:tcPr>
          <w:p>
            <w:pPr>
              <w:spacing w:line="240" w:lineRule="auto"/>
              <w:ind w:firstLine="0" w:firstLineChars="0"/>
              <w:jc w:val="center"/>
              <w:rPr>
                <w:rFonts w:hint="eastAsia"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0</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eastAsia"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6</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eastAsia"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5</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3</w:t>
            </w:r>
          </w:p>
        </w:tc>
        <w:tc>
          <w:tcPr>
            <w:tcW w:w="235"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6</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67.49</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69.07</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73.51</w:t>
            </w:r>
          </w:p>
        </w:tc>
        <w:tc>
          <w:tcPr>
            <w:tcW w:w="235"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67.49</w:t>
            </w:r>
          </w:p>
        </w:tc>
        <w:tc>
          <w:tcPr>
            <w:tcW w:w="271" w:type="pct"/>
            <w:vMerge w:val="continue"/>
            <w:shd w:val="clear" w:color="auto" w:fill="FFFFFF"/>
            <w:tcMar>
              <w:top w:w="0" w:type="dxa"/>
              <w:left w:w="0" w:type="dxa"/>
              <w:bottom w:w="0" w:type="dxa"/>
              <w:right w:w="0" w:type="dxa"/>
            </w:tcMar>
            <w:vAlign w:val="center"/>
          </w:tcPr>
          <w:p>
            <w:pPr>
              <w:spacing w:line="240" w:lineRule="auto"/>
              <w:ind w:firstLine="0" w:firstLineChars="0"/>
              <w:jc w:val="center"/>
              <w:rPr>
                <w:color w:val="000000" w:themeColor="text1"/>
                <w:sz w:val="21"/>
                <w:u w:val="single"/>
                <w14:textFill>
                  <w14:solidFill>
                    <w14:schemeClr w14:val="tx1"/>
                  </w14:solidFill>
                </w14:textFill>
              </w:rPr>
            </w:pPr>
          </w:p>
        </w:tc>
        <w:tc>
          <w:tcPr>
            <w:tcW w:w="245" w:type="pct"/>
            <w:shd w:val="clear" w:color="auto" w:fill="FFFFFF"/>
            <w:tcMar>
              <w:top w:w="0" w:type="dxa"/>
              <w:left w:w="0" w:type="dxa"/>
              <w:bottom w:w="0" w:type="dxa"/>
              <w:right w:w="0" w:type="dxa"/>
            </w:tcMar>
            <w:vAlign w:val="center"/>
          </w:tcPr>
          <w:p>
            <w:pPr>
              <w:spacing w:line="240" w:lineRule="auto"/>
              <w:ind w:firstLine="0" w:firstLineChars="0"/>
              <w:jc w:val="center"/>
              <w:rPr>
                <w:rFonts w:hint="eastAsia"/>
                <w:color w:val="000000" w:themeColor="text1"/>
                <w:sz w:val="21"/>
                <w:u w:val="single"/>
                <w:lang w:val="en-US" w:eastAsia="zh-CN"/>
                <w14:textFill>
                  <w14:solidFill>
                    <w14:schemeClr w14:val="tx1"/>
                  </w14:solidFill>
                </w14:textFill>
              </w:rPr>
            </w:pPr>
            <w:r>
              <w:rPr>
                <w:rFonts w:hint="default"/>
                <w:color w:val="000000" w:themeColor="text1"/>
                <w:sz w:val="21"/>
                <w:u w:val="single"/>
                <w:lang w:val="en-US" w:eastAsia="zh-CN"/>
                <w14:textFill>
                  <w14:solidFill>
                    <w14:schemeClr w14:val="tx1"/>
                  </w14:solidFill>
                </w14:textFill>
              </w:rPr>
              <w:t>57.49</w:t>
            </w:r>
          </w:p>
        </w:tc>
        <w:tc>
          <w:tcPr>
            <w:tcW w:w="214" w:type="pct"/>
            <w:shd w:val="clear" w:color="auto" w:fill="FFFFFF"/>
            <w:tcMar>
              <w:top w:w="0" w:type="dxa"/>
              <w:left w:w="0" w:type="dxa"/>
              <w:bottom w:w="0" w:type="dxa"/>
              <w:right w:w="0" w:type="dxa"/>
            </w:tcMar>
            <w:vAlign w:val="center"/>
          </w:tcPr>
          <w:p>
            <w:pPr>
              <w:spacing w:line="240" w:lineRule="auto"/>
              <w:ind w:firstLine="0" w:firstLineChars="0"/>
              <w:jc w:val="center"/>
              <w:rPr>
                <w:rFonts w:hint="eastAsia"/>
                <w:color w:val="000000" w:themeColor="text1"/>
                <w:sz w:val="21"/>
                <w:u w:val="single"/>
                <w:lang w:val="en-US" w:eastAsia="zh-CN"/>
                <w14:textFill>
                  <w14:solidFill>
                    <w14:schemeClr w14:val="tx1"/>
                  </w14:solidFill>
                </w14:textFill>
              </w:rPr>
            </w:pPr>
            <w:r>
              <w:rPr>
                <w:rFonts w:hint="default"/>
                <w:color w:val="000000" w:themeColor="text1"/>
                <w:sz w:val="21"/>
                <w:u w:val="single"/>
                <w:lang w:val="en-US" w:eastAsia="zh-CN"/>
                <w14:textFill>
                  <w14:solidFill>
                    <w14:schemeClr w14:val="tx1"/>
                  </w14:solidFill>
                </w14:textFill>
              </w:rPr>
              <w:t>59.07</w:t>
            </w:r>
          </w:p>
        </w:tc>
        <w:tc>
          <w:tcPr>
            <w:tcW w:w="226" w:type="pct"/>
            <w:shd w:val="clear" w:color="auto" w:fill="FFFFFF"/>
            <w:tcMar>
              <w:top w:w="0" w:type="dxa"/>
              <w:left w:w="0" w:type="dxa"/>
              <w:bottom w:w="0" w:type="dxa"/>
              <w:right w:w="0" w:type="dxa"/>
            </w:tcMar>
            <w:vAlign w:val="center"/>
          </w:tcPr>
          <w:p>
            <w:pPr>
              <w:spacing w:line="240" w:lineRule="auto"/>
              <w:ind w:firstLine="0" w:firstLineChars="0"/>
              <w:jc w:val="center"/>
              <w:rPr>
                <w:rFonts w:hint="eastAsia"/>
                <w:color w:val="000000" w:themeColor="text1"/>
                <w:sz w:val="21"/>
                <w:u w:val="single"/>
                <w:lang w:val="en-US" w:eastAsia="zh-CN"/>
                <w14:textFill>
                  <w14:solidFill>
                    <w14:schemeClr w14:val="tx1"/>
                  </w14:solidFill>
                </w14:textFill>
              </w:rPr>
            </w:pPr>
            <w:r>
              <w:rPr>
                <w:rFonts w:hint="default"/>
                <w:color w:val="000000" w:themeColor="text1"/>
                <w:sz w:val="21"/>
                <w:u w:val="single"/>
                <w:lang w:val="en-US" w:eastAsia="zh-CN"/>
                <w14:textFill>
                  <w14:solidFill>
                    <w14:schemeClr w14:val="tx1"/>
                  </w14:solidFill>
                </w14:textFill>
              </w:rPr>
              <w:t>63.51</w:t>
            </w:r>
          </w:p>
        </w:tc>
        <w:tc>
          <w:tcPr>
            <w:tcW w:w="201" w:type="pct"/>
            <w:shd w:val="clear" w:color="auto" w:fill="FFFFFF"/>
            <w:tcMar>
              <w:top w:w="0" w:type="dxa"/>
              <w:left w:w="0" w:type="dxa"/>
              <w:bottom w:w="0" w:type="dxa"/>
              <w:right w:w="0" w:type="dxa"/>
            </w:tcMar>
            <w:vAlign w:val="center"/>
          </w:tcPr>
          <w:p>
            <w:pPr>
              <w:spacing w:line="240" w:lineRule="auto"/>
              <w:ind w:firstLine="0" w:firstLineChars="0"/>
              <w:jc w:val="center"/>
              <w:rPr>
                <w:rFonts w:hint="eastAsia"/>
                <w:color w:val="000000" w:themeColor="text1"/>
                <w:sz w:val="21"/>
                <w:u w:val="single"/>
                <w:lang w:val="en-US" w:eastAsia="zh-CN"/>
                <w14:textFill>
                  <w14:solidFill>
                    <w14:schemeClr w14:val="tx1"/>
                  </w14:solidFill>
                </w14:textFill>
              </w:rPr>
            </w:pPr>
            <w:r>
              <w:rPr>
                <w:rFonts w:hint="default"/>
                <w:color w:val="000000" w:themeColor="text1"/>
                <w:sz w:val="21"/>
                <w:u w:val="single"/>
                <w:lang w:val="en-US" w:eastAsia="zh-CN"/>
                <w14:textFill>
                  <w14:solidFill>
                    <w14:schemeClr w14:val="tx1"/>
                  </w14:solidFill>
                </w14:textFill>
              </w:rPr>
              <w:t>57.49</w:t>
            </w:r>
          </w:p>
        </w:tc>
        <w:tc>
          <w:tcPr>
            <w:tcW w:w="217" w:type="pct"/>
            <w:shd w:val="clear" w:color="auto" w:fill="FFFFFF"/>
            <w:tcMar>
              <w:top w:w="0" w:type="dxa"/>
              <w:left w:w="0" w:type="dxa"/>
              <w:bottom w:w="0" w:type="dxa"/>
              <w:right w:w="0" w:type="dxa"/>
            </w:tcMar>
            <w:vAlign w:val="center"/>
          </w:tcPr>
          <w:p>
            <w:pPr>
              <w:spacing w:line="240" w:lineRule="auto"/>
              <w:ind w:firstLine="0" w:firstLineChars="0"/>
              <w:jc w:val="center"/>
              <w:rPr>
                <w:color w:val="000000" w:themeColor="text1"/>
                <w:sz w:val="21"/>
                <w:u w:val="single"/>
                <w14:textFill>
                  <w14:solidFill>
                    <w14:schemeClr w14:val="tx1"/>
                  </w14:solidFill>
                </w14:textFill>
              </w:rPr>
            </w:pPr>
            <w:r>
              <w:rPr>
                <w:rFonts w:cs="Arial"/>
                <w:color w:val="000000" w:themeColor="text1"/>
                <w:sz w:val="21"/>
                <w:u w:val="singl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249" w:type="pct"/>
            <w:shd w:val="clear" w:color="auto" w:fill="FFFFFF"/>
            <w:tcMar>
              <w:top w:w="0" w:type="dxa"/>
              <w:left w:w="0" w:type="dxa"/>
              <w:bottom w:w="0" w:type="dxa"/>
              <w:right w:w="0" w:type="dxa"/>
            </w:tcMar>
            <w:vAlign w:val="center"/>
          </w:tcPr>
          <w:p>
            <w:pPr>
              <w:spacing w:line="240" w:lineRule="auto"/>
              <w:ind w:firstLine="0" w:firstLineChars="0"/>
              <w:jc w:val="center"/>
              <w:rPr>
                <w:color w:val="000000" w:themeColor="text1"/>
                <w:sz w:val="21"/>
                <w:u w:val="single"/>
                <w14:textFill>
                  <w14:solidFill>
                    <w14:schemeClr w14:val="tx1"/>
                  </w14:solidFill>
                </w14:textFill>
              </w:rPr>
            </w:pPr>
            <w:r>
              <w:rPr>
                <w:rFonts w:cs="Arial"/>
                <w:color w:val="000000" w:themeColor="text1"/>
                <w:sz w:val="21"/>
                <w:u w:val="single"/>
                <w14:textFill>
                  <w14:solidFill>
                    <w14:schemeClr w14:val="tx1"/>
                  </w14:solidFill>
                </w14:textFill>
              </w:rPr>
              <w:t>4</w:t>
            </w:r>
          </w:p>
        </w:tc>
        <w:tc>
          <w:tcPr>
            <w:tcW w:w="254" w:type="pct"/>
            <w:shd w:val="clear" w:color="auto" w:fill="FFFFFF"/>
            <w:tcMar>
              <w:top w:w="0" w:type="dxa"/>
              <w:left w:w="0" w:type="dxa"/>
              <w:bottom w:w="0" w:type="dxa"/>
              <w:right w:w="0" w:type="dxa"/>
            </w:tcMar>
            <w:vAlign w:val="center"/>
          </w:tcPr>
          <w:p>
            <w:pPr>
              <w:spacing w:line="240" w:lineRule="auto"/>
              <w:ind w:firstLine="0" w:firstLineChars="0"/>
              <w:jc w:val="center"/>
              <w:rPr>
                <w:color w:val="000000" w:themeColor="text1"/>
                <w:sz w:val="21"/>
                <w:u w:val="single"/>
                <w14:textFill>
                  <w14:solidFill>
                    <w14:schemeClr w14:val="tx1"/>
                  </w14:solidFill>
                </w14:textFill>
              </w:rPr>
            </w:pPr>
            <w:r>
              <w:rPr>
                <w:rFonts w:hint="eastAsia" w:ascii="Times New Roman" w:hAnsi="Times New Roman" w:eastAsia="宋体" w:cs="Times New Roman"/>
                <w:kern w:val="2"/>
                <w:sz w:val="21"/>
                <w:szCs w:val="28"/>
                <w:u w:val="single"/>
                <w:lang w:val="en-US" w:eastAsia="zh-CN" w:bidi="ar-SA"/>
              </w:rPr>
              <w:t>冷藏库房</w:t>
            </w:r>
          </w:p>
        </w:tc>
        <w:tc>
          <w:tcPr>
            <w:tcW w:w="255" w:type="pct"/>
            <w:shd w:val="clear" w:color="auto" w:fill="FFFFFF"/>
            <w:tcMar>
              <w:top w:w="0" w:type="dxa"/>
              <w:left w:w="0" w:type="dxa"/>
              <w:bottom w:w="0" w:type="dxa"/>
              <w:right w:w="0" w:type="dxa"/>
            </w:tcMar>
            <w:vAlign w:val="top"/>
          </w:tcPr>
          <w:p>
            <w:pPr>
              <w:spacing w:line="240" w:lineRule="auto"/>
              <w:ind w:firstLine="0" w:firstLineChars="0"/>
              <w:jc w:val="center"/>
              <w:rPr>
                <w:rFonts w:hint="eastAsia" w:ascii="Times New Roman" w:hAnsi="Times New Roman" w:eastAsia="宋体" w:cs="Arial"/>
                <w:color w:val="000000" w:themeColor="text1"/>
                <w:kern w:val="2"/>
                <w:sz w:val="21"/>
                <w:szCs w:val="24"/>
                <w:u w:val="single"/>
                <w:lang w:val="en-US" w:eastAsia="zh-CN" w:bidi="ar-SA"/>
                <w14:textFill>
                  <w14:solidFill>
                    <w14:schemeClr w14:val="tx1"/>
                  </w14:solidFill>
                </w14:textFill>
              </w:rPr>
            </w:pPr>
            <w:r>
              <w:rPr>
                <w:rFonts w:hint="eastAsia" w:ascii="Times New Roman" w:hAnsi="Times New Roman" w:eastAsia="宋体" w:cs="Arial"/>
                <w:color w:val="000000" w:themeColor="text1"/>
                <w:sz w:val="21"/>
                <w:u w:val="single"/>
                <w:lang w:val="en-US" w:eastAsia="zh-CN"/>
                <w14:textFill>
                  <w14:solidFill>
                    <w14:schemeClr w14:val="tx1"/>
                  </w14:solidFill>
                </w14:textFill>
              </w:rPr>
              <w:t>制冷系统</w:t>
            </w:r>
          </w:p>
        </w:tc>
        <w:tc>
          <w:tcPr>
            <w:tcW w:w="372"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ascii="Times New Roman" w:hAnsi="Times New Roman" w:eastAsia="宋体" w:cs="Arial"/>
                <w:color w:val="000000" w:themeColor="text1"/>
                <w:sz w:val="21"/>
                <w:u w:val="single"/>
                <w:lang w:val="en-US" w:eastAsia="zh-CN"/>
                <w14:textFill>
                  <w14:solidFill>
                    <w14:schemeClr w14:val="tx1"/>
                  </w14:solidFill>
                </w14:textFill>
              </w:rPr>
              <w:t>80</w:t>
            </w:r>
          </w:p>
        </w:tc>
        <w:tc>
          <w:tcPr>
            <w:tcW w:w="285"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161</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-60</w:t>
            </w:r>
          </w:p>
        </w:tc>
        <w:tc>
          <w:tcPr>
            <w:tcW w:w="165" w:type="pct"/>
            <w:shd w:val="clear" w:color="auto" w:fill="FFFFFF"/>
            <w:tcMar>
              <w:top w:w="0" w:type="dxa"/>
              <w:left w:w="0" w:type="dxa"/>
              <w:bottom w:w="0" w:type="dxa"/>
              <w:right w:w="0" w:type="dxa"/>
            </w:tcMar>
            <w:vAlign w:val="center"/>
          </w:tcPr>
          <w:p>
            <w:pPr>
              <w:spacing w:line="240" w:lineRule="auto"/>
              <w:ind w:firstLine="0" w:firstLineChars="0"/>
              <w:jc w:val="center"/>
              <w:rPr>
                <w:rFonts w:hint="eastAsia"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0</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13</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6</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86</w:t>
            </w:r>
          </w:p>
        </w:tc>
        <w:tc>
          <w:tcPr>
            <w:tcW w:w="235" w:type="pct"/>
            <w:shd w:val="clear" w:color="auto" w:fill="FFFFFF"/>
            <w:tcMar>
              <w:top w:w="0" w:type="dxa"/>
              <w:left w:w="0" w:type="dxa"/>
              <w:bottom w:w="0" w:type="dxa"/>
              <w:right w:w="0" w:type="dxa"/>
            </w:tcMar>
            <w:vAlign w:val="center"/>
          </w:tcPr>
          <w:p>
            <w:pPr>
              <w:spacing w:line="240" w:lineRule="auto"/>
              <w:ind w:firstLine="0" w:firstLineChars="0"/>
              <w:jc w:val="center"/>
              <w:rPr>
                <w:color w:val="000000" w:themeColor="text1"/>
                <w:sz w:val="21"/>
                <w:u w:val="single"/>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15</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55.77</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62.34</w:t>
            </w:r>
          </w:p>
        </w:tc>
        <w:tc>
          <w:tcPr>
            <w:tcW w:w="224"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39.36</w:t>
            </w:r>
          </w:p>
        </w:tc>
        <w:tc>
          <w:tcPr>
            <w:tcW w:w="235" w:type="pct"/>
            <w:shd w:val="clear" w:color="auto" w:fill="FFFFFF"/>
            <w:tcMar>
              <w:top w:w="0" w:type="dxa"/>
              <w:left w:w="0" w:type="dxa"/>
              <w:bottom w:w="0" w:type="dxa"/>
              <w:right w:w="0" w:type="dxa"/>
            </w:tcMar>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54.53</w:t>
            </w:r>
          </w:p>
        </w:tc>
        <w:tc>
          <w:tcPr>
            <w:tcW w:w="271" w:type="pct"/>
            <w:vMerge w:val="continue"/>
            <w:shd w:val="clear" w:color="auto" w:fill="FFFFFF"/>
            <w:tcMar>
              <w:top w:w="0" w:type="dxa"/>
              <w:left w:w="0" w:type="dxa"/>
              <w:bottom w:w="0" w:type="dxa"/>
              <w:right w:w="0" w:type="dxa"/>
            </w:tcMar>
            <w:vAlign w:val="center"/>
          </w:tcPr>
          <w:p>
            <w:pPr>
              <w:spacing w:line="240" w:lineRule="auto"/>
              <w:ind w:firstLine="0" w:firstLineChars="0"/>
              <w:jc w:val="center"/>
              <w:rPr>
                <w:color w:val="000000" w:themeColor="text1"/>
                <w:sz w:val="21"/>
                <w:u w:val="single"/>
                <w14:textFill>
                  <w14:solidFill>
                    <w14:schemeClr w14:val="tx1"/>
                  </w14:solidFill>
                </w14:textFill>
              </w:rPr>
            </w:pPr>
          </w:p>
        </w:tc>
        <w:tc>
          <w:tcPr>
            <w:tcW w:w="245" w:type="pct"/>
            <w:shd w:val="clear" w:color="auto" w:fill="FFFFFF"/>
            <w:tcMar>
              <w:top w:w="0" w:type="dxa"/>
              <w:left w:w="0" w:type="dxa"/>
              <w:bottom w:w="0" w:type="dxa"/>
              <w:right w:w="0" w:type="dxa"/>
            </w:tcMar>
            <w:vAlign w:val="center"/>
          </w:tcPr>
          <w:p>
            <w:pPr>
              <w:spacing w:line="240" w:lineRule="auto"/>
              <w:ind w:firstLine="0" w:firstLineChars="0"/>
              <w:jc w:val="center"/>
              <w:rPr>
                <w:rFonts w:hint="eastAsia"/>
                <w:color w:val="000000" w:themeColor="text1"/>
                <w:sz w:val="21"/>
                <w:u w:val="single"/>
                <w:lang w:val="en-US" w:eastAsia="zh-CN"/>
                <w14:textFill>
                  <w14:solidFill>
                    <w14:schemeClr w14:val="tx1"/>
                  </w14:solidFill>
                </w14:textFill>
              </w:rPr>
            </w:pPr>
            <w:r>
              <w:rPr>
                <w:rFonts w:hint="default"/>
                <w:color w:val="000000" w:themeColor="text1"/>
                <w:sz w:val="21"/>
                <w:u w:val="single"/>
                <w:lang w:val="en-US" w:eastAsia="zh-CN"/>
                <w14:textFill>
                  <w14:solidFill>
                    <w14:schemeClr w14:val="tx1"/>
                  </w14:solidFill>
                </w14:textFill>
              </w:rPr>
              <w:t>45.77</w:t>
            </w:r>
          </w:p>
        </w:tc>
        <w:tc>
          <w:tcPr>
            <w:tcW w:w="214" w:type="pct"/>
            <w:shd w:val="clear" w:color="auto" w:fill="FFFFFF"/>
            <w:tcMar>
              <w:top w:w="0" w:type="dxa"/>
              <w:left w:w="0" w:type="dxa"/>
              <w:bottom w:w="0" w:type="dxa"/>
              <w:right w:w="0" w:type="dxa"/>
            </w:tcMar>
            <w:vAlign w:val="center"/>
          </w:tcPr>
          <w:p>
            <w:pPr>
              <w:spacing w:line="240" w:lineRule="auto"/>
              <w:ind w:firstLine="0" w:firstLineChars="0"/>
              <w:jc w:val="center"/>
              <w:rPr>
                <w:rFonts w:hint="eastAsia"/>
                <w:color w:val="000000" w:themeColor="text1"/>
                <w:sz w:val="21"/>
                <w:u w:val="single"/>
                <w:lang w:val="en-US" w:eastAsia="zh-CN"/>
                <w14:textFill>
                  <w14:solidFill>
                    <w14:schemeClr w14:val="tx1"/>
                  </w14:solidFill>
                </w14:textFill>
              </w:rPr>
            </w:pPr>
            <w:r>
              <w:rPr>
                <w:rFonts w:hint="default"/>
                <w:color w:val="000000" w:themeColor="text1"/>
                <w:sz w:val="21"/>
                <w:u w:val="single"/>
                <w:lang w:val="en-US" w:eastAsia="zh-CN"/>
                <w14:textFill>
                  <w14:solidFill>
                    <w14:schemeClr w14:val="tx1"/>
                  </w14:solidFill>
                </w14:textFill>
              </w:rPr>
              <w:t>52.34</w:t>
            </w:r>
          </w:p>
        </w:tc>
        <w:tc>
          <w:tcPr>
            <w:tcW w:w="226" w:type="pct"/>
            <w:shd w:val="clear" w:color="auto" w:fill="FFFFFF"/>
            <w:tcMar>
              <w:top w:w="0" w:type="dxa"/>
              <w:left w:w="0" w:type="dxa"/>
              <w:bottom w:w="0" w:type="dxa"/>
              <w:right w:w="0" w:type="dxa"/>
            </w:tcMar>
            <w:vAlign w:val="center"/>
          </w:tcPr>
          <w:p>
            <w:pPr>
              <w:spacing w:line="240" w:lineRule="auto"/>
              <w:ind w:firstLine="0" w:firstLineChars="0"/>
              <w:jc w:val="center"/>
              <w:rPr>
                <w:rFonts w:hint="eastAsia"/>
                <w:color w:val="000000" w:themeColor="text1"/>
                <w:sz w:val="21"/>
                <w:u w:val="single"/>
                <w:lang w:val="en-US" w:eastAsia="zh-CN"/>
                <w14:textFill>
                  <w14:solidFill>
                    <w14:schemeClr w14:val="tx1"/>
                  </w14:solidFill>
                </w14:textFill>
              </w:rPr>
            </w:pPr>
            <w:r>
              <w:rPr>
                <w:rFonts w:hint="default"/>
                <w:color w:val="000000" w:themeColor="text1"/>
                <w:sz w:val="21"/>
                <w:u w:val="single"/>
                <w:lang w:val="en-US" w:eastAsia="zh-CN"/>
                <w14:textFill>
                  <w14:solidFill>
                    <w14:schemeClr w14:val="tx1"/>
                  </w14:solidFill>
                </w14:textFill>
              </w:rPr>
              <w:t>29.36</w:t>
            </w:r>
          </w:p>
        </w:tc>
        <w:tc>
          <w:tcPr>
            <w:tcW w:w="201" w:type="pct"/>
            <w:shd w:val="clear" w:color="auto" w:fill="FFFFFF"/>
            <w:tcMar>
              <w:top w:w="0" w:type="dxa"/>
              <w:left w:w="0" w:type="dxa"/>
              <w:bottom w:w="0" w:type="dxa"/>
              <w:right w:w="0" w:type="dxa"/>
            </w:tcMar>
            <w:vAlign w:val="center"/>
          </w:tcPr>
          <w:p>
            <w:pPr>
              <w:spacing w:line="240" w:lineRule="auto"/>
              <w:ind w:firstLine="0" w:firstLineChars="0"/>
              <w:jc w:val="center"/>
              <w:rPr>
                <w:rFonts w:hint="eastAsia"/>
                <w:color w:val="000000" w:themeColor="text1"/>
                <w:sz w:val="21"/>
                <w:u w:val="single"/>
                <w:lang w:val="en-US" w:eastAsia="zh-CN"/>
                <w14:textFill>
                  <w14:solidFill>
                    <w14:schemeClr w14:val="tx1"/>
                  </w14:solidFill>
                </w14:textFill>
              </w:rPr>
            </w:pPr>
            <w:r>
              <w:rPr>
                <w:rFonts w:hint="default"/>
                <w:color w:val="000000" w:themeColor="text1"/>
                <w:sz w:val="21"/>
                <w:u w:val="single"/>
                <w:lang w:val="en-US" w:eastAsia="zh-CN"/>
                <w14:textFill>
                  <w14:solidFill>
                    <w14:schemeClr w14:val="tx1"/>
                  </w14:solidFill>
                </w14:textFill>
              </w:rPr>
              <w:t>44.53</w:t>
            </w:r>
          </w:p>
        </w:tc>
        <w:tc>
          <w:tcPr>
            <w:tcW w:w="217" w:type="pct"/>
            <w:shd w:val="clear" w:color="auto" w:fill="FFFFFF"/>
            <w:tcMar>
              <w:top w:w="0" w:type="dxa"/>
              <w:left w:w="0" w:type="dxa"/>
              <w:bottom w:w="0" w:type="dxa"/>
              <w:right w:w="0" w:type="dxa"/>
            </w:tcMar>
            <w:vAlign w:val="center"/>
          </w:tcPr>
          <w:p>
            <w:pPr>
              <w:spacing w:line="240" w:lineRule="auto"/>
              <w:ind w:firstLine="0" w:firstLineChars="0"/>
              <w:jc w:val="center"/>
              <w:rPr>
                <w:color w:val="000000" w:themeColor="text1"/>
                <w:sz w:val="21"/>
                <w:u w:val="single"/>
                <w14:textFill>
                  <w14:solidFill>
                    <w14:schemeClr w14:val="tx1"/>
                  </w14:solidFill>
                </w14:textFill>
              </w:rPr>
            </w:pPr>
            <w:r>
              <w:rPr>
                <w:rFonts w:cs="Arial"/>
                <w:color w:val="000000" w:themeColor="text1"/>
                <w:sz w:val="21"/>
                <w:u w:val="single"/>
                <w14:textFill>
                  <w14:solidFill>
                    <w14:schemeClr w14:val="tx1"/>
                  </w14:solidFill>
                </w14:textFill>
              </w:rPr>
              <w:t>1</w:t>
            </w:r>
          </w:p>
        </w:tc>
      </w:tr>
      <w:bookmarkEnd w:id="22"/>
    </w:tbl>
    <w:p>
      <w:pPr>
        <w:spacing w:line="240" w:lineRule="auto"/>
        <w:ind w:firstLine="420" w:firstLineChars="0"/>
        <w:jc w:val="left"/>
        <w:rPr>
          <w:color w:val="000000" w:themeColor="text1"/>
          <w:sz w:val="21"/>
          <w:u w:val="single"/>
          <w14:textFill>
            <w14:solidFill>
              <w14:schemeClr w14:val="tx1"/>
            </w14:solidFill>
          </w14:textFill>
        </w:rPr>
      </w:pPr>
      <w:r>
        <w:rPr>
          <w:rFonts w:hint="eastAsia"/>
          <w:bCs/>
          <w:color w:val="000000" w:themeColor="text1"/>
          <w:sz w:val="21"/>
          <w:szCs w:val="21"/>
          <w:u w:val="single"/>
          <w14:textFill>
            <w14:solidFill>
              <w14:schemeClr w14:val="tx1"/>
            </w14:solidFill>
          </w14:textFill>
        </w:rPr>
        <w:t>注：</w:t>
      </w:r>
      <w:r>
        <w:rPr>
          <w:bCs/>
          <w:color w:val="000000" w:themeColor="text1"/>
          <w:sz w:val="21"/>
          <w:szCs w:val="21"/>
          <w:u w:val="single"/>
          <w14:textFill>
            <w14:solidFill>
              <w14:schemeClr w14:val="tx1"/>
            </w14:solidFill>
          </w14:textFill>
        </w:rPr>
        <w:t>表中坐标以厂界中心</w:t>
      </w:r>
      <w:r>
        <w:rPr>
          <w:rFonts w:hint="eastAsia"/>
          <w:bCs/>
          <w:color w:val="000000" w:themeColor="text1"/>
          <w:sz w:val="21"/>
          <w:szCs w:val="21"/>
          <w:u w:val="single"/>
          <w14:textFill>
            <w14:solidFill>
              <w14:schemeClr w14:val="tx1"/>
            </w14:solidFill>
          </w14:textFill>
        </w:rPr>
        <w:t>（112.765538254,28.725126928）</w:t>
      </w:r>
      <w:r>
        <w:rPr>
          <w:bCs/>
          <w:color w:val="000000" w:themeColor="text1"/>
          <w:sz w:val="21"/>
          <w:szCs w:val="21"/>
          <w:u w:val="single"/>
          <w14:textFill>
            <w14:solidFill>
              <w14:schemeClr w14:val="tx1"/>
            </w14:solidFill>
          </w14:textFill>
        </w:rPr>
        <w:t>为坐标原点，正东向为X轴正方向，正北向为Y轴正方向</w:t>
      </w:r>
      <w:r>
        <w:rPr>
          <w:rFonts w:hint="eastAsia"/>
          <w:bCs/>
          <w:color w:val="000000" w:themeColor="text1"/>
          <w:sz w:val="21"/>
          <w:szCs w:val="21"/>
          <w:u w:val="single"/>
          <w14:textFill>
            <w14:solidFill>
              <w14:schemeClr w14:val="tx1"/>
            </w14:solidFill>
          </w14:textFill>
        </w:rPr>
        <w:t>。</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cs="宋体"/>
          <w:color w:val="000000"/>
          <w:kern w:val="0"/>
          <w:sz w:val="24"/>
          <w:szCs w:val="24"/>
          <w:u w:val="single"/>
          <w:lang w:val="en-US" w:eastAsia="zh-CN" w:bidi="ar"/>
        </w:rPr>
        <w:t>再将</w:t>
      </w:r>
      <w:r>
        <w:rPr>
          <w:rFonts w:hint="eastAsia" w:ascii="宋体" w:hAnsi="宋体" w:eastAsia="宋体" w:cs="宋体"/>
          <w:color w:val="000000"/>
          <w:kern w:val="0"/>
          <w:sz w:val="24"/>
          <w:szCs w:val="24"/>
          <w:u w:val="single"/>
          <w:lang w:val="en-US" w:eastAsia="zh-CN" w:bidi="ar"/>
        </w:rPr>
        <w:t>各车间视为一个点源，分别预测至厂界贡献值，计算结果如下：</w:t>
      </w:r>
    </w:p>
    <w:p>
      <w:pPr>
        <w:spacing w:line="240" w:lineRule="auto"/>
        <w:ind w:firstLine="422" w:firstLineChars="0"/>
        <w:jc w:val="center"/>
        <w:rPr>
          <w:b/>
          <w:bCs/>
          <w:kern w:val="0"/>
          <w:sz w:val="21"/>
          <w:u w:val="single"/>
        </w:rPr>
      </w:pPr>
      <w:r>
        <w:rPr>
          <w:rFonts w:hint="eastAsia"/>
          <w:b/>
          <w:bCs/>
          <w:kern w:val="0"/>
          <w:sz w:val="21"/>
          <w:u w:val="single"/>
        </w:rPr>
        <w:t xml:space="preserve">表 </w:t>
      </w:r>
      <w:r>
        <w:rPr>
          <w:b/>
          <w:bCs/>
          <w:kern w:val="0"/>
          <w:sz w:val="21"/>
          <w:u w:val="single"/>
        </w:rPr>
        <w:t>4</w:t>
      </w:r>
      <w:r>
        <w:rPr>
          <w:rFonts w:hint="eastAsia"/>
          <w:b/>
          <w:bCs/>
          <w:kern w:val="0"/>
          <w:sz w:val="21"/>
          <w:u w:val="single"/>
        </w:rPr>
        <w:t>-</w:t>
      </w:r>
      <w:r>
        <w:rPr>
          <w:rFonts w:hint="eastAsia"/>
          <w:b/>
          <w:bCs/>
          <w:kern w:val="0"/>
          <w:sz w:val="21"/>
          <w:u w:val="single"/>
          <w:lang w:val="en-US" w:eastAsia="zh-CN"/>
        </w:rPr>
        <w:t>20</w:t>
      </w:r>
      <w:r>
        <w:rPr>
          <w:b/>
          <w:bCs/>
          <w:kern w:val="0"/>
          <w:sz w:val="21"/>
          <w:u w:val="single"/>
        </w:rPr>
        <w:t xml:space="preserve"> </w:t>
      </w:r>
      <w:r>
        <w:rPr>
          <w:rFonts w:hint="eastAsia"/>
          <w:b/>
          <w:bCs/>
          <w:kern w:val="0"/>
          <w:sz w:val="21"/>
          <w:u w:val="single"/>
        </w:rPr>
        <w:t>工业企业噪声源强调查清单</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2"/>
        <w:gridCol w:w="1156"/>
        <w:gridCol w:w="1156"/>
        <w:gridCol w:w="1156"/>
        <w:gridCol w:w="1164"/>
        <w:gridCol w:w="1145"/>
        <w:gridCol w:w="1145"/>
        <w:gridCol w:w="1145"/>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pct"/>
            <w:vMerge w:val="restart"/>
          </w:tcPr>
          <w:p>
            <w:pPr>
              <w:spacing w:line="240" w:lineRule="auto"/>
              <w:ind w:firstLine="0" w:firstLineChars="0"/>
              <w:jc w:val="center"/>
              <w:rPr>
                <w:rFonts w:hint="default"/>
                <w:b/>
                <w:bCs/>
                <w:color w:val="000000" w:themeColor="text1"/>
                <w:sz w:val="21"/>
                <w:szCs w:val="21"/>
                <w:u w:val="single"/>
                <w:lang w:val="en-US" w:eastAsia="zh-CN"/>
                <w14:textFill>
                  <w14:solidFill>
                    <w14:schemeClr w14:val="tx1"/>
                  </w14:solidFill>
                </w14:textFill>
              </w:rPr>
            </w:pPr>
            <w:r>
              <w:rPr>
                <w:rFonts w:hint="eastAsia"/>
                <w:b/>
                <w:bCs/>
                <w:color w:val="000000" w:themeColor="text1"/>
                <w:sz w:val="21"/>
                <w:szCs w:val="21"/>
                <w:u w:val="single"/>
                <w:lang w:val="en-US" w:eastAsia="zh-CN"/>
                <w14:textFill>
                  <w14:solidFill>
                    <w14:schemeClr w14:val="tx1"/>
                  </w14:solidFill>
                </w14:textFill>
              </w:rPr>
              <w:t>声源名称</w:t>
            </w:r>
          </w:p>
        </w:tc>
        <w:tc>
          <w:tcPr>
            <w:tcW w:w="1751" w:type="pct"/>
            <w:gridSpan w:val="4"/>
          </w:tcPr>
          <w:p>
            <w:pPr>
              <w:spacing w:line="240" w:lineRule="auto"/>
              <w:ind w:firstLine="0" w:firstLineChars="0"/>
              <w:jc w:val="center"/>
              <w:rPr>
                <w:rFonts w:hint="eastAsia"/>
                <w:b/>
                <w:bCs/>
                <w:color w:val="000000" w:themeColor="text1"/>
                <w:sz w:val="21"/>
                <w:szCs w:val="21"/>
                <w:u w:val="single"/>
                <w:lang w:val="en-US" w:eastAsia="zh-CN"/>
                <w14:textFill>
                  <w14:solidFill>
                    <w14:schemeClr w14:val="tx1"/>
                  </w14:solidFill>
                </w14:textFill>
              </w:rPr>
            </w:pPr>
            <w:r>
              <w:rPr>
                <w:rFonts w:hint="eastAsia"/>
                <w:b/>
                <w:bCs/>
                <w:color w:val="000000" w:themeColor="text1"/>
                <w:sz w:val="21"/>
                <w:szCs w:val="21"/>
                <w:u w:val="single"/>
                <w:lang w:val="en-US" w:eastAsia="zh-CN"/>
                <w14:textFill>
                  <w14:solidFill>
                    <w14:schemeClr w14:val="tx1"/>
                  </w14:solidFill>
                </w14:textFill>
              </w:rPr>
              <w:t>距离厂界距离</w:t>
            </w:r>
          </w:p>
        </w:tc>
        <w:tc>
          <w:tcPr>
            <w:tcW w:w="1735" w:type="pct"/>
            <w:gridSpan w:val="4"/>
          </w:tcPr>
          <w:p>
            <w:pPr>
              <w:spacing w:line="240" w:lineRule="auto"/>
              <w:ind w:firstLine="0" w:firstLineChars="0"/>
              <w:jc w:val="center"/>
              <w:rPr>
                <w:rFonts w:hint="eastAsia"/>
                <w:b/>
                <w:bCs/>
                <w:color w:val="000000" w:themeColor="text1"/>
                <w:sz w:val="21"/>
                <w:szCs w:val="21"/>
                <w:u w:val="single"/>
                <w:lang w:val="en-US" w:eastAsia="zh-CN"/>
                <w14:textFill>
                  <w14:solidFill>
                    <w14:schemeClr w14:val="tx1"/>
                  </w14:solidFill>
                </w14:textFill>
              </w:rPr>
            </w:pPr>
            <w:r>
              <w:rPr>
                <w:rFonts w:hint="eastAsia"/>
                <w:b/>
                <w:bCs/>
                <w:color w:val="000000" w:themeColor="text1"/>
                <w:sz w:val="21"/>
                <w:szCs w:val="21"/>
                <w:u w:val="single"/>
                <w:lang w:val="en-US" w:eastAsia="zh-CN"/>
                <w14:textFill>
                  <w14:solidFill>
                    <w14:schemeClr w14:val="tx1"/>
                  </w14:solidFill>
                </w14:textFill>
              </w:rPr>
              <w:t>厂界噪声贡献值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13" w:type="pct"/>
            <w:vMerge w:val="continue"/>
          </w:tcPr>
          <w:p>
            <w:pPr>
              <w:spacing w:line="240" w:lineRule="auto"/>
              <w:ind w:firstLine="0" w:firstLineChars="0"/>
              <w:jc w:val="center"/>
              <w:rPr>
                <w:rFonts w:hint="eastAsia"/>
                <w:b/>
                <w:bCs/>
                <w:color w:val="000000" w:themeColor="text1"/>
                <w:sz w:val="21"/>
                <w:szCs w:val="21"/>
                <w:u w:val="single"/>
                <w:lang w:val="en-US" w:eastAsia="zh-CN"/>
                <w14:textFill>
                  <w14:solidFill>
                    <w14:schemeClr w14:val="tx1"/>
                  </w14:solidFill>
                </w14:textFill>
              </w:rPr>
            </w:pPr>
          </w:p>
        </w:tc>
        <w:tc>
          <w:tcPr>
            <w:tcW w:w="437" w:type="pct"/>
            <w:vAlign w:val="center"/>
          </w:tcPr>
          <w:p>
            <w:pPr>
              <w:spacing w:line="240" w:lineRule="auto"/>
              <w:ind w:firstLine="0" w:firstLineChars="0"/>
              <w:jc w:val="center"/>
              <w:rPr>
                <w:rFonts w:hint="default"/>
                <w:b/>
                <w:bCs/>
                <w:color w:val="000000" w:themeColor="text1"/>
                <w:sz w:val="21"/>
                <w:szCs w:val="21"/>
                <w:u w:val="single"/>
                <w:lang w:val="en-US" w:eastAsia="zh-CN"/>
                <w14:textFill>
                  <w14:solidFill>
                    <w14:schemeClr w14:val="tx1"/>
                  </w14:solidFill>
                </w14:textFill>
              </w:rPr>
            </w:pPr>
            <w:r>
              <w:rPr>
                <w:rFonts w:hint="eastAsia"/>
                <w:b/>
                <w:bCs/>
                <w:color w:val="000000" w:themeColor="text1"/>
                <w:sz w:val="21"/>
                <w:szCs w:val="21"/>
                <w:u w:val="single"/>
                <w14:textFill>
                  <w14:solidFill>
                    <w14:schemeClr w14:val="tx1"/>
                  </w14:solidFill>
                </w14:textFill>
              </w:rPr>
              <w:t>东</w:t>
            </w:r>
          </w:p>
        </w:tc>
        <w:tc>
          <w:tcPr>
            <w:tcW w:w="437" w:type="pct"/>
            <w:vAlign w:val="center"/>
          </w:tcPr>
          <w:p>
            <w:pPr>
              <w:spacing w:line="240" w:lineRule="auto"/>
              <w:ind w:firstLine="0" w:firstLineChars="0"/>
              <w:jc w:val="center"/>
              <w:rPr>
                <w:rFonts w:hint="eastAsia"/>
                <w:b/>
                <w:bCs/>
                <w:color w:val="000000" w:themeColor="text1"/>
                <w:sz w:val="21"/>
                <w:szCs w:val="21"/>
                <w:u w:val="single"/>
                <w:lang w:val="en-US" w:eastAsia="zh-CN"/>
                <w14:textFill>
                  <w14:solidFill>
                    <w14:schemeClr w14:val="tx1"/>
                  </w14:solidFill>
                </w14:textFill>
              </w:rPr>
            </w:pPr>
            <w:r>
              <w:rPr>
                <w:rFonts w:hint="eastAsia"/>
                <w:b/>
                <w:bCs/>
                <w:color w:val="000000" w:themeColor="text1"/>
                <w:sz w:val="21"/>
                <w:szCs w:val="21"/>
                <w:u w:val="single"/>
                <w14:textFill>
                  <w14:solidFill>
                    <w14:schemeClr w14:val="tx1"/>
                  </w14:solidFill>
                </w14:textFill>
              </w:rPr>
              <w:t>南</w:t>
            </w:r>
          </w:p>
        </w:tc>
        <w:tc>
          <w:tcPr>
            <w:tcW w:w="437" w:type="pct"/>
            <w:vAlign w:val="center"/>
          </w:tcPr>
          <w:p>
            <w:pPr>
              <w:spacing w:line="240" w:lineRule="auto"/>
              <w:ind w:firstLine="0" w:firstLineChars="0"/>
              <w:jc w:val="center"/>
              <w:rPr>
                <w:rFonts w:hint="eastAsia"/>
                <w:b/>
                <w:bCs/>
                <w:color w:val="000000" w:themeColor="text1"/>
                <w:sz w:val="21"/>
                <w:szCs w:val="21"/>
                <w:u w:val="single"/>
                <w:lang w:val="en-US" w:eastAsia="zh-CN"/>
                <w14:textFill>
                  <w14:solidFill>
                    <w14:schemeClr w14:val="tx1"/>
                  </w14:solidFill>
                </w14:textFill>
              </w:rPr>
            </w:pPr>
            <w:r>
              <w:rPr>
                <w:rFonts w:hint="eastAsia"/>
                <w:b/>
                <w:bCs/>
                <w:color w:val="000000" w:themeColor="text1"/>
                <w:sz w:val="21"/>
                <w:szCs w:val="21"/>
                <w:u w:val="single"/>
                <w14:textFill>
                  <w14:solidFill>
                    <w14:schemeClr w14:val="tx1"/>
                  </w14:solidFill>
                </w14:textFill>
              </w:rPr>
              <w:t>西</w:t>
            </w:r>
          </w:p>
        </w:tc>
        <w:tc>
          <w:tcPr>
            <w:tcW w:w="440" w:type="pct"/>
            <w:vAlign w:val="center"/>
          </w:tcPr>
          <w:p>
            <w:pPr>
              <w:spacing w:line="240" w:lineRule="auto"/>
              <w:ind w:firstLine="0" w:firstLineChars="0"/>
              <w:jc w:val="center"/>
              <w:rPr>
                <w:rFonts w:hint="eastAsia"/>
                <w:b/>
                <w:bCs/>
                <w:color w:val="000000" w:themeColor="text1"/>
                <w:sz w:val="21"/>
                <w:szCs w:val="21"/>
                <w:u w:val="single"/>
                <w:lang w:val="en-US" w:eastAsia="zh-CN"/>
                <w14:textFill>
                  <w14:solidFill>
                    <w14:schemeClr w14:val="tx1"/>
                  </w14:solidFill>
                </w14:textFill>
              </w:rPr>
            </w:pPr>
            <w:r>
              <w:rPr>
                <w:rFonts w:hint="eastAsia"/>
                <w:b/>
                <w:bCs/>
                <w:color w:val="000000" w:themeColor="text1"/>
                <w:sz w:val="21"/>
                <w:szCs w:val="21"/>
                <w:u w:val="single"/>
                <w14:textFill>
                  <w14:solidFill>
                    <w14:schemeClr w14:val="tx1"/>
                  </w14:solidFill>
                </w14:textFill>
              </w:rPr>
              <w:t>北</w:t>
            </w:r>
          </w:p>
        </w:tc>
        <w:tc>
          <w:tcPr>
            <w:tcW w:w="433" w:type="pct"/>
            <w:shd w:val="clear" w:color="auto" w:fill="auto"/>
            <w:vAlign w:val="center"/>
          </w:tcPr>
          <w:p>
            <w:pPr>
              <w:spacing w:line="240" w:lineRule="auto"/>
              <w:ind w:firstLine="0" w:firstLineChars="0"/>
              <w:jc w:val="center"/>
              <w:rPr>
                <w:rFonts w:hint="eastAsia" w:ascii="Times New Roman" w:hAnsi="Times New Roman" w:eastAsia="宋体" w:cs="Times New Roman"/>
                <w:b/>
                <w:bCs/>
                <w:color w:val="000000" w:themeColor="text1"/>
                <w:kern w:val="2"/>
                <w:sz w:val="21"/>
                <w:szCs w:val="21"/>
                <w:u w:val="single"/>
                <w:lang w:val="en-US" w:eastAsia="zh-CN" w:bidi="ar-SA"/>
                <w14:textFill>
                  <w14:solidFill>
                    <w14:schemeClr w14:val="tx1"/>
                  </w14:solidFill>
                </w14:textFill>
              </w:rPr>
            </w:pPr>
            <w:r>
              <w:rPr>
                <w:rFonts w:hint="eastAsia"/>
                <w:b/>
                <w:bCs/>
                <w:color w:val="000000" w:themeColor="text1"/>
                <w:sz w:val="21"/>
                <w:szCs w:val="21"/>
                <w:u w:val="single"/>
                <w14:textFill>
                  <w14:solidFill>
                    <w14:schemeClr w14:val="tx1"/>
                  </w14:solidFill>
                </w14:textFill>
              </w:rPr>
              <w:t>东</w:t>
            </w:r>
          </w:p>
        </w:tc>
        <w:tc>
          <w:tcPr>
            <w:tcW w:w="433" w:type="pct"/>
            <w:shd w:val="clear" w:color="auto" w:fill="auto"/>
            <w:vAlign w:val="center"/>
          </w:tcPr>
          <w:p>
            <w:pPr>
              <w:spacing w:line="240" w:lineRule="auto"/>
              <w:ind w:firstLine="0" w:firstLineChars="0"/>
              <w:jc w:val="center"/>
              <w:rPr>
                <w:rFonts w:hint="eastAsia" w:ascii="Times New Roman" w:hAnsi="Times New Roman" w:eastAsia="宋体" w:cs="Times New Roman"/>
                <w:b/>
                <w:bCs/>
                <w:color w:val="000000" w:themeColor="text1"/>
                <w:kern w:val="2"/>
                <w:sz w:val="21"/>
                <w:szCs w:val="21"/>
                <w:u w:val="single"/>
                <w:lang w:val="en-US" w:eastAsia="zh-CN" w:bidi="ar-SA"/>
                <w14:textFill>
                  <w14:solidFill>
                    <w14:schemeClr w14:val="tx1"/>
                  </w14:solidFill>
                </w14:textFill>
              </w:rPr>
            </w:pPr>
            <w:r>
              <w:rPr>
                <w:rFonts w:hint="eastAsia"/>
                <w:b/>
                <w:bCs/>
                <w:color w:val="000000" w:themeColor="text1"/>
                <w:sz w:val="21"/>
                <w:szCs w:val="21"/>
                <w:u w:val="single"/>
                <w14:textFill>
                  <w14:solidFill>
                    <w14:schemeClr w14:val="tx1"/>
                  </w14:solidFill>
                </w14:textFill>
              </w:rPr>
              <w:t>南</w:t>
            </w:r>
          </w:p>
        </w:tc>
        <w:tc>
          <w:tcPr>
            <w:tcW w:w="433" w:type="pct"/>
            <w:shd w:val="clear" w:color="auto" w:fill="auto"/>
            <w:vAlign w:val="center"/>
          </w:tcPr>
          <w:p>
            <w:pPr>
              <w:spacing w:line="240" w:lineRule="auto"/>
              <w:ind w:firstLine="0" w:firstLineChars="0"/>
              <w:jc w:val="center"/>
              <w:rPr>
                <w:rFonts w:hint="eastAsia" w:ascii="Times New Roman" w:hAnsi="Times New Roman" w:eastAsia="宋体" w:cs="Times New Roman"/>
                <w:b/>
                <w:bCs/>
                <w:color w:val="000000" w:themeColor="text1"/>
                <w:kern w:val="2"/>
                <w:sz w:val="21"/>
                <w:szCs w:val="21"/>
                <w:u w:val="single"/>
                <w:lang w:val="en-US" w:eastAsia="zh-CN" w:bidi="ar-SA"/>
                <w14:textFill>
                  <w14:solidFill>
                    <w14:schemeClr w14:val="tx1"/>
                  </w14:solidFill>
                </w14:textFill>
              </w:rPr>
            </w:pPr>
            <w:r>
              <w:rPr>
                <w:rFonts w:hint="eastAsia"/>
                <w:b/>
                <w:bCs/>
                <w:color w:val="000000" w:themeColor="text1"/>
                <w:sz w:val="21"/>
                <w:szCs w:val="21"/>
                <w:u w:val="single"/>
                <w14:textFill>
                  <w14:solidFill>
                    <w14:schemeClr w14:val="tx1"/>
                  </w14:solidFill>
                </w14:textFill>
              </w:rPr>
              <w:t>西</w:t>
            </w:r>
          </w:p>
        </w:tc>
        <w:tc>
          <w:tcPr>
            <w:tcW w:w="435" w:type="pct"/>
            <w:shd w:val="clear" w:color="auto" w:fill="auto"/>
            <w:vAlign w:val="center"/>
          </w:tcPr>
          <w:p>
            <w:pPr>
              <w:spacing w:line="240" w:lineRule="auto"/>
              <w:ind w:firstLine="0" w:firstLineChars="0"/>
              <w:jc w:val="center"/>
              <w:rPr>
                <w:rFonts w:hint="eastAsia" w:ascii="Times New Roman" w:hAnsi="Times New Roman" w:eastAsia="宋体" w:cs="Times New Roman"/>
                <w:b/>
                <w:bCs/>
                <w:color w:val="000000" w:themeColor="text1"/>
                <w:kern w:val="2"/>
                <w:sz w:val="21"/>
                <w:szCs w:val="21"/>
                <w:u w:val="single"/>
                <w:lang w:val="en-US" w:eastAsia="zh-CN" w:bidi="ar-SA"/>
                <w14:textFill>
                  <w14:solidFill>
                    <w14:schemeClr w14:val="tx1"/>
                  </w14:solidFill>
                </w14:textFill>
              </w:rPr>
            </w:pPr>
            <w:r>
              <w:rPr>
                <w:rFonts w:hint="eastAsia"/>
                <w:b/>
                <w:bCs/>
                <w:color w:val="000000" w:themeColor="text1"/>
                <w:sz w:val="21"/>
                <w:szCs w:val="21"/>
                <w:u w:val="single"/>
                <w14:textFill>
                  <w14:solidFill>
                    <w14:schemeClr w14:val="tx1"/>
                  </w14:solidFill>
                </w14:textFill>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pct"/>
            <w:shd w:val="clear" w:color="auto" w:fill="FFFFFF"/>
            <w:vAlign w:val="center"/>
          </w:tcPr>
          <w:p>
            <w:pPr>
              <w:spacing w:line="240" w:lineRule="auto"/>
              <w:ind w:firstLine="0" w:firstLineChars="0"/>
              <w:jc w:val="center"/>
              <w:rPr>
                <w:rFonts w:hint="eastAsia" w:ascii="Times New Roman" w:hAnsi="Times New Roman" w:eastAsia="宋体" w:cs="Times New Roman"/>
                <w:color w:val="000000" w:themeColor="text1"/>
                <w:kern w:val="2"/>
                <w:sz w:val="21"/>
                <w:szCs w:val="24"/>
                <w:u w:val="single"/>
                <w:lang w:val="en-US" w:eastAsia="zh-CN" w:bidi="ar-SA"/>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深加工车间</w:t>
            </w:r>
          </w:p>
        </w:tc>
        <w:tc>
          <w:tcPr>
            <w:tcW w:w="437"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178</w:t>
            </w:r>
          </w:p>
        </w:tc>
        <w:tc>
          <w:tcPr>
            <w:tcW w:w="437"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9</w:t>
            </w:r>
          </w:p>
        </w:tc>
        <w:tc>
          <w:tcPr>
            <w:tcW w:w="437"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238</w:t>
            </w:r>
          </w:p>
        </w:tc>
        <w:tc>
          <w:tcPr>
            <w:tcW w:w="440"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8</w:t>
            </w:r>
          </w:p>
        </w:tc>
        <w:tc>
          <w:tcPr>
            <w:tcW w:w="433"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0</w:t>
            </w:r>
          </w:p>
        </w:tc>
        <w:tc>
          <w:tcPr>
            <w:tcW w:w="433"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28.97</w:t>
            </w:r>
          </w:p>
        </w:tc>
        <w:tc>
          <w:tcPr>
            <w:tcW w:w="433"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10.98</w:t>
            </w:r>
          </w:p>
        </w:tc>
        <w:tc>
          <w:tcPr>
            <w:tcW w:w="435"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29.99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pct"/>
            <w:shd w:val="clear" w:color="auto" w:fill="FFFFFF"/>
            <w:vAlign w:val="center"/>
          </w:tcPr>
          <w:p>
            <w:pPr>
              <w:spacing w:line="240" w:lineRule="auto"/>
              <w:ind w:firstLine="0" w:firstLineChars="0"/>
              <w:jc w:val="center"/>
              <w:rPr>
                <w:rFonts w:hint="eastAsia" w:ascii="Times New Roman" w:hAnsi="Times New Roman" w:eastAsia="宋体" w:cs="Times New Roman"/>
                <w:color w:val="000000" w:themeColor="text1"/>
                <w:kern w:val="2"/>
                <w:sz w:val="21"/>
                <w:szCs w:val="24"/>
                <w:u w:val="single"/>
                <w:lang w:val="en-US" w:eastAsia="zh-CN" w:bidi="ar-SA"/>
                <w14:textFill>
                  <w14:solidFill>
                    <w14:schemeClr w14:val="tx1"/>
                  </w14:solidFill>
                </w14:textFill>
              </w:rPr>
            </w:pPr>
            <w:r>
              <w:rPr>
                <w:rFonts w:hint="eastAsia" w:ascii="Times New Roman" w:hAnsi="Times New Roman" w:eastAsia="宋体" w:cs="Times New Roman"/>
                <w:kern w:val="2"/>
                <w:sz w:val="21"/>
                <w:szCs w:val="28"/>
                <w:u w:val="single"/>
                <w:lang w:val="en-US" w:eastAsia="zh-CN" w:bidi="ar-SA"/>
              </w:rPr>
              <w:t>菌种培育基地</w:t>
            </w:r>
          </w:p>
        </w:tc>
        <w:tc>
          <w:tcPr>
            <w:tcW w:w="437"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12</w:t>
            </w:r>
          </w:p>
        </w:tc>
        <w:tc>
          <w:tcPr>
            <w:tcW w:w="437"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10</w:t>
            </w:r>
          </w:p>
        </w:tc>
        <w:tc>
          <w:tcPr>
            <w:tcW w:w="437"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347</w:t>
            </w:r>
          </w:p>
        </w:tc>
        <w:tc>
          <w:tcPr>
            <w:tcW w:w="440"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20</w:t>
            </w:r>
          </w:p>
        </w:tc>
        <w:tc>
          <w:tcPr>
            <w:tcW w:w="433"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0</w:t>
            </w:r>
          </w:p>
        </w:tc>
        <w:tc>
          <w:tcPr>
            <w:tcW w:w="433"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24.07</w:t>
            </w:r>
          </w:p>
        </w:tc>
        <w:tc>
          <w:tcPr>
            <w:tcW w:w="433"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0</w:t>
            </w:r>
          </w:p>
        </w:tc>
        <w:tc>
          <w:tcPr>
            <w:tcW w:w="435"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pct"/>
            <w:shd w:val="clear" w:color="auto" w:fill="FFFFFF"/>
            <w:vAlign w:val="center"/>
          </w:tcPr>
          <w:p>
            <w:pPr>
              <w:spacing w:line="240" w:lineRule="auto"/>
              <w:ind w:firstLine="0" w:firstLineChars="0"/>
              <w:jc w:val="center"/>
              <w:rPr>
                <w:rFonts w:hint="eastAsia" w:ascii="Times New Roman" w:hAnsi="Times New Roman" w:eastAsia="宋体" w:cs="Times New Roman"/>
                <w:color w:val="000000" w:themeColor="text1"/>
                <w:kern w:val="2"/>
                <w:sz w:val="21"/>
                <w:szCs w:val="24"/>
                <w:u w:val="single"/>
                <w:lang w:val="en-US" w:eastAsia="zh-CN" w:bidi="ar-SA"/>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锅炉房</w:t>
            </w:r>
          </w:p>
        </w:tc>
        <w:tc>
          <w:tcPr>
            <w:tcW w:w="437"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464</w:t>
            </w:r>
          </w:p>
        </w:tc>
        <w:tc>
          <w:tcPr>
            <w:tcW w:w="437"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9</w:t>
            </w:r>
          </w:p>
        </w:tc>
        <w:tc>
          <w:tcPr>
            <w:tcW w:w="437" w:type="pct"/>
          </w:tcPr>
          <w:p>
            <w:pPr>
              <w:spacing w:line="240" w:lineRule="auto"/>
              <w:ind w:firstLine="0" w:firstLineChars="0"/>
              <w:jc w:val="center"/>
              <w:rPr>
                <w:rFonts w:hint="eastAsia"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12</w:t>
            </w:r>
          </w:p>
        </w:tc>
        <w:tc>
          <w:tcPr>
            <w:tcW w:w="440"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5</w:t>
            </w:r>
          </w:p>
        </w:tc>
        <w:tc>
          <w:tcPr>
            <w:tcW w:w="433"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4.16</w:t>
            </w:r>
          </w:p>
        </w:tc>
        <w:tc>
          <w:tcPr>
            <w:tcW w:w="433"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39.99</w:t>
            </w:r>
          </w:p>
        </w:tc>
        <w:tc>
          <w:tcPr>
            <w:tcW w:w="433"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41.93</w:t>
            </w:r>
          </w:p>
        </w:tc>
        <w:tc>
          <w:tcPr>
            <w:tcW w:w="435"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43.51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pct"/>
            <w:shd w:val="clear" w:color="auto" w:fill="FFFFFF"/>
            <w:vAlign w:val="center"/>
          </w:tcPr>
          <w:p>
            <w:pPr>
              <w:spacing w:line="240" w:lineRule="auto"/>
              <w:ind w:firstLine="0" w:firstLineChars="0"/>
              <w:jc w:val="center"/>
              <w:rPr>
                <w:rFonts w:hint="eastAsia" w:ascii="Times New Roman" w:hAnsi="Times New Roman" w:eastAsia="宋体" w:cs="Times New Roman"/>
                <w:color w:val="000000" w:themeColor="text1"/>
                <w:kern w:val="2"/>
                <w:sz w:val="21"/>
                <w:szCs w:val="24"/>
                <w:u w:val="single"/>
                <w:lang w:val="en-US" w:eastAsia="zh-CN" w:bidi="ar-SA"/>
                <w14:textFill>
                  <w14:solidFill>
                    <w14:schemeClr w14:val="tx1"/>
                  </w14:solidFill>
                </w14:textFill>
              </w:rPr>
            </w:pPr>
            <w:r>
              <w:rPr>
                <w:rFonts w:hint="eastAsia" w:ascii="Times New Roman" w:hAnsi="Times New Roman" w:eastAsia="宋体" w:cs="Times New Roman"/>
                <w:kern w:val="2"/>
                <w:sz w:val="21"/>
                <w:szCs w:val="28"/>
                <w:u w:val="single"/>
                <w:lang w:val="en-US" w:eastAsia="zh-CN" w:bidi="ar-SA"/>
              </w:rPr>
              <w:t>冷藏库房</w:t>
            </w:r>
          </w:p>
        </w:tc>
        <w:tc>
          <w:tcPr>
            <w:tcW w:w="437"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356</w:t>
            </w:r>
          </w:p>
        </w:tc>
        <w:tc>
          <w:tcPr>
            <w:tcW w:w="437"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8</w:t>
            </w:r>
          </w:p>
        </w:tc>
        <w:tc>
          <w:tcPr>
            <w:tcW w:w="437"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111</w:t>
            </w:r>
          </w:p>
        </w:tc>
        <w:tc>
          <w:tcPr>
            <w:tcW w:w="440"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11</w:t>
            </w:r>
          </w:p>
        </w:tc>
        <w:tc>
          <w:tcPr>
            <w:tcW w:w="433"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0</w:t>
            </w:r>
          </w:p>
        </w:tc>
        <w:tc>
          <w:tcPr>
            <w:tcW w:w="433"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34.28</w:t>
            </w:r>
          </w:p>
        </w:tc>
        <w:tc>
          <w:tcPr>
            <w:tcW w:w="433"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3.34</w:t>
            </w:r>
          </w:p>
        </w:tc>
        <w:tc>
          <w:tcPr>
            <w:tcW w:w="435"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17.68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pct"/>
            <w:shd w:val="clear" w:color="auto" w:fill="FFFFFF"/>
            <w:vAlign w:val="center"/>
          </w:tcPr>
          <w:p>
            <w:pPr>
              <w:spacing w:line="240" w:lineRule="auto"/>
              <w:ind w:firstLine="0" w:firstLineChars="0"/>
              <w:jc w:val="center"/>
              <w:rPr>
                <w:rFonts w:hint="eastAsia" w:ascii="Times New Roman" w:hAnsi="Times New Roman" w:eastAsia="宋体" w:cs="Times New Roman"/>
                <w:kern w:val="2"/>
                <w:sz w:val="21"/>
                <w:szCs w:val="28"/>
                <w:u w:val="single"/>
                <w:lang w:val="en-US" w:eastAsia="zh-CN" w:bidi="ar-SA"/>
              </w:rPr>
            </w:pPr>
            <w:r>
              <w:rPr>
                <w:rFonts w:hint="eastAsia" w:cs="宋体"/>
                <w:color w:val="000000" w:themeColor="text1"/>
                <w:sz w:val="21"/>
                <w:szCs w:val="22"/>
                <w:u w:val="single"/>
                <w:lang w:val="en-US" w:eastAsia="zh-CN"/>
                <w14:textFill>
                  <w14:solidFill>
                    <w14:schemeClr w14:val="tx1"/>
                  </w14:solidFill>
                </w14:textFill>
              </w:rPr>
              <w:t>风机</w:t>
            </w:r>
          </w:p>
        </w:tc>
        <w:tc>
          <w:tcPr>
            <w:tcW w:w="437"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483</w:t>
            </w:r>
          </w:p>
        </w:tc>
        <w:tc>
          <w:tcPr>
            <w:tcW w:w="437"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8</w:t>
            </w:r>
          </w:p>
        </w:tc>
        <w:tc>
          <w:tcPr>
            <w:tcW w:w="437"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20</w:t>
            </w:r>
          </w:p>
        </w:tc>
        <w:tc>
          <w:tcPr>
            <w:tcW w:w="440"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22</w:t>
            </w:r>
          </w:p>
        </w:tc>
        <w:tc>
          <w:tcPr>
            <w:tcW w:w="433"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18.35</w:t>
            </w:r>
          </w:p>
        </w:tc>
        <w:tc>
          <w:tcPr>
            <w:tcW w:w="433"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53.97</w:t>
            </w:r>
          </w:p>
        </w:tc>
        <w:tc>
          <w:tcPr>
            <w:tcW w:w="433"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46.01</w:t>
            </w:r>
          </w:p>
        </w:tc>
        <w:tc>
          <w:tcPr>
            <w:tcW w:w="435"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45.18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pct"/>
            <w:shd w:val="clear" w:color="auto" w:fill="FFFFFF"/>
            <w:vAlign w:val="center"/>
          </w:tcPr>
          <w:p>
            <w:pPr>
              <w:spacing w:line="240" w:lineRule="auto"/>
              <w:ind w:firstLine="0" w:firstLineChars="0"/>
              <w:jc w:val="center"/>
              <w:rPr>
                <w:rFonts w:hint="default" w:ascii="Times New Roman" w:hAnsi="Times New Roman" w:eastAsia="宋体" w:cs="Times New Roman"/>
                <w:kern w:val="2"/>
                <w:sz w:val="21"/>
                <w:szCs w:val="28"/>
                <w:u w:val="single"/>
                <w:lang w:val="en-US" w:eastAsia="zh-CN" w:bidi="ar-SA"/>
              </w:rPr>
            </w:pPr>
            <w:r>
              <w:rPr>
                <w:rFonts w:hint="eastAsia" w:cs="Times New Roman"/>
                <w:kern w:val="2"/>
                <w:sz w:val="21"/>
                <w:szCs w:val="28"/>
                <w:u w:val="single"/>
                <w:lang w:val="en-US" w:eastAsia="zh-CN" w:bidi="ar-SA"/>
              </w:rPr>
              <w:t>合计</w:t>
            </w:r>
          </w:p>
        </w:tc>
        <w:tc>
          <w:tcPr>
            <w:tcW w:w="437"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w:t>
            </w:r>
          </w:p>
        </w:tc>
        <w:tc>
          <w:tcPr>
            <w:tcW w:w="437"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w:t>
            </w:r>
          </w:p>
        </w:tc>
        <w:tc>
          <w:tcPr>
            <w:tcW w:w="437"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w:t>
            </w:r>
          </w:p>
        </w:tc>
        <w:tc>
          <w:tcPr>
            <w:tcW w:w="440"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w:t>
            </w:r>
          </w:p>
        </w:tc>
        <w:tc>
          <w:tcPr>
            <w:tcW w:w="433"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18.51</w:t>
            </w:r>
          </w:p>
        </w:tc>
        <w:tc>
          <w:tcPr>
            <w:tcW w:w="433"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54.20</w:t>
            </w:r>
          </w:p>
        </w:tc>
        <w:tc>
          <w:tcPr>
            <w:tcW w:w="433"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47.44</w:t>
            </w:r>
          </w:p>
        </w:tc>
        <w:tc>
          <w:tcPr>
            <w:tcW w:w="435" w:type="pct"/>
          </w:tcPr>
          <w:p>
            <w:pPr>
              <w:spacing w:line="240" w:lineRule="auto"/>
              <w:ind w:firstLine="0" w:firstLineChars="0"/>
              <w:jc w:val="center"/>
              <w:rPr>
                <w:rFonts w:hint="default" w:ascii="Times New Roman" w:hAnsi="Times New Roman" w:eastAsia="宋体" w:cs="Arial"/>
                <w:color w:val="000000" w:themeColor="text1"/>
                <w:sz w:val="21"/>
                <w:u w:val="single"/>
                <w:lang w:val="en-US" w:eastAsia="zh-CN"/>
                <w14:textFill>
                  <w14:solidFill>
                    <w14:schemeClr w14:val="tx1"/>
                  </w14:solidFill>
                </w14:textFill>
              </w:rPr>
            </w:pPr>
            <w:r>
              <w:rPr>
                <w:rFonts w:hint="eastAsia" w:cs="Arial"/>
                <w:color w:val="000000" w:themeColor="text1"/>
                <w:sz w:val="21"/>
                <w:u w:val="single"/>
                <w:lang w:val="en-US" w:eastAsia="zh-CN"/>
                <w14:textFill>
                  <w14:solidFill>
                    <w14:schemeClr w14:val="tx1"/>
                  </w14:solidFill>
                </w14:textFill>
              </w:rPr>
              <w:t>47.52</w:t>
            </w:r>
          </w:p>
        </w:tc>
      </w:tr>
    </w:tbl>
    <w:p>
      <w:pPr>
        <w:keepNext w:val="0"/>
        <w:keepLines w:val="0"/>
        <w:widowControl/>
        <w:suppressLineNumbers w:val="0"/>
        <w:jc w:val="left"/>
        <w:rPr>
          <w:rFonts w:hint="default"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通过预测模型计算，项目厂界噪声预测结果与达标分析见表4-</w:t>
      </w:r>
      <w:r>
        <w:rPr>
          <w:rFonts w:hint="eastAsia" w:ascii="宋体" w:hAnsi="宋体" w:cs="宋体"/>
          <w:color w:val="000000"/>
          <w:kern w:val="0"/>
          <w:sz w:val="24"/>
          <w:szCs w:val="24"/>
          <w:u w:val="single"/>
          <w:lang w:val="en-US" w:eastAsia="zh-CN" w:bidi="ar"/>
        </w:rPr>
        <w:t>21。</w:t>
      </w:r>
    </w:p>
    <w:p>
      <w:pPr>
        <w:spacing w:line="240" w:lineRule="auto"/>
        <w:ind w:firstLine="0" w:firstLineChars="0"/>
        <w:jc w:val="center"/>
        <w:rPr>
          <w:b/>
          <w:kern w:val="0"/>
          <w:sz w:val="21"/>
          <w:u w:val="single"/>
        </w:rPr>
      </w:pPr>
      <w:r>
        <w:rPr>
          <w:b/>
          <w:kern w:val="0"/>
          <w:sz w:val="21"/>
          <w:u w:val="single"/>
        </w:rPr>
        <w:t>表4-</w:t>
      </w:r>
      <w:r>
        <w:rPr>
          <w:rFonts w:hint="eastAsia"/>
          <w:b/>
          <w:kern w:val="0"/>
          <w:sz w:val="21"/>
          <w:u w:val="single"/>
          <w:lang w:val="en-US" w:eastAsia="zh-CN"/>
        </w:rPr>
        <w:t>21</w:t>
      </w:r>
      <w:r>
        <w:rPr>
          <w:b/>
          <w:kern w:val="0"/>
          <w:sz w:val="21"/>
          <w:u w:val="single"/>
        </w:rPr>
        <w:t>厂界噪声预测结果与达标分析表</w:t>
      </w:r>
      <w:bookmarkStart w:id="24" w:name="PT_7"/>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1466"/>
        <w:gridCol w:w="2090"/>
        <w:gridCol w:w="2095"/>
        <w:gridCol w:w="2095"/>
        <w:gridCol w:w="2095"/>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614" w:type="pct"/>
            <w:vAlign w:val="center"/>
          </w:tcPr>
          <w:p>
            <w:pPr>
              <w:spacing w:line="240" w:lineRule="auto"/>
              <w:ind w:firstLine="0" w:firstLineChars="0"/>
              <w:jc w:val="center"/>
              <w:rPr>
                <w:b/>
                <w:bCs/>
                <w:color w:val="000000" w:themeColor="text1"/>
                <w:sz w:val="21"/>
                <w:szCs w:val="21"/>
                <w:u w:val="single"/>
                <w:lang w:eastAsia="en-US"/>
                <w14:textFill>
                  <w14:solidFill>
                    <w14:schemeClr w14:val="tx1"/>
                  </w14:solidFill>
                </w14:textFill>
              </w:rPr>
            </w:pPr>
            <w:r>
              <w:rPr>
                <w:b/>
                <w:bCs/>
                <w:color w:val="000000" w:themeColor="text1"/>
                <w:sz w:val="21"/>
                <w:szCs w:val="21"/>
                <w:u w:val="single"/>
                <w:lang w:eastAsia="en-US"/>
                <w14:textFill>
                  <w14:solidFill>
                    <w14:schemeClr w14:val="tx1"/>
                  </w14:solidFill>
                </w14:textFill>
              </w:rPr>
              <w:t>预测方位</w:t>
            </w:r>
          </w:p>
        </w:tc>
        <w:tc>
          <w:tcPr>
            <w:tcW w:w="554" w:type="pct"/>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时段</w:t>
            </w:r>
          </w:p>
        </w:tc>
        <w:tc>
          <w:tcPr>
            <w:tcW w:w="790" w:type="pct"/>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rFonts w:hint="eastAsia"/>
                <w:b/>
                <w:bCs/>
                <w:color w:val="000000" w:themeColor="text1"/>
                <w:sz w:val="21"/>
                <w:szCs w:val="21"/>
                <w:u w:val="single"/>
                <w14:textFill>
                  <w14:solidFill>
                    <w14:schemeClr w14:val="tx1"/>
                  </w14:solidFill>
                </w14:textFill>
              </w:rPr>
              <w:t>贡献值</w:t>
            </w:r>
            <w:r>
              <w:rPr>
                <w:b/>
                <w:bCs/>
                <w:color w:val="000000" w:themeColor="text1"/>
                <w:sz w:val="21"/>
                <w:szCs w:val="21"/>
                <w:u w:val="single"/>
                <w14:textFill>
                  <w14:solidFill>
                    <w14:schemeClr w14:val="tx1"/>
                  </w14:solidFill>
                </w14:textFill>
              </w:rPr>
              <w:t>（dB(A)）</w:t>
            </w:r>
          </w:p>
        </w:tc>
        <w:tc>
          <w:tcPr>
            <w:tcW w:w="792" w:type="pct"/>
            <w:vAlign w:val="center"/>
          </w:tcPr>
          <w:p>
            <w:pPr>
              <w:spacing w:line="240" w:lineRule="auto"/>
              <w:ind w:firstLine="0" w:firstLineChars="0"/>
              <w:jc w:val="center"/>
              <w:rPr>
                <w:rFonts w:hint="eastAsia" w:eastAsia="宋体"/>
                <w:b/>
                <w:bCs/>
                <w:color w:val="000000" w:themeColor="text1"/>
                <w:sz w:val="21"/>
                <w:szCs w:val="21"/>
                <w:u w:val="single"/>
                <w:lang w:val="en-US" w:eastAsia="zh-CN"/>
                <w14:textFill>
                  <w14:solidFill>
                    <w14:schemeClr w14:val="tx1"/>
                  </w14:solidFill>
                </w14:textFill>
              </w:rPr>
            </w:pPr>
            <w:r>
              <w:rPr>
                <w:rFonts w:hint="eastAsia"/>
                <w:b/>
                <w:bCs/>
                <w:color w:val="000000" w:themeColor="text1"/>
                <w:sz w:val="21"/>
                <w:szCs w:val="21"/>
                <w:u w:val="single"/>
                <w:lang w:val="en-US" w:eastAsia="zh-CN"/>
                <w14:textFill>
                  <w14:solidFill>
                    <w14:schemeClr w14:val="tx1"/>
                  </w14:solidFill>
                </w14:textFill>
              </w:rPr>
              <w:t>昼间背景值</w:t>
            </w:r>
            <w:r>
              <w:rPr>
                <w:b/>
                <w:bCs/>
                <w:color w:val="000000" w:themeColor="text1"/>
                <w:sz w:val="21"/>
                <w:szCs w:val="21"/>
                <w:u w:val="single"/>
                <w14:textFill>
                  <w14:solidFill>
                    <w14:schemeClr w14:val="tx1"/>
                  </w14:solidFill>
                </w14:textFill>
              </w:rPr>
              <w:t>（dB(A)）</w:t>
            </w:r>
          </w:p>
        </w:tc>
        <w:tc>
          <w:tcPr>
            <w:tcW w:w="792" w:type="pct"/>
            <w:vAlign w:val="center"/>
          </w:tcPr>
          <w:p>
            <w:pPr>
              <w:spacing w:line="240" w:lineRule="auto"/>
              <w:ind w:firstLine="0" w:firstLineChars="0"/>
              <w:jc w:val="center"/>
              <w:rPr>
                <w:rFonts w:hint="eastAsia" w:eastAsia="宋体"/>
                <w:b/>
                <w:bCs/>
                <w:color w:val="000000" w:themeColor="text1"/>
                <w:sz w:val="21"/>
                <w:szCs w:val="21"/>
                <w:u w:val="single"/>
                <w:lang w:val="en-US" w:eastAsia="zh-CN"/>
                <w14:textFill>
                  <w14:solidFill>
                    <w14:schemeClr w14:val="tx1"/>
                  </w14:solidFill>
                </w14:textFill>
              </w:rPr>
            </w:pPr>
            <w:r>
              <w:rPr>
                <w:rFonts w:hint="eastAsia"/>
                <w:b/>
                <w:bCs/>
                <w:color w:val="000000" w:themeColor="text1"/>
                <w:sz w:val="21"/>
                <w:szCs w:val="21"/>
                <w:u w:val="single"/>
                <w:lang w:val="en-US" w:eastAsia="zh-CN"/>
                <w14:textFill>
                  <w14:solidFill>
                    <w14:schemeClr w14:val="tx1"/>
                  </w14:solidFill>
                </w14:textFill>
              </w:rPr>
              <w:t>预测值</w:t>
            </w:r>
            <w:r>
              <w:rPr>
                <w:b/>
                <w:bCs/>
                <w:color w:val="000000" w:themeColor="text1"/>
                <w:sz w:val="21"/>
                <w:szCs w:val="21"/>
                <w:u w:val="single"/>
                <w14:textFill>
                  <w14:solidFill>
                    <w14:schemeClr w14:val="tx1"/>
                  </w14:solidFill>
                </w14:textFill>
              </w:rPr>
              <w:t>（dB(A)）</w:t>
            </w:r>
          </w:p>
        </w:tc>
        <w:tc>
          <w:tcPr>
            <w:tcW w:w="792" w:type="pct"/>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标准限值（dB(A)）</w:t>
            </w:r>
          </w:p>
        </w:tc>
        <w:tc>
          <w:tcPr>
            <w:tcW w:w="664" w:type="pct"/>
            <w:vAlign w:val="center"/>
          </w:tcPr>
          <w:p>
            <w:pPr>
              <w:spacing w:line="240" w:lineRule="auto"/>
              <w:ind w:firstLine="0" w:firstLineChars="0"/>
              <w:jc w:val="center"/>
              <w:rPr>
                <w:b/>
                <w:bCs/>
                <w:color w:val="000000" w:themeColor="text1"/>
                <w:sz w:val="21"/>
                <w:szCs w:val="21"/>
                <w:u w:val="single"/>
                <w14:textFill>
                  <w14:solidFill>
                    <w14:schemeClr w14:val="tx1"/>
                  </w14:solidFill>
                </w14:textFill>
              </w:rPr>
            </w:pPr>
            <w:r>
              <w:rPr>
                <w:b/>
                <w:bCs/>
                <w:color w:val="000000" w:themeColor="text1"/>
                <w:sz w:val="21"/>
                <w:szCs w:val="21"/>
                <w:u w:val="single"/>
                <w14:textFill>
                  <w14:solidFill>
                    <w14:schemeClr w14:val="tx1"/>
                  </w14:solidFill>
                </w14:textFill>
              </w:rPr>
              <w:t>达标情况</w:t>
            </w:r>
          </w:p>
        </w:tc>
      </w:tr>
      <w:bookmarkEnd w:id="2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14" w:type="pct"/>
            <w:shd w:val="clear" w:color="auto" w:fill="FFFFFF"/>
            <w:vAlign w:val="center"/>
          </w:tcPr>
          <w:p>
            <w:pPr>
              <w:spacing w:line="240" w:lineRule="auto"/>
              <w:ind w:firstLine="0" w:firstLineChars="0"/>
              <w:jc w:val="center"/>
              <w:rPr>
                <w:rFonts w:hint="default" w:eastAsia="宋体" w:cs="宋体"/>
                <w:color w:val="000000" w:themeColor="text1"/>
                <w:sz w:val="21"/>
                <w:szCs w:val="22"/>
                <w:u w:val="single"/>
                <w:lang w:val="en-US" w:eastAsia="zh-CN"/>
                <w14:textFill>
                  <w14:solidFill>
                    <w14:schemeClr w14:val="tx1"/>
                  </w14:solidFill>
                </w14:textFill>
              </w:rPr>
            </w:pPr>
            <w:r>
              <w:rPr>
                <w:rFonts w:hint="eastAsia" w:cs="宋体"/>
                <w:color w:val="000000" w:themeColor="text1"/>
                <w:sz w:val="21"/>
                <w:szCs w:val="22"/>
                <w:u w:val="single"/>
                <w14:textFill>
                  <w14:solidFill>
                    <w14:schemeClr w14:val="tx1"/>
                  </w14:solidFill>
                </w14:textFill>
              </w:rPr>
              <w:t>东侧</w:t>
            </w:r>
            <w:r>
              <w:rPr>
                <w:rFonts w:hint="eastAsia" w:cs="宋体"/>
                <w:color w:val="000000" w:themeColor="text1"/>
                <w:sz w:val="21"/>
                <w:szCs w:val="22"/>
                <w:u w:val="single"/>
                <w:lang w:val="en-US" w:eastAsia="zh-CN"/>
                <w14:textFill>
                  <w14:solidFill>
                    <w14:schemeClr w14:val="tx1"/>
                  </w14:solidFill>
                </w14:textFill>
              </w:rPr>
              <w:t>敏感建筑前1m</w:t>
            </w:r>
          </w:p>
        </w:tc>
        <w:tc>
          <w:tcPr>
            <w:tcW w:w="554" w:type="pct"/>
            <w:shd w:val="clear" w:color="auto" w:fill="FFFFFF"/>
            <w:vAlign w:val="center"/>
          </w:tcPr>
          <w:p>
            <w:pPr>
              <w:spacing w:line="240" w:lineRule="auto"/>
              <w:ind w:firstLine="0" w:firstLineChars="0"/>
              <w:jc w:val="center"/>
              <w:rPr>
                <w:rFonts w:cs="宋体"/>
                <w:color w:val="000000" w:themeColor="text1"/>
                <w:sz w:val="21"/>
                <w:szCs w:val="22"/>
                <w:u w:val="single"/>
                <w14:textFill>
                  <w14:solidFill>
                    <w14:schemeClr w14:val="tx1"/>
                  </w14:solidFill>
                </w14:textFill>
              </w:rPr>
            </w:pPr>
            <w:r>
              <w:rPr>
                <w:rFonts w:hint="eastAsia" w:cs="宋体"/>
                <w:color w:val="000000" w:themeColor="text1"/>
                <w:sz w:val="21"/>
                <w:szCs w:val="22"/>
                <w:u w:val="single"/>
                <w14:textFill>
                  <w14:solidFill>
                    <w14:schemeClr w14:val="tx1"/>
                  </w14:solidFill>
                </w14:textFill>
              </w:rPr>
              <w:t>昼间</w:t>
            </w:r>
          </w:p>
        </w:tc>
        <w:tc>
          <w:tcPr>
            <w:tcW w:w="790" w:type="pct"/>
            <w:shd w:val="clear" w:color="auto" w:fill="FFFFFF"/>
            <w:vAlign w:val="center"/>
          </w:tcPr>
          <w:p>
            <w:pPr>
              <w:spacing w:line="240" w:lineRule="auto"/>
              <w:ind w:firstLine="0" w:firstLineChars="0"/>
              <w:jc w:val="center"/>
              <w:rPr>
                <w:rFonts w:hint="default" w:eastAsia="宋体" w:cs="宋体"/>
                <w:color w:val="000000" w:themeColor="text1"/>
                <w:sz w:val="21"/>
                <w:szCs w:val="22"/>
                <w:u w:val="single"/>
                <w:lang w:val="en-US" w:eastAsia="zh-CN"/>
                <w14:textFill>
                  <w14:solidFill>
                    <w14:schemeClr w14:val="tx1"/>
                  </w14:solidFill>
                </w14:textFill>
              </w:rPr>
            </w:pPr>
            <w:r>
              <w:rPr>
                <w:rFonts w:hint="eastAsia" w:cs="宋体"/>
                <w:color w:val="000000" w:themeColor="text1"/>
                <w:sz w:val="21"/>
                <w:szCs w:val="22"/>
                <w:u w:val="single"/>
                <w:lang w:val="en-US" w:eastAsia="zh-CN"/>
                <w14:textFill>
                  <w14:solidFill>
                    <w14:schemeClr w14:val="tx1"/>
                  </w14:solidFill>
                </w14:textFill>
              </w:rPr>
              <w:t>18.51</w:t>
            </w:r>
          </w:p>
        </w:tc>
        <w:tc>
          <w:tcPr>
            <w:tcW w:w="792" w:type="pct"/>
            <w:shd w:val="clear" w:color="auto" w:fill="FFFFFF"/>
            <w:vAlign w:val="center"/>
          </w:tcPr>
          <w:p>
            <w:pPr>
              <w:spacing w:line="240" w:lineRule="auto"/>
              <w:ind w:firstLine="0" w:firstLineChars="0"/>
              <w:jc w:val="center"/>
              <w:rPr>
                <w:rFonts w:hint="default" w:eastAsia="宋体" w:cs="Arial"/>
                <w:color w:val="000000" w:themeColor="text1"/>
                <w:sz w:val="21"/>
                <w:szCs w:val="22"/>
                <w:u w:val="single"/>
                <w:lang w:val="en-US" w:eastAsia="zh-CN"/>
                <w14:textFill>
                  <w14:solidFill>
                    <w14:schemeClr w14:val="tx1"/>
                  </w14:solidFill>
                </w14:textFill>
              </w:rPr>
            </w:pPr>
            <w:r>
              <w:rPr>
                <w:rFonts w:hint="eastAsia" w:cs="Arial"/>
                <w:color w:val="000000" w:themeColor="text1"/>
                <w:sz w:val="21"/>
                <w:szCs w:val="22"/>
                <w:u w:val="single"/>
                <w:lang w:val="en-US" w:eastAsia="zh-CN"/>
                <w14:textFill>
                  <w14:solidFill>
                    <w14:schemeClr w14:val="tx1"/>
                  </w14:solidFill>
                </w14:textFill>
              </w:rPr>
              <w:t>56</w:t>
            </w:r>
          </w:p>
        </w:tc>
        <w:tc>
          <w:tcPr>
            <w:tcW w:w="792" w:type="pct"/>
            <w:shd w:val="clear" w:color="auto" w:fill="FFFFFF"/>
            <w:vAlign w:val="center"/>
          </w:tcPr>
          <w:p>
            <w:pPr>
              <w:spacing w:line="240" w:lineRule="auto"/>
              <w:ind w:firstLine="0" w:firstLineChars="0"/>
              <w:jc w:val="center"/>
              <w:rPr>
                <w:rFonts w:hint="default" w:eastAsia="宋体" w:cs="Arial"/>
                <w:color w:val="000000" w:themeColor="text1"/>
                <w:sz w:val="21"/>
                <w:szCs w:val="22"/>
                <w:u w:val="single"/>
                <w:lang w:val="en-US" w:eastAsia="zh-CN"/>
                <w14:textFill>
                  <w14:solidFill>
                    <w14:schemeClr w14:val="tx1"/>
                  </w14:solidFill>
                </w14:textFill>
              </w:rPr>
            </w:pPr>
            <w:r>
              <w:rPr>
                <w:rFonts w:hint="eastAsia" w:cs="Arial"/>
                <w:color w:val="000000" w:themeColor="text1"/>
                <w:sz w:val="21"/>
                <w:szCs w:val="22"/>
                <w:u w:val="single"/>
                <w:lang w:val="en-US" w:eastAsia="zh-CN"/>
                <w14:textFill>
                  <w14:solidFill>
                    <w14:schemeClr w14:val="tx1"/>
                  </w14:solidFill>
                </w14:textFill>
              </w:rPr>
              <w:t>56</w:t>
            </w:r>
          </w:p>
        </w:tc>
        <w:tc>
          <w:tcPr>
            <w:tcW w:w="792" w:type="pct"/>
            <w:shd w:val="clear" w:color="auto" w:fill="FFFFFF"/>
            <w:vAlign w:val="center"/>
          </w:tcPr>
          <w:p>
            <w:pPr>
              <w:spacing w:line="240" w:lineRule="auto"/>
              <w:ind w:firstLine="0" w:firstLineChars="0"/>
              <w:jc w:val="center"/>
              <w:rPr>
                <w:rFonts w:cs="宋体"/>
                <w:color w:val="000000" w:themeColor="text1"/>
                <w:sz w:val="21"/>
                <w:szCs w:val="22"/>
                <w:u w:val="single"/>
                <w14:textFill>
                  <w14:solidFill>
                    <w14:schemeClr w14:val="tx1"/>
                  </w14:solidFill>
                </w14:textFill>
              </w:rPr>
            </w:pPr>
            <w:r>
              <w:rPr>
                <w:rFonts w:cs="Arial"/>
                <w:color w:val="000000" w:themeColor="text1"/>
                <w:sz w:val="21"/>
                <w:szCs w:val="22"/>
                <w:u w:val="single"/>
                <w14:textFill>
                  <w14:solidFill>
                    <w14:schemeClr w14:val="tx1"/>
                  </w14:solidFill>
                </w14:textFill>
              </w:rPr>
              <w:t>60</w:t>
            </w:r>
          </w:p>
        </w:tc>
        <w:tc>
          <w:tcPr>
            <w:tcW w:w="664" w:type="pct"/>
            <w:shd w:val="clear" w:color="auto" w:fill="FFFFFF"/>
            <w:vAlign w:val="center"/>
          </w:tcPr>
          <w:p>
            <w:pPr>
              <w:spacing w:line="240" w:lineRule="auto"/>
              <w:ind w:firstLine="0" w:firstLineChars="0"/>
              <w:jc w:val="center"/>
              <w:rPr>
                <w:rFonts w:cs="宋体"/>
                <w:color w:val="000000" w:themeColor="text1"/>
                <w:sz w:val="21"/>
                <w:szCs w:val="22"/>
                <w:u w:val="single"/>
                <w14:textFill>
                  <w14:solidFill>
                    <w14:schemeClr w14:val="tx1"/>
                  </w14:solidFill>
                </w14:textFill>
              </w:rPr>
            </w:pPr>
            <w:r>
              <w:rPr>
                <w:rFonts w:hint="eastAsia" w:cs="宋体"/>
                <w:color w:val="000000" w:themeColor="text1"/>
                <w:sz w:val="21"/>
                <w:szCs w:val="22"/>
                <w:u w:val="singl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14" w:type="pct"/>
            <w:shd w:val="clear" w:color="auto" w:fill="FFFFFF"/>
            <w:vAlign w:val="center"/>
          </w:tcPr>
          <w:p>
            <w:pPr>
              <w:spacing w:line="240" w:lineRule="auto"/>
              <w:ind w:firstLine="0" w:firstLineChars="0"/>
              <w:jc w:val="center"/>
              <w:rPr>
                <w:rFonts w:cs="宋体"/>
                <w:color w:val="000000" w:themeColor="text1"/>
                <w:sz w:val="21"/>
                <w:szCs w:val="22"/>
                <w:u w:val="single"/>
                <w14:textFill>
                  <w14:solidFill>
                    <w14:schemeClr w14:val="tx1"/>
                  </w14:solidFill>
                </w14:textFill>
              </w:rPr>
            </w:pPr>
            <w:r>
              <w:rPr>
                <w:rFonts w:hint="eastAsia" w:cs="宋体"/>
                <w:color w:val="000000" w:themeColor="text1"/>
                <w:sz w:val="21"/>
                <w:szCs w:val="22"/>
                <w:u w:val="single"/>
                <w14:textFill>
                  <w14:solidFill>
                    <w14:schemeClr w14:val="tx1"/>
                  </w14:solidFill>
                </w14:textFill>
              </w:rPr>
              <w:t>西侧</w:t>
            </w:r>
            <w:r>
              <w:rPr>
                <w:rFonts w:hint="eastAsia" w:cs="宋体"/>
                <w:color w:val="000000" w:themeColor="text1"/>
                <w:sz w:val="21"/>
                <w:szCs w:val="22"/>
                <w:u w:val="single"/>
                <w:lang w:val="en-US" w:eastAsia="zh-CN"/>
                <w14:textFill>
                  <w14:solidFill>
                    <w14:schemeClr w14:val="tx1"/>
                  </w14:solidFill>
                </w14:textFill>
              </w:rPr>
              <w:t>敏感建筑前1m</w:t>
            </w:r>
          </w:p>
        </w:tc>
        <w:tc>
          <w:tcPr>
            <w:tcW w:w="554" w:type="pct"/>
            <w:shd w:val="clear" w:color="auto" w:fill="FFFFFF"/>
            <w:vAlign w:val="center"/>
          </w:tcPr>
          <w:p>
            <w:pPr>
              <w:spacing w:line="240" w:lineRule="auto"/>
              <w:ind w:firstLine="0" w:firstLineChars="0"/>
              <w:jc w:val="center"/>
              <w:rPr>
                <w:rFonts w:cs="宋体"/>
                <w:color w:val="000000" w:themeColor="text1"/>
                <w:sz w:val="21"/>
                <w:szCs w:val="22"/>
                <w:u w:val="single"/>
                <w14:textFill>
                  <w14:solidFill>
                    <w14:schemeClr w14:val="tx1"/>
                  </w14:solidFill>
                </w14:textFill>
              </w:rPr>
            </w:pPr>
            <w:r>
              <w:rPr>
                <w:rFonts w:hint="eastAsia" w:cs="宋体"/>
                <w:color w:val="000000" w:themeColor="text1"/>
                <w:sz w:val="21"/>
                <w:szCs w:val="22"/>
                <w:u w:val="single"/>
                <w14:textFill>
                  <w14:solidFill>
                    <w14:schemeClr w14:val="tx1"/>
                  </w14:solidFill>
                </w14:textFill>
              </w:rPr>
              <w:t>昼间</w:t>
            </w:r>
          </w:p>
        </w:tc>
        <w:tc>
          <w:tcPr>
            <w:tcW w:w="790" w:type="pct"/>
            <w:shd w:val="clear" w:color="auto" w:fill="FFFFFF"/>
            <w:vAlign w:val="center"/>
          </w:tcPr>
          <w:p>
            <w:pPr>
              <w:spacing w:line="240" w:lineRule="auto"/>
              <w:ind w:firstLine="0" w:firstLineChars="0"/>
              <w:jc w:val="center"/>
              <w:rPr>
                <w:rFonts w:hint="default" w:eastAsia="宋体" w:cs="宋体"/>
                <w:color w:val="000000" w:themeColor="text1"/>
                <w:sz w:val="21"/>
                <w:szCs w:val="22"/>
                <w:u w:val="single"/>
                <w:lang w:val="en-US" w:eastAsia="zh-CN"/>
                <w14:textFill>
                  <w14:solidFill>
                    <w14:schemeClr w14:val="tx1"/>
                  </w14:solidFill>
                </w14:textFill>
              </w:rPr>
            </w:pPr>
            <w:r>
              <w:rPr>
                <w:rFonts w:hint="eastAsia" w:cs="宋体"/>
                <w:color w:val="000000" w:themeColor="text1"/>
                <w:sz w:val="21"/>
                <w:szCs w:val="22"/>
                <w:u w:val="single"/>
                <w:lang w:val="en-US" w:eastAsia="zh-CN"/>
                <w14:textFill>
                  <w14:solidFill>
                    <w14:schemeClr w14:val="tx1"/>
                  </w14:solidFill>
                </w14:textFill>
              </w:rPr>
              <w:t>47.44</w:t>
            </w:r>
          </w:p>
        </w:tc>
        <w:tc>
          <w:tcPr>
            <w:tcW w:w="792" w:type="pct"/>
            <w:shd w:val="clear" w:color="auto" w:fill="FFFFFF"/>
            <w:vAlign w:val="center"/>
          </w:tcPr>
          <w:p>
            <w:pPr>
              <w:spacing w:line="240" w:lineRule="auto"/>
              <w:ind w:firstLine="0" w:firstLineChars="0"/>
              <w:jc w:val="center"/>
              <w:rPr>
                <w:rFonts w:hint="default" w:eastAsia="宋体" w:cs="Arial"/>
                <w:color w:val="000000" w:themeColor="text1"/>
                <w:sz w:val="21"/>
                <w:szCs w:val="22"/>
                <w:u w:val="single"/>
                <w:lang w:val="en-US" w:eastAsia="zh-CN"/>
                <w14:textFill>
                  <w14:solidFill>
                    <w14:schemeClr w14:val="tx1"/>
                  </w14:solidFill>
                </w14:textFill>
              </w:rPr>
            </w:pPr>
            <w:r>
              <w:rPr>
                <w:rFonts w:hint="eastAsia" w:cs="Arial"/>
                <w:color w:val="000000" w:themeColor="text1"/>
                <w:sz w:val="21"/>
                <w:szCs w:val="22"/>
                <w:u w:val="single"/>
                <w:lang w:val="en-US" w:eastAsia="zh-CN"/>
                <w14:textFill>
                  <w14:solidFill>
                    <w14:schemeClr w14:val="tx1"/>
                  </w14:solidFill>
                </w14:textFill>
              </w:rPr>
              <w:t>58</w:t>
            </w:r>
          </w:p>
        </w:tc>
        <w:tc>
          <w:tcPr>
            <w:tcW w:w="792" w:type="pct"/>
            <w:shd w:val="clear" w:color="auto" w:fill="FFFFFF"/>
            <w:vAlign w:val="center"/>
          </w:tcPr>
          <w:p>
            <w:pPr>
              <w:spacing w:line="240" w:lineRule="auto"/>
              <w:ind w:firstLine="0" w:firstLineChars="0"/>
              <w:jc w:val="center"/>
              <w:rPr>
                <w:rFonts w:hint="default" w:eastAsia="宋体" w:cs="Arial"/>
                <w:color w:val="000000" w:themeColor="text1"/>
                <w:sz w:val="21"/>
                <w:szCs w:val="22"/>
                <w:u w:val="single"/>
                <w:lang w:val="en-US" w:eastAsia="zh-CN"/>
                <w14:textFill>
                  <w14:solidFill>
                    <w14:schemeClr w14:val="tx1"/>
                  </w14:solidFill>
                </w14:textFill>
              </w:rPr>
            </w:pPr>
            <w:r>
              <w:rPr>
                <w:rFonts w:hint="eastAsia" w:cs="Arial"/>
                <w:color w:val="000000" w:themeColor="text1"/>
                <w:sz w:val="21"/>
                <w:szCs w:val="22"/>
                <w:u w:val="single"/>
                <w:lang w:val="en-US" w:eastAsia="zh-CN"/>
                <w14:textFill>
                  <w14:solidFill>
                    <w14:schemeClr w14:val="tx1"/>
                  </w14:solidFill>
                </w14:textFill>
              </w:rPr>
              <w:t>58.37</w:t>
            </w:r>
          </w:p>
        </w:tc>
        <w:tc>
          <w:tcPr>
            <w:tcW w:w="792" w:type="pct"/>
            <w:shd w:val="clear" w:color="auto" w:fill="FFFFFF"/>
            <w:vAlign w:val="center"/>
          </w:tcPr>
          <w:p>
            <w:pPr>
              <w:spacing w:line="240" w:lineRule="auto"/>
              <w:ind w:firstLine="0" w:firstLineChars="0"/>
              <w:jc w:val="center"/>
              <w:rPr>
                <w:rFonts w:cs="宋体"/>
                <w:color w:val="000000" w:themeColor="text1"/>
                <w:sz w:val="21"/>
                <w:szCs w:val="22"/>
                <w:u w:val="single"/>
                <w14:textFill>
                  <w14:solidFill>
                    <w14:schemeClr w14:val="tx1"/>
                  </w14:solidFill>
                </w14:textFill>
              </w:rPr>
            </w:pPr>
            <w:r>
              <w:rPr>
                <w:rFonts w:cs="Arial"/>
                <w:color w:val="000000" w:themeColor="text1"/>
                <w:sz w:val="21"/>
                <w:szCs w:val="22"/>
                <w:u w:val="single"/>
                <w14:textFill>
                  <w14:solidFill>
                    <w14:schemeClr w14:val="tx1"/>
                  </w14:solidFill>
                </w14:textFill>
              </w:rPr>
              <w:t>60</w:t>
            </w:r>
          </w:p>
        </w:tc>
        <w:tc>
          <w:tcPr>
            <w:tcW w:w="664" w:type="pct"/>
            <w:shd w:val="clear" w:color="auto" w:fill="FFFFFF"/>
            <w:vAlign w:val="center"/>
          </w:tcPr>
          <w:p>
            <w:pPr>
              <w:spacing w:line="240" w:lineRule="auto"/>
              <w:ind w:firstLine="0" w:firstLineChars="0"/>
              <w:jc w:val="center"/>
              <w:rPr>
                <w:rFonts w:cs="宋体"/>
                <w:color w:val="000000" w:themeColor="text1"/>
                <w:sz w:val="21"/>
                <w:szCs w:val="22"/>
                <w:u w:val="single"/>
                <w14:textFill>
                  <w14:solidFill>
                    <w14:schemeClr w14:val="tx1"/>
                  </w14:solidFill>
                </w14:textFill>
              </w:rPr>
            </w:pPr>
            <w:r>
              <w:rPr>
                <w:rFonts w:hint="eastAsia" w:cs="宋体"/>
                <w:color w:val="000000" w:themeColor="text1"/>
                <w:sz w:val="21"/>
                <w:szCs w:val="22"/>
                <w:u w:val="singl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14" w:type="pct"/>
            <w:shd w:val="clear" w:color="auto" w:fill="FFFFFF"/>
            <w:vAlign w:val="center"/>
          </w:tcPr>
          <w:p>
            <w:pPr>
              <w:spacing w:line="240" w:lineRule="auto"/>
              <w:ind w:firstLine="0" w:firstLineChars="0"/>
              <w:jc w:val="center"/>
              <w:rPr>
                <w:rFonts w:cs="宋体"/>
                <w:color w:val="000000" w:themeColor="text1"/>
                <w:sz w:val="21"/>
                <w:szCs w:val="22"/>
                <w:u w:val="single"/>
                <w14:textFill>
                  <w14:solidFill>
                    <w14:schemeClr w14:val="tx1"/>
                  </w14:solidFill>
                </w14:textFill>
              </w:rPr>
            </w:pPr>
            <w:r>
              <w:rPr>
                <w:rFonts w:hint="eastAsia" w:cs="宋体"/>
                <w:color w:val="000000" w:themeColor="text1"/>
                <w:sz w:val="21"/>
                <w:szCs w:val="22"/>
                <w:u w:val="single"/>
                <w14:textFill>
                  <w14:solidFill>
                    <w14:schemeClr w14:val="tx1"/>
                  </w14:solidFill>
                </w14:textFill>
              </w:rPr>
              <w:t>北侧</w:t>
            </w:r>
            <w:r>
              <w:rPr>
                <w:rFonts w:hint="eastAsia" w:cs="宋体"/>
                <w:color w:val="000000" w:themeColor="text1"/>
                <w:sz w:val="21"/>
                <w:szCs w:val="22"/>
                <w:u w:val="single"/>
                <w:lang w:val="en-US" w:eastAsia="zh-CN"/>
                <w14:textFill>
                  <w14:solidFill>
                    <w14:schemeClr w14:val="tx1"/>
                  </w14:solidFill>
                </w14:textFill>
              </w:rPr>
              <w:t>敏感建筑前1m</w:t>
            </w:r>
          </w:p>
        </w:tc>
        <w:tc>
          <w:tcPr>
            <w:tcW w:w="554" w:type="pct"/>
            <w:shd w:val="clear" w:color="auto" w:fill="FFFFFF"/>
            <w:vAlign w:val="center"/>
          </w:tcPr>
          <w:p>
            <w:pPr>
              <w:spacing w:line="240" w:lineRule="auto"/>
              <w:ind w:firstLine="0" w:firstLineChars="0"/>
              <w:jc w:val="center"/>
              <w:rPr>
                <w:rFonts w:cs="宋体"/>
                <w:color w:val="000000" w:themeColor="text1"/>
                <w:sz w:val="21"/>
                <w:szCs w:val="22"/>
                <w:u w:val="single"/>
                <w14:textFill>
                  <w14:solidFill>
                    <w14:schemeClr w14:val="tx1"/>
                  </w14:solidFill>
                </w14:textFill>
              </w:rPr>
            </w:pPr>
            <w:r>
              <w:rPr>
                <w:rFonts w:hint="eastAsia" w:cs="宋体"/>
                <w:color w:val="000000" w:themeColor="text1"/>
                <w:sz w:val="21"/>
                <w:szCs w:val="22"/>
                <w:u w:val="single"/>
                <w14:textFill>
                  <w14:solidFill>
                    <w14:schemeClr w14:val="tx1"/>
                  </w14:solidFill>
                </w14:textFill>
              </w:rPr>
              <w:t>昼间</w:t>
            </w:r>
          </w:p>
        </w:tc>
        <w:tc>
          <w:tcPr>
            <w:tcW w:w="790" w:type="pct"/>
            <w:shd w:val="clear" w:color="auto" w:fill="FFFFFF"/>
            <w:vAlign w:val="center"/>
          </w:tcPr>
          <w:p>
            <w:pPr>
              <w:spacing w:line="240" w:lineRule="auto"/>
              <w:ind w:firstLine="0" w:firstLineChars="0"/>
              <w:jc w:val="center"/>
              <w:rPr>
                <w:rFonts w:hint="default" w:eastAsia="宋体" w:cs="宋体"/>
                <w:color w:val="000000" w:themeColor="text1"/>
                <w:sz w:val="21"/>
                <w:szCs w:val="22"/>
                <w:u w:val="single"/>
                <w:lang w:val="en-US" w:eastAsia="zh-CN"/>
                <w14:textFill>
                  <w14:solidFill>
                    <w14:schemeClr w14:val="tx1"/>
                  </w14:solidFill>
                </w14:textFill>
              </w:rPr>
            </w:pPr>
            <w:r>
              <w:rPr>
                <w:rFonts w:hint="eastAsia" w:cs="宋体"/>
                <w:color w:val="000000" w:themeColor="text1"/>
                <w:sz w:val="21"/>
                <w:szCs w:val="22"/>
                <w:u w:val="single"/>
                <w:lang w:val="en-US" w:eastAsia="zh-CN"/>
                <w14:textFill>
                  <w14:solidFill>
                    <w14:schemeClr w14:val="tx1"/>
                  </w14:solidFill>
                </w14:textFill>
              </w:rPr>
              <w:t>47.52</w:t>
            </w:r>
          </w:p>
        </w:tc>
        <w:tc>
          <w:tcPr>
            <w:tcW w:w="792" w:type="pct"/>
            <w:shd w:val="clear" w:color="auto" w:fill="FFFFFF"/>
            <w:vAlign w:val="center"/>
          </w:tcPr>
          <w:p>
            <w:pPr>
              <w:spacing w:line="240" w:lineRule="auto"/>
              <w:ind w:firstLine="0" w:firstLineChars="0"/>
              <w:jc w:val="center"/>
              <w:rPr>
                <w:rFonts w:hint="default" w:eastAsia="宋体" w:cs="Arial"/>
                <w:color w:val="000000" w:themeColor="text1"/>
                <w:sz w:val="21"/>
                <w:szCs w:val="22"/>
                <w:u w:val="single"/>
                <w:lang w:val="en-US" w:eastAsia="zh-CN"/>
                <w14:textFill>
                  <w14:solidFill>
                    <w14:schemeClr w14:val="tx1"/>
                  </w14:solidFill>
                </w14:textFill>
              </w:rPr>
            </w:pPr>
            <w:r>
              <w:rPr>
                <w:rFonts w:hint="eastAsia" w:cs="Arial"/>
                <w:color w:val="000000" w:themeColor="text1"/>
                <w:sz w:val="21"/>
                <w:szCs w:val="22"/>
                <w:u w:val="single"/>
                <w:lang w:val="en-US" w:eastAsia="zh-CN"/>
                <w14:textFill>
                  <w14:solidFill>
                    <w14:schemeClr w14:val="tx1"/>
                  </w14:solidFill>
                </w14:textFill>
              </w:rPr>
              <w:t>57</w:t>
            </w:r>
          </w:p>
        </w:tc>
        <w:tc>
          <w:tcPr>
            <w:tcW w:w="792" w:type="pct"/>
            <w:shd w:val="clear" w:color="auto" w:fill="FFFFFF"/>
            <w:vAlign w:val="center"/>
          </w:tcPr>
          <w:p>
            <w:pPr>
              <w:spacing w:line="240" w:lineRule="auto"/>
              <w:ind w:firstLine="0" w:firstLineChars="0"/>
              <w:jc w:val="center"/>
              <w:rPr>
                <w:rFonts w:hint="default" w:eastAsia="宋体" w:cs="Arial"/>
                <w:color w:val="000000" w:themeColor="text1"/>
                <w:sz w:val="21"/>
                <w:szCs w:val="22"/>
                <w:u w:val="single"/>
                <w:lang w:val="en-US" w:eastAsia="zh-CN"/>
                <w14:textFill>
                  <w14:solidFill>
                    <w14:schemeClr w14:val="tx1"/>
                  </w14:solidFill>
                </w14:textFill>
              </w:rPr>
            </w:pPr>
            <w:r>
              <w:rPr>
                <w:rFonts w:hint="eastAsia" w:cs="Arial"/>
                <w:color w:val="000000" w:themeColor="text1"/>
                <w:sz w:val="21"/>
                <w:szCs w:val="22"/>
                <w:u w:val="single"/>
                <w:lang w:val="en-US" w:eastAsia="zh-CN"/>
                <w14:textFill>
                  <w14:solidFill>
                    <w14:schemeClr w14:val="tx1"/>
                  </w14:solidFill>
                </w14:textFill>
              </w:rPr>
              <w:t>57.46</w:t>
            </w:r>
          </w:p>
        </w:tc>
        <w:tc>
          <w:tcPr>
            <w:tcW w:w="792" w:type="pct"/>
            <w:shd w:val="clear" w:color="auto" w:fill="FFFFFF"/>
            <w:vAlign w:val="center"/>
          </w:tcPr>
          <w:p>
            <w:pPr>
              <w:spacing w:line="240" w:lineRule="auto"/>
              <w:ind w:firstLine="0" w:firstLineChars="0"/>
              <w:jc w:val="center"/>
              <w:rPr>
                <w:rFonts w:cs="宋体"/>
                <w:color w:val="000000" w:themeColor="text1"/>
                <w:sz w:val="21"/>
                <w:szCs w:val="22"/>
                <w:u w:val="single"/>
                <w14:textFill>
                  <w14:solidFill>
                    <w14:schemeClr w14:val="tx1"/>
                  </w14:solidFill>
                </w14:textFill>
              </w:rPr>
            </w:pPr>
            <w:r>
              <w:rPr>
                <w:rFonts w:cs="Arial"/>
                <w:color w:val="000000" w:themeColor="text1"/>
                <w:sz w:val="21"/>
                <w:szCs w:val="22"/>
                <w:u w:val="single"/>
                <w14:textFill>
                  <w14:solidFill>
                    <w14:schemeClr w14:val="tx1"/>
                  </w14:solidFill>
                </w14:textFill>
              </w:rPr>
              <w:t>60</w:t>
            </w:r>
          </w:p>
        </w:tc>
        <w:tc>
          <w:tcPr>
            <w:tcW w:w="664" w:type="pct"/>
            <w:shd w:val="clear" w:color="auto" w:fill="FFFFFF"/>
            <w:vAlign w:val="center"/>
          </w:tcPr>
          <w:p>
            <w:pPr>
              <w:spacing w:line="240" w:lineRule="auto"/>
              <w:ind w:firstLine="0" w:firstLineChars="0"/>
              <w:jc w:val="center"/>
              <w:rPr>
                <w:rFonts w:cs="宋体"/>
                <w:color w:val="000000" w:themeColor="text1"/>
                <w:sz w:val="21"/>
                <w:szCs w:val="22"/>
                <w:u w:val="single"/>
                <w14:textFill>
                  <w14:solidFill>
                    <w14:schemeClr w14:val="tx1"/>
                  </w14:solidFill>
                </w14:textFill>
              </w:rPr>
            </w:pPr>
            <w:r>
              <w:rPr>
                <w:rFonts w:hint="eastAsia" w:cs="宋体"/>
                <w:color w:val="000000" w:themeColor="text1"/>
                <w:sz w:val="21"/>
                <w:szCs w:val="22"/>
                <w:u w:val="singl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14" w:type="pct"/>
            <w:shd w:val="clear" w:color="auto" w:fill="FFFFFF"/>
            <w:vAlign w:val="center"/>
          </w:tcPr>
          <w:p>
            <w:pPr>
              <w:spacing w:line="240" w:lineRule="auto"/>
              <w:ind w:firstLine="0" w:firstLineChars="0"/>
              <w:jc w:val="center"/>
              <w:rPr>
                <w:rFonts w:hint="eastAsia" w:eastAsia="宋体" w:cs="宋体"/>
                <w:color w:val="000000" w:themeColor="text1"/>
                <w:sz w:val="21"/>
                <w:szCs w:val="22"/>
                <w:u w:val="single"/>
                <w:lang w:val="en-US" w:eastAsia="zh-CN"/>
                <w14:textFill>
                  <w14:solidFill>
                    <w14:schemeClr w14:val="tx1"/>
                  </w14:solidFill>
                </w14:textFill>
              </w:rPr>
            </w:pPr>
            <w:r>
              <w:rPr>
                <w:rFonts w:hint="eastAsia" w:cs="宋体"/>
                <w:color w:val="000000" w:themeColor="text1"/>
                <w:sz w:val="21"/>
                <w:szCs w:val="22"/>
                <w:u w:val="single"/>
                <w:lang w:val="en-US" w:eastAsia="zh-CN"/>
                <w14:textFill>
                  <w14:solidFill>
                    <w14:schemeClr w14:val="tx1"/>
                  </w14:solidFill>
                </w14:textFill>
              </w:rPr>
              <w:t>厂界南侧</w:t>
            </w:r>
          </w:p>
        </w:tc>
        <w:tc>
          <w:tcPr>
            <w:tcW w:w="554" w:type="pct"/>
            <w:shd w:val="clear" w:color="auto" w:fill="FFFFFF"/>
            <w:vAlign w:val="center"/>
          </w:tcPr>
          <w:p>
            <w:pPr>
              <w:spacing w:line="240" w:lineRule="auto"/>
              <w:ind w:firstLine="0" w:firstLineChars="0"/>
              <w:jc w:val="center"/>
              <w:rPr>
                <w:rFonts w:hint="eastAsia" w:cs="宋体"/>
                <w:color w:val="000000" w:themeColor="text1"/>
                <w:sz w:val="21"/>
                <w:szCs w:val="22"/>
                <w:u w:val="single"/>
                <w14:textFill>
                  <w14:solidFill>
                    <w14:schemeClr w14:val="tx1"/>
                  </w14:solidFill>
                </w14:textFill>
              </w:rPr>
            </w:pPr>
            <w:r>
              <w:rPr>
                <w:rFonts w:hint="eastAsia" w:cs="宋体"/>
                <w:color w:val="000000" w:themeColor="text1"/>
                <w:sz w:val="21"/>
                <w:szCs w:val="22"/>
                <w:u w:val="single"/>
                <w14:textFill>
                  <w14:solidFill>
                    <w14:schemeClr w14:val="tx1"/>
                  </w14:solidFill>
                </w14:textFill>
              </w:rPr>
              <w:t>昼间</w:t>
            </w:r>
          </w:p>
        </w:tc>
        <w:tc>
          <w:tcPr>
            <w:tcW w:w="790" w:type="pct"/>
            <w:shd w:val="clear" w:color="auto" w:fill="FFFFFF"/>
            <w:vAlign w:val="center"/>
          </w:tcPr>
          <w:p>
            <w:pPr>
              <w:spacing w:line="240" w:lineRule="auto"/>
              <w:ind w:firstLine="0" w:firstLineChars="0"/>
              <w:jc w:val="center"/>
              <w:rPr>
                <w:rFonts w:hint="default" w:eastAsia="宋体" w:cs="宋体"/>
                <w:color w:val="000000" w:themeColor="text1"/>
                <w:sz w:val="21"/>
                <w:szCs w:val="22"/>
                <w:u w:val="single"/>
                <w:lang w:val="en-US" w:eastAsia="zh-CN"/>
                <w14:textFill>
                  <w14:solidFill>
                    <w14:schemeClr w14:val="tx1"/>
                  </w14:solidFill>
                </w14:textFill>
              </w:rPr>
            </w:pPr>
            <w:r>
              <w:rPr>
                <w:rFonts w:hint="eastAsia" w:cs="宋体"/>
                <w:color w:val="000000" w:themeColor="text1"/>
                <w:sz w:val="21"/>
                <w:szCs w:val="22"/>
                <w:u w:val="single"/>
                <w:lang w:val="en-US" w:eastAsia="zh-CN"/>
                <w14:textFill>
                  <w14:solidFill>
                    <w14:schemeClr w14:val="tx1"/>
                  </w14:solidFill>
                </w14:textFill>
              </w:rPr>
              <w:t>54.20</w:t>
            </w:r>
          </w:p>
        </w:tc>
        <w:tc>
          <w:tcPr>
            <w:tcW w:w="792" w:type="pct"/>
            <w:shd w:val="clear" w:color="auto" w:fill="FFFFFF"/>
            <w:vAlign w:val="center"/>
          </w:tcPr>
          <w:p>
            <w:pPr>
              <w:spacing w:line="240" w:lineRule="auto"/>
              <w:ind w:firstLine="0" w:firstLineChars="0"/>
              <w:jc w:val="center"/>
              <w:rPr>
                <w:rFonts w:hint="eastAsia" w:eastAsia="宋体" w:cs="Arial"/>
                <w:color w:val="000000" w:themeColor="text1"/>
                <w:sz w:val="21"/>
                <w:szCs w:val="22"/>
                <w:u w:val="single"/>
                <w:lang w:val="en-US" w:eastAsia="zh-CN"/>
                <w14:textFill>
                  <w14:solidFill>
                    <w14:schemeClr w14:val="tx1"/>
                  </w14:solidFill>
                </w14:textFill>
              </w:rPr>
            </w:pPr>
            <w:r>
              <w:rPr>
                <w:rFonts w:hint="eastAsia" w:cs="Arial"/>
                <w:color w:val="000000" w:themeColor="text1"/>
                <w:sz w:val="21"/>
                <w:szCs w:val="22"/>
                <w:u w:val="single"/>
                <w:lang w:val="en-US" w:eastAsia="zh-CN"/>
                <w14:textFill>
                  <w14:solidFill>
                    <w14:schemeClr w14:val="tx1"/>
                  </w14:solidFill>
                </w14:textFill>
              </w:rPr>
              <w:t>/</w:t>
            </w:r>
          </w:p>
        </w:tc>
        <w:tc>
          <w:tcPr>
            <w:tcW w:w="792" w:type="pct"/>
            <w:shd w:val="clear" w:color="auto" w:fill="FFFFFF"/>
            <w:vAlign w:val="center"/>
          </w:tcPr>
          <w:p>
            <w:pPr>
              <w:spacing w:line="240" w:lineRule="auto"/>
              <w:ind w:firstLine="0" w:firstLineChars="0"/>
              <w:jc w:val="center"/>
              <w:rPr>
                <w:rFonts w:hint="default" w:eastAsia="宋体" w:cs="Arial"/>
                <w:color w:val="000000" w:themeColor="text1"/>
                <w:sz w:val="21"/>
                <w:szCs w:val="22"/>
                <w:u w:val="single"/>
                <w:lang w:val="en-US" w:eastAsia="zh-CN"/>
                <w14:textFill>
                  <w14:solidFill>
                    <w14:schemeClr w14:val="tx1"/>
                  </w14:solidFill>
                </w14:textFill>
              </w:rPr>
            </w:pPr>
            <w:r>
              <w:rPr>
                <w:rFonts w:hint="eastAsia" w:cs="Arial"/>
                <w:color w:val="000000" w:themeColor="text1"/>
                <w:sz w:val="21"/>
                <w:szCs w:val="22"/>
                <w:u w:val="single"/>
                <w:lang w:val="en-US" w:eastAsia="zh-CN"/>
                <w14:textFill>
                  <w14:solidFill>
                    <w14:schemeClr w14:val="tx1"/>
                  </w14:solidFill>
                </w14:textFill>
              </w:rPr>
              <w:t>54.20</w:t>
            </w:r>
          </w:p>
        </w:tc>
        <w:tc>
          <w:tcPr>
            <w:tcW w:w="792" w:type="pct"/>
            <w:shd w:val="clear" w:color="auto" w:fill="FFFFFF"/>
            <w:vAlign w:val="center"/>
          </w:tcPr>
          <w:p>
            <w:pPr>
              <w:spacing w:line="240" w:lineRule="auto"/>
              <w:ind w:firstLine="0" w:firstLineChars="0"/>
              <w:jc w:val="center"/>
              <w:rPr>
                <w:rFonts w:hint="default" w:eastAsia="宋体" w:cs="Arial"/>
                <w:color w:val="000000" w:themeColor="text1"/>
                <w:sz w:val="21"/>
                <w:szCs w:val="22"/>
                <w:u w:val="single"/>
                <w:lang w:val="en-US" w:eastAsia="zh-CN"/>
                <w14:textFill>
                  <w14:solidFill>
                    <w14:schemeClr w14:val="tx1"/>
                  </w14:solidFill>
                </w14:textFill>
              </w:rPr>
            </w:pPr>
            <w:r>
              <w:rPr>
                <w:rFonts w:hint="eastAsia" w:cs="Arial"/>
                <w:color w:val="000000" w:themeColor="text1"/>
                <w:sz w:val="21"/>
                <w:szCs w:val="22"/>
                <w:u w:val="single"/>
                <w:lang w:val="en-US" w:eastAsia="zh-CN"/>
                <w14:textFill>
                  <w14:solidFill>
                    <w14:schemeClr w14:val="tx1"/>
                  </w14:solidFill>
                </w14:textFill>
              </w:rPr>
              <w:t>60</w:t>
            </w:r>
          </w:p>
        </w:tc>
        <w:tc>
          <w:tcPr>
            <w:tcW w:w="664" w:type="pct"/>
            <w:shd w:val="clear" w:color="auto" w:fill="FFFFFF"/>
            <w:vAlign w:val="center"/>
          </w:tcPr>
          <w:p>
            <w:pPr>
              <w:spacing w:line="240" w:lineRule="auto"/>
              <w:ind w:firstLine="0" w:firstLineChars="0"/>
              <w:jc w:val="center"/>
              <w:rPr>
                <w:rFonts w:hint="eastAsia" w:cs="宋体"/>
                <w:color w:val="000000" w:themeColor="text1"/>
                <w:sz w:val="21"/>
                <w:szCs w:val="22"/>
                <w:u w:val="single"/>
                <w14:textFill>
                  <w14:solidFill>
                    <w14:schemeClr w14:val="tx1"/>
                  </w14:solidFill>
                </w14:textFill>
              </w:rPr>
            </w:pPr>
            <w:r>
              <w:rPr>
                <w:rFonts w:hint="eastAsia" w:cs="宋体"/>
                <w:color w:val="000000" w:themeColor="text1"/>
                <w:sz w:val="21"/>
                <w:szCs w:val="22"/>
                <w:u w:val="single"/>
                <w14:textFill>
                  <w14:solidFill>
                    <w14:schemeClr w14:val="tx1"/>
                  </w14:solidFill>
                </w14:textFill>
              </w:rPr>
              <w:t>达标</w:t>
            </w:r>
          </w:p>
        </w:tc>
      </w:tr>
    </w:tbl>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由上表可知，正常工况下，项目厂界</w:t>
      </w:r>
      <w:r>
        <w:rPr>
          <w:rFonts w:hint="eastAsia" w:ascii="宋体" w:hAnsi="宋体" w:cs="宋体"/>
          <w:color w:val="000000"/>
          <w:kern w:val="0"/>
          <w:sz w:val="24"/>
          <w:szCs w:val="24"/>
          <w:u w:val="single"/>
          <w:lang w:val="en-US" w:eastAsia="zh-CN" w:bidi="ar"/>
        </w:rPr>
        <w:t>贡献值</w:t>
      </w:r>
      <w:r>
        <w:rPr>
          <w:rFonts w:hint="eastAsia" w:ascii="宋体" w:hAnsi="宋体" w:eastAsia="宋体" w:cs="宋体"/>
          <w:color w:val="000000"/>
          <w:kern w:val="0"/>
          <w:sz w:val="24"/>
          <w:szCs w:val="24"/>
          <w:u w:val="single"/>
          <w:lang w:val="en-US" w:eastAsia="zh-CN" w:bidi="ar"/>
        </w:rPr>
        <w:t>噪声</w:t>
      </w:r>
      <w:r>
        <w:rPr>
          <w:rFonts w:hint="eastAsia" w:ascii="宋体" w:hAnsi="宋体" w:cs="宋体"/>
          <w:color w:val="000000"/>
          <w:kern w:val="0"/>
          <w:sz w:val="24"/>
          <w:szCs w:val="24"/>
          <w:u w:val="single"/>
          <w:lang w:val="en-US" w:eastAsia="zh-CN" w:bidi="ar"/>
        </w:rPr>
        <w:t>及敏感点噪声预测值均能</w:t>
      </w:r>
      <w:r>
        <w:rPr>
          <w:rFonts w:hint="eastAsia" w:ascii="宋体" w:hAnsi="宋体" w:eastAsia="宋体" w:cs="宋体"/>
          <w:color w:val="000000"/>
          <w:kern w:val="0"/>
          <w:sz w:val="24"/>
          <w:szCs w:val="24"/>
          <w:u w:val="single"/>
          <w:lang w:val="en-US" w:eastAsia="zh-CN" w:bidi="ar"/>
        </w:rPr>
        <w:t xml:space="preserve">满足《工业企业厂界环境噪声排放标准》(GB12348.2008) </w:t>
      </w:r>
      <w:bookmarkStart w:id="25" w:name="PO_3"/>
      <w:r>
        <w:rPr>
          <w:rFonts w:hint="eastAsia" w:ascii="宋体" w:hAnsi="宋体" w:eastAsia="宋体" w:cs="宋体"/>
          <w:color w:val="000000"/>
          <w:kern w:val="0"/>
          <w:sz w:val="24"/>
          <w:szCs w:val="24"/>
          <w:u w:val="single"/>
          <w:lang w:val="en-US" w:eastAsia="zh-CN" w:bidi="ar"/>
        </w:rPr>
        <w:t>2</w:t>
      </w:r>
      <w:bookmarkEnd w:id="25"/>
      <w:r>
        <w:rPr>
          <w:rFonts w:hint="eastAsia" w:ascii="宋体" w:hAnsi="宋体" w:eastAsia="宋体" w:cs="宋体"/>
          <w:color w:val="000000"/>
          <w:kern w:val="0"/>
          <w:sz w:val="24"/>
          <w:szCs w:val="24"/>
          <w:u w:val="single"/>
          <w:lang w:val="en-US" w:eastAsia="zh-CN" w:bidi="ar"/>
        </w:rPr>
        <w:t>类标准。</w:t>
      </w:r>
    </w:p>
    <w:p>
      <w:pPr>
        <w:pStyle w:val="32"/>
        <w:ind w:left="0" w:leftChars="0" w:firstLine="0" w:firstLineChars="0"/>
      </w:pPr>
    </w:p>
    <w:p>
      <w:pPr>
        <w:pStyle w:val="19"/>
        <w:adjustRightInd w:val="0"/>
        <w:snapToGrid w:val="0"/>
        <w:spacing w:before="0" w:beforeAutospacing="0" w:after="0" w:afterAutospacing="0"/>
        <w:ind w:firstLine="0" w:firstLineChars="0"/>
        <w:jc w:val="center"/>
        <w:rPr>
          <w:rFonts w:hint="eastAsia" w:cs="宋体"/>
          <w:kern w:val="2"/>
          <w:sz w:val="21"/>
          <w:szCs w:val="21"/>
          <w:u w:val="none"/>
        </w:rPr>
        <w:sectPr>
          <w:pgSz w:w="16840" w:h="11907" w:orient="landscape"/>
          <w:pgMar w:top="1531" w:right="1701" w:bottom="1531" w:left="2127" w:header="851" w:footer="850" w:gutter="0"/>
          <w:pgBorders>
            <w:top w:val="none" w:sz="0" w:space="0"/>
            <w:left w:val="none" w:sz="0" w:space="0"/>
            <w:bottom w:val="none" w:sz="0" w:space="0"/>
            <w:right w:val="none" w:sz="0" w:space="0"/>
          </w:pgBorders>
          <w:cols w:space="0" w:num="1"/>
          <w:rtlGutter w:val="0"/>
          <w:docGrid w:linePitch="312" w:charSpace="0"/>
        </w:sectPr>
      </w:pPr>
    </w:p>
    <w:tbl>
      <w:tblPr>
        <w:tblStyle w:val="24"/>
        <w:tblW w:w="507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01"/>
        <w:gridCol w:w="88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90" w:hRule="atLeast"/>
          <w:jc w:val="center"/>
        </w:trPr>
        <w:tc>
          <w:tcPr>
            <w:tcW w:w="165" w:type="pct"/>
            <w:tcMar>
              <w:left w:w="28" w:type="dxa"/>
              <w:right w:w="28" w:type="dxa"/>
            </w:tcMar>
            <w:vAlign w:val="center"/>
          </w:tcPr>
          <w:p>
            <w:pPr>
              <w:adjustRightInd w:val="0"/>
              <w:snapToGrid w:val="0"/>
              <w:ind w:firstLine="0" w:firstLineChars="0"/>
              <w:jc w:val="center"/>
              <w:rPr>
                <w:rFonts w:ascii="宋体" w:hAnsi="宋体" w:cs="宋体"/>
                <w:bCs/>
                <w:szCs w:val="21"/>
                <w:u w:val="none"/>
              </w:rPr>
            </w:pPr>
            <w:r>
              <w:rPr>
                <w:rFonts w:hint="eastAsia" w:ascii="宋体" w:hAnsi="宋体" w:cs="宋体"/>
                <w:bCs/>
                <w:szCs w:val="21"/>
                <w:u w:val="none"/>
              </w:rPr>
              <w:t>运营期环境影响和保护措施</w:t>
            </w:r>
          </w:p>
        </w:tc>
        <w:tc>
          <w:tcPr>
            <w:tcW w:w="4834" w:type="pct"/>
            <w:tcBorders>
              <w:right w:val="single" w:color="auto" w:sz="4" w:space="0"/>
            </w:tcBorders>
            <w:vAlign w:val="center"/>
          </w:tcPr>
          <w:p>
            <w:pPr>
              <w:ind w:firstLine="482"/>
              <w:rPr>
                <w:b/>
                <w:bCs/>
                <w:u w:val="none"/>
              </w:rPr>
            </w:pPr>
            <w:r>
              <w:rPr>
                <w:b/>
                <w:bCs/>
                <w:u w:val="none"/>
              </w:rPr>
              <w:t>（</w:t>
            </w:r>
            <w:r>
              <w:rPr>
                <w:rFonts w:hint="eastAsia"/>
                <w:b/>
                <w:bCs/>
                <w:u w:val="none"/>
                <w:lang w:val="en-US" w:eastAsia="zh-CN"/>
              </w:rPr>
              <w:t>4</w:t>
            </w:r>
            <w:r>
              <w:rPr>
                <w:b/>
                <w:bCs/>
                <w:u w:val="none"/>
              </w:rPr>
              <w:t>）噪声自行监测计划</w:t>
            </w:r>
          </w:p>
          <w:p>
            <w:pPr>
              <w:ind w:firstLine="480"/>
              <w:rPr>
                <w:u w:val="none"/>
              </w:rPr>
            </w:pPr>
            <w:r>
              <w:rPr>
                <w:rFonts w:hint="eastAsia"/>
                <w:u w:val="none"/>
              </w:rPr>
              <w:t>根据《排污单位自行监测技术指南总则》（HJ819-2017），项目投产后，企业应定期组织噪声监测。若企业不具备监测条件，需委托当地具有监测资质的单位开展噪声监测。项目监测计划具体如下表所示。本项目噪声自行环境监测计划安排见下表。</w:t>
            </w:r>
          </w:p>
          <w:p>
            <w:pPr>
              <w:pStyle w:val="7"/>
              <w:rPr>
                <w:kern w:val="0"/>
                <w:sz w:val="21"/>
                <w:u w:val="none"/>
              </w:rPr>
            </w:pPr>
            <w:r>
              <w:rPr>
                <w:kern w:val="0"/>
                <w:sz w:val="21"/>
                <w:u w:val="none"/>
              </w:rPr>
              <w:t>表4-</w:t>
            </w:r>
            <w:r>
              <w:rPr>
                <w:rFonts w:hint="eastAsia"/>
                <w:kern w:val="0"/>
                <w:sz w:val="21"/>
                <w:u w:val="none"/>
                <w:lang w:val="en-US" w:eastAsia="zh-CN"/>
              </w:rPr>
              <w:t>22</w:t>
            </w:r>
            <w:r>
              <w:rPr>
                <w:kern w:val="0"/>
                <w:sz w:val="21"/>
                <w:u w:val="none"/>
              </w:rPr>
              <w:t xml:space="preserve"> </w:t>
            </w:r>
            <w:r>
              <w:rPr>
                <w:rFonts w:hint="eastAsia"/>
                <w:kern w:val="0"/>
                <w:sz w:val="21"/>
                <w:u w:val="none"/>
              </w:rPr>
              <w:t>噪声自行监测计划</w:t>
            </w:r>
          </w:p>
          <w:tbl>
            <w:tblPr>
              <w:tblStyle w:val="24"/>
              <w:tblW w:w="4998" w:type="pct"/>
              <w:jc w:val="center"/>
              <w:tblLayout w:type="fixed"/>
              <w:tblCellMar>
                <w:top w:w="0" w:type="dxa"/>
                <w:left w:w="108" w:type="dxa"/>
                <w:bottom w:w="0" w:type="dxa"/>
                <w:right w:w="108" w:type="dxa"/>
              </w:tblCellMar>
            </w:tblPr>
            <w:tblGrid>
              <w:gridCol w:w="1158"/>
              <w:gridCol w:w="1272"/>
              <w:gridCol w:w="1448"/>
              <w:gridCol w:w="1498"/>
              <w:gridCol w:w="3212"/>
            </w:tblGrid>
            <w:tr>
              <w:tblPrEx>
                <w:tblCellMar>
                  <w:top w:w="0" w:type="dxa"/>
                  <w:left w:w="108" w:type="dxa"/>
                  <w:bottom w:w="0" w:type="dxa"/>
                  <w:right w:w="108" w:type="dxa"/>
                </w:tblCellMar>
              </w:tblPrEx>
              <w:trPr>
                <w:trHeight w:val="288" w:hRule="atLeast"/>
                <w:jc w:val="center"/>
              </w:trPr>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rPr>
                      <w:u w:val="none"/>
                    </w:rPr>
                  </w:pPr>
                  <w:r>
                    <w:rPr>
                      <w:rFonts w:hint="eastAsia"/>
                      <w:u w:val="none"/>
                    </w:rPr>
                    <w:t>监测项目</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rPr>
                      <w:u w:val="none"/>
                    </w:rPr>
                  </w:pPr>
                  <w:r>
                    <w:rPr>
                      <w:rFonts w:hint="eastAsia"/>
                      <w:u w:val="none"/>
                    </w:rPr>
                    <w:t>监测点位</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rPr>
                      <w:u w:val="none"/>
                    </w:rPr>
                  </w:pPr>
                  <w:r>
                    <w:rPr>
                      <w:rFonts w:hint="eastAsia"/>
                      <w:u w:val="none"/>
                    </w:rPr>
                    <w:t>监测指标</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rPr>
                      <w:u w:val="none"/>
                    </w:rPr>
                  </w:pPr>
                  <w:r>
                    <w:rPr>
                      <w:rFonts w:hint="eastAsia"/>
                      <w:u w:val="none"/>
                    </w:rPr>
                    <w:t>监测频次</w:t>
                  </w:r>
                </w:p>
              </w:tc>
              <w:tc>
                <w:tcPr>
                  <w:tcW w:w="187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rPr>
                      <w:u w:val="none"/>
                    </w:rPr>
                  </w:pPr>
                  <w:r>
                    <w:rPr>
                      <w:rFonts w:hint="eastAsia"/>
                      <w:u w:val="none"/>
                    </w:rPr>
                    <w:t>执行标准</w:t>
                  </w:r>
                </w:p>
              </w:tc>
            </w:tr>
            <w:tr>
              <w:tblPrEx>
                <w:tblCellMar>
                  <w:top w:w="0" w:type="dxa"/>
                  <w:left w:w="108" w:type="dxa"/>
                  <w:bottom w:w="0" w:type="dxa"/>
                  <w:right w:w="108" w:type="dxa"/>
                </w:tblCellMar>
              </w:tblPrEx>
              <w:trPr>
                <w:trHeight w:val="864" w:hRule="atLeast"/>
                <w:jc w:val="center"/>
              </w:trPr>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rPr>
                      <w:u w:val="none"/>
                    </w:rPr>
                  </w:pPr>
                  <w:r>
                    <w:rPr>
                      <w:rFonts w:hint="eastAsia"/>
                      <w:u w:val="none"/>
                    </w:rPr>
                    <w:t>噪声</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rPr>
                      <w:u w:val="none"/>
                    </w:rPr>
                  </w:pPr>
                  <w:r>
                    <w:rPr>
                      <w:rFonts w:hint="eastAsia"/>
                      <w:u w:val="none"/>
                    </w:rPr>
                    <w:t>厂区边界外1m处</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rPr>
                      <w:u w:val="none"/>
                    </w:rPr>
                  </w:pPr>
                  <w:r>
                    <w:rPr>
                      <w:rFonts w:hint="eastAsia"/>
                      <w:u w:val="none"/>
                    </w:rPr>
                    <w:t>等效连续A声</w:t>
                  </w:r>
                </w:p>
              </w:tc>
              <w:tc>
                <w:tcPr>
                  <w:tcW w:w="87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rPr>
                      <w:rFonts w:hint="eastAsia" w:eastAsia="宋体"/>
                      <w:u w:val="none"/>
                      <w:lang w:eastAsia="zh-CN"/>
                    </w:rPr>
                  </w:pPr>
                  <w:r>
                    <w:rPr>
                      <w:rFonts w:hint="eastAsia"/>
                      <w:u w:val="none"/>
                    </w:rPr>
                    <w:t>1次/</w:t>
                  </w:r>
                  <w:r>
                    <w:rPr>
                      <w:rFonts w:hint="eastAsia"/>
                      <w:u w:val="none"/>
                      <w:lang w:val="en-US" w:eastAsia="zh-CN"/>
                    </w:rPr>
                    <w:t>季度</w:t>
                  </w:r>
                </w:p>
              </w:tc>
              <w:tc>
                <w:tcPr>
                  <w:tcW w:w="187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rPr>
                      <w:u w:val="none"/>
                    </w:rPr>
                  </w:pPr>
                  <w:r>
                    <w:rPr>
                      <w:rFonts w:hint="eastAsia"/>
                      <w:u w:val="none"/>
                    </w:rPr>
                    <w:t>《工业企业厂界环境噪声排放标准》（GB12348-2008）2类标准</w:t>
                  </w:r>
                </w:p>
              </w:tc>
            </w:tr>
          </w:tbl>
          <w:p>
            <w:pPr>
              <w:ind w:firstLine="482"/>
              <w:rPr>
                <w:b/>
                <w:bCs/>
                <w:u w:val="none"/>
              </w:rPr>
            </w:pPr>
            <w:r>
              <w:rPr>
                <w:rFonts w:hint="eastAsia"/>
                <w:b/>
                <w:bCs/>
                <w:u w:val="none"/>
              </w:rPr>
              <w:t>4、固体废弃物</w:t>
            </w:r>
          </w:p>
          <w:p>
            <w:pPr>
              <w:ind w:firstLine="480"/>
              <w:rPr>
                <w:u w:val="none"/>
              </w:rPr>
            </w:pPr>
            <w:r>
              <w:rPr>
                <w:u w:val="none"/>
              </w:rPr>
              <w:t>本项目</w:t>
            </w:r>
            <w:r>
              <w:rPr>
                <w:rFonts w:hint="eastAsia"/>
                <w:u w:val="none"/>
              </w:rPr>
              <w:t>产生固体废弃物如下：</w:t>
            </w:r>
          </w:p>
          <w:p>
            <w:pPr>
              <w:ind w:firstLine="480"/>
              <w:rPr>
                <w:b/>
                <w:bCs/>
                <w:u w:val="none"/>
              </w:rPr>
            </w:pPr>
            <w:r>
              <w:rPr>
                <w:rFonts w:hint="eastAsia"/>
                <w:b/>
                <w:bCs/>
                <w:u w:val="none"/>
              </w:rPr>
              <w:t>（1）生活垃圾</w:t>
            </w:r>
          </w:p>
          <w:p>
            <w:pPr>
              <w:keepNext w:val="0"/>
              <w:keepLines w:val="0"/>
              <w:widowControl/>
              <w:suppressLineNumbers w:val="0"/>
              <w:jc w:val="left"/>
              <w:rPr>
                <w:rFonts w:hint="default"/>
                <w:u w:val="none"/>
                <w:lang w:val="en-US"/>
              </w:rPr>
            </w:pPr>
            <w:r>
              <w:rPr>
                <w:u w:val="none"/>
              </w:rPr>
              <w:t>本厂区共有职工</w:t>
            </w:r>
            <w:r>
              <w:rPr>
                <w:rFonts w:hint="eastAsia"/>
                <w:u w:val="none"/>
                <w:lang w:val="en-US" w:eastAsia="zh-CN"/>
              </w:rPr>
              <w:t>130</w:t>
            </w:r>
            <w:r>
              <w:rPr>
                <w:u w:val="none"/>
              </w:rPr>
              <w:t>人，产生的生活垃圾按0.5kg/人</w:t>
            </w:r>
            <w:r>
              <w:rPr>
                <w:rFonts w:hint="eastAsia"/>
                <w:u w:val="none"/>
              </w:rPr>
              <w:t>/</w:t>
            </w:r>
            <w:r>
              <w:rPr>
                <w:u w:val="none"/>
              </w:rPr>
              <w:t>天计算</w:t>
            </w:r>
            <w:r>
              <w:rPr>
                <w:rFonts w:hint="eastAsia"/>
                <w:u w:val="none"/>
              </w:rPr>
              <w:t>，年工作时间为</w:t>
            </w:r>
            <w:r>
              <w:rPr>
                <w:rFonts w:hint="eastAsia"/>
                <w:u w:val="none"/>
                <w:lang w:val="en-US" w:eastAsia="zh-CN"/>
              </w:rPr>
              <w:t>330d</w:t>
            </w:r>
            <w:r>
              <w:rPr>
                <w:rFonts w:hint="eastAsia"/>
                <w:u w:val="none"/>
              </w:rPr>
              <w:t>，</w:t>
            </w:r>
            <w:r>
              <w:rPr>
                <w:u w:val="none"/>
              </w:rPr>
              <w:t>则产生量为</w:t>
            </w:r>
            <w:r>
              <w:rPr>
                <w:rFonts w:hint="eastAsia"/>
                <w:u w:val="none"/>
                <w:lang w:val="en-US" w:eastAsia="zh-CN"/>
              </w:rPr>
              <w:t>21.45</w:t>
            </w:r>
            <w:r>
              <w:rPr>
                <w:u w:val="none"/>
              </w:rPr>
              <w:t>t/a。</w:t>
            </w:r>
            <w:r>
              <w:rPr>
                <w:rFonts w:hint="eastAsia" w:ascii="宋体" w:hAnsi="宋体" w:eastAsia="宋体" w:cs="宋体"/>
                <w:color w:val="000000"/>
                <w:kern w:val="0"/>
                <w:sz w:val="24"/>
                <w:szCs w:val="24"/>
                <w:lang w:val="en-US" w:eastAsia="zh-CN" w:bidi="ar"/>
              </w:rPr>
              <w:t>根据</w:t>
            </w:r>
            <w:r>
              <w:rPr>
                <w:rFonts w:hint="eastAsia" w:ascii="Times New Roman" w:hAnsi="Times New Roman" w:cs="Times New Roman"/>
                <w:u w:val="none"/>
                <w:lang w:val="en-US" w:eastAsia="zh-CN"/>
              </w:rPr>
              <w:t>《固体废物分类与代码目录》公告2024年第4号中规定，生活垃圾属于“</w:t>
            </w:r>
            <w:r>
              <w:rPr>
                <w:rFonts w:hint="default" w:ascii="Times New Roman" w:hAnsi="Times New Roman" w:cs="Times New Roman"/>
                <w:u w:val="none"/>
                <w:lang w:val="en-US" w:eastAsia="zh-CN"/>
              </w:rPr>
              <w:t>SW64</w:t>
            </w:r>
            <w:r>
              <w:rPr>
                <w:rFonts w:hint="eastAsia" w:ascii="Times New Roman" w:hAnsi="Times New Roman" w:cs="Times New Roman"/>
                <w:u w:val="none"/>
                <w:lang w:val="en-US" w:eastAsia="zh-CN"/>
              </w:rPr>
              <w:t>其他</w:t>
            </w:r>
            <w:r>
              <w:rPr>
                <w:rFonts w:hint="eastAsia" w:ascii="宋体" w:hAnsi="宋体" w:eastAsia="宋体" w:cs="宋体"/>
                <w:color w:val="000000"/>
                <w:kern w:val="0"/>
                <w:sz w:val="24"/>
                <w:szCs w:val="24"/>
                <w:lang w:val="en-US" w:eastAsia="zh-CN" w:bidi="ar"/>
              </w:rPr>
              <w:t>垃圾”中的“</w:t>
            </w:r>
            <w:r>
              <w:rPr>
                <w:rFonts w:hint="default" w:ascii="Times New Roman" w:hAnsi="Times New Roman" w:eastAsia="宋体" w:cs="Times New Roman"/>
                <w:color w:val="000000"/>
                <w:kern w:val="0"/>
                <w:sz w:val="24"/>
                <w:szCs w:val="24"/>
                <w:lang w:val="en-US" w:eastAsia="zh-CN" w:bidi="ar"/>
              </w:rPr>
              <w:t>900-099-S</w:t>
            </w:r>
            <w:r>
              <w:rPr>
                <w:rFonts w:hint="default" w:ascii="宋体" w:hAnsi="宋体" w:eastAsia="宋体" w:cs="宋体"/>
                <w:color w:val="000000"/>
                <w:kern w:val="0"/>
                <w:sz w:val="24"/>
                <w:szCs w:val="24"/>
                <w:lang w:val="en-US" w:eastAsia="zh-CN" w:bidi="ar"/>
              </w:rPr>
              <w:t>64</w:t>
            </w:r>
            <w:r>
              <w:rPr>
                <w:rFonts w:hint="eastAsia" w:ascii="宋体" w:hAnsi="宋体" w:eastAsia="宋体" w:cs="宋体"/>
                <w:color w:val="000000"/>
                <w:kern w:val="0"/>
                <w:sz w:val="24"/>
                <w:szCs w:val="24"/>
                <w:lang w:val="en-US" w:eastAsia="zh-CN" w:bidi="ar"/>
              </w:rPr>
              <w:t>”。环评要求生活垃圾做到分类存放、袋装化收集；定点设加盖垃圾收集桶；</w:t>
            </w:r>
            <w:r>
              <w:rPr>
                <w:rFonts w:hint="default" w:ascii="宋体" w:hAnsi="宋体" w:eastAsia="宋体" w:cs="宋体"/>
                <w:color w:val="000000"/>
                <w:kern w:val="0"/>
                <w:sz w:val="24"/>
                <w:szCs w:val="24"/>
                <w:lang w:val="en-US" w:eastAsia="zh-CN" w:bidi="ar"/>
              </w:rPr>
              <w:t>c</w:t>
            </w:r>
            <w:r>
              <w:rPr>
                <w:rFonts w:hint="eastAsia" w:ascii="宋体" w:hAnsi="宋体" w:eastAsia="宋体" w:cs="宋体"/>
                <w:color w:val="000000"/>
                <w:kern w:val="0"/>
                <w:sz w:val="24"/>
                <w:szCs w:val="24"/>
                <w:lang w:val="en-US" w:eastAsia="zh-CN" w:bidi="ar"/>
              </w:rPr>
              <w:t>、日产日清，环卫部门统一处理。</w:t>
            </w:r>
          </w:p>
          <w:p>
            <w:pPr>
              <w:keepNext w:val="0"/>
              <w:keepLines w:val="0"/>
              <w:widowControl/>
              <w:suppressLineNumbers w:val="0"/>
              <w:jc w:val="left"/>
              <w:rPr>
                <w:rFonts w:hint="default" w:eastAsia="宋体"/>
                <w:b/>
                <w:bCs/>
                <w:u w:val="none"/>
                <w:lang w:val="en-US" w:eastAsia="zh-CN"/>
              </w:rPr>
            </w:pPr>
            <w:r>
              <w:rPr>
                <w:rFonts w:hint="eastAsia"/>
                <w:b/>
                <w:bCs/>
                <w:u w:val="none"/>
              </w:rPr>
              <w:t>（2）</w:t>
            </w:r>
            <w:r>
              <w:rPr>
                <w:rFonts w:hint="eastAsia"/>
                <w:b/>
                <w:bCs/>
                <w:u w:val="none"/>
                <w:lang w:val="en-US" w:eastAsia="zh-CN"/>
              </w:rPr>
              <w:t>一般工业固体废物</w:t>
            </w:r>
          </w:p>
          <w:p>
            <w:pPr>
              <w:keepNext w:val="0"/>
              <w:keepLines w:val="0"/>
              <w:widowControl/>
              <w:suppressLineNumbers w:val="0"/>
              <w:jc w:val="left"/>
            </w:pPr>
            <w:r>
              <w:rPr>
                <w:rFonts w:hint="eastAsia" w:ascii="宋体" w:hAnsi="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废菌棒</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本项目培育出的蘑菇采用人工采摘，采摘完毕后将菌棒的废塑料包装袋和废基料分开。</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①废塑料膜</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本项目年产1000万棒，单个菌棒包装塑料膜约</w:t>
            </w:r>
            <w:r>
              <w:rPr>
                <w:rFonts w:hint="default" w:ascii="Times New Roman" w:hAnsi="Times New Roman" w:eastAsia="宋体" w:cs="Times New Roman"/>
                <w:color w:val="000000"/>
                <w:kern w:val="0"/>
                <w:sz w:val="24"/>
                <w:szCs w:val="24"/>
                <w:lang w:val="en-US" w:eastAsia="zh-CN" w:bidi="ar"/>
              </w:rPr>
              <w:t>0.1g</w:t>
            </w:r>
            <w:r>
              <w:rPr>
                <w:rFonts w:hint="eastAsia" w:ascii="宋体" w:hAnsi="宋体" w:eastAsia="宋体" w:cs="宋体"/>
                <w:color w:val="000000"/>
                <w:kern w:val="0"/>
                <w:sz w:val="24"/>
                <w:szCs w:val="24"/>
                <w:lang w:val="en-US" w:eastAsia="zh-CN" w:bidi="ar"/>
              </w:rPr>
              <w:t>，故本项目废塑料膜</w:t>
            </w:r>
            <w:r>
              <w:rPr>
                <w:rFonts w:hint="eastAsia" w:ascii="Times New Roman" w:hAnsi="Times New Roman" w:eastAsia="宋体"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。根据</w:t>
            </w:r>
            <w:r>
              <w:rPr>
                <w:rFonts w:hint="eastAsia" w:ascii="宋体" w:hAnsi="宋体" w:cs="宋体"/>
                <w:color w:val="000000"/>
                <w:kern w:val="0"/>
                <w:sz w:val="24"/>
                <w:szCs w:val="24"/>
                <w:lang w:val="en-US" w:eastAsia="zh-CN" w:bidi="ar"/>
              </w:rPr>
              <w:t>《固体废物分类与代码目录》公告2024年第4号</w:t>
            </w:r>
            <w:r>
              <w:rPr>
                <w:rFonts w:hint="eastAsia" w:ascii="宋体" w:hAnsi="宋体" w:eastAsia="宋体" w:cs="宋体"/>
                <w:color w:val="000000"/>
                <w:kern w:val="0"/>
                <w:sz w:val="24"/>
                <w:szCs w:val="24"/>
                <w:lang w:val="en-US" w:eastAsia="zh-CN" w:bidi="ar"/>
              </w:rPr>
              <w:t>中规定，废塑料膜属于“</w:t>
            </w:r>
            <w:r>
              <w:rPr>
                <w:rFonts w:hint="default" w:ascii="Times New Roman" w:hAnsi="Times New Roman" w:eastAsia="宋体" w:cs="Times New Roman"/>
                <w:color w:val="000000"/>
                <w:kern w:val="0"/>
                <w:sz w:val="24"/>
                <w:szCs w:val="24"/>
                <w:lang w:val="en-US" w:eastAsia="zh-CN" w:bidi="ar"/>
              </w:rPr>
              <w:t xml:space="preserve">SW59 </w:t>
            </w:r>
            <w:r>
              <w:rPr>
                <w:rFonts w:hint="eastAsia" w:ascii="宋体" w:hAnsi="宋体" w:eastAsia="宋体" w:cs="宋体"/>
                <w:color w:val="000000"/>
                <w:kern w:val="0"/>
                <w:sz w:val="24"/>
                <w:szCs w:val="24"/>
                <w:lang w:val="en-US" w:eastAsia="zh-CN" w:bidi="ar"/>
              </w:rPr>
              <w:t>其他工业固体废物”中的“</w:t>
            </w:r>
            <w:r>
              <w:rPr>
                <w:rFonts w:hint="default" w:ascii="Times New Roman" w:hAnsi="Times New Roman" w:eastAsia="宋体" w:cs="Times New Roman"/>
                <w:color w:val="000000"/>
                <w:kern w:val="0"/>
                <w:sz w:val="24"/>
                <w:szCs w:val="24"/>
                <w:lang w:val="en-US" w:eastAsia="zh-CN" w:bidi="ar"/>
              </w:rPr>
              <w:t>900-099-S59</w:t>
            </w:r>
            <w:r>
              <w:rPr>
                <w:rFonts w:hint="eastAsia" w:ascii="宋体" w:hAnsi="宋体" w:eastAsia="宋体" w:cs="宋体"/>
                <w:color w:val="000000"/>
                <w:kern w:val="0"/>
                <w:sz w:val="24"/>
                <w:szCs w:val="24"/>
                <w:lang w:val="en-US" w:eastAsia="zh-CN" w:bidi="ar"/>
              </w:rPr>
              <w:t>”，暂存于一般工业固体废物暂存间，定期外售。</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②废基料</w:t>
            </w:r>
          </w:p>
          <w:p>
            <w:pPr>
              <w:keepNext w:val="0"/>
              <w:keepLines w:val="0"/>
              <w:widowControl/>
              <w:suppressLineNumbers w:val="0"/>
              <w:jc w:val="left"/>
              <w:rPr>
                <w:u w:val="none"/>
              </w:rPr>
            </w:pPr>
            <w:r>
              <w:rPr>
                <w:rFonts w:hint="eastAsia" w:ascii="宋体" w:hAnsi="宋体" w:eastAsia="宋体" w:cs="宋体"/>
                <w:color w:val="000000"/>
                <w:kern w:val="0"/>
                <w:sz w:val="24"/>
                <w:szCs w:val="24"/>
                <w:lang w:val="en-US" w:eastAsia="zh-CN" w:bidi="ar"/>
              </w:rPr>
              <w:t>本项目年产1000万棒，单个菌棒重量约</w:t>
            </w:r>
            <w:r>
              <w:rPr>
                <w:rFonts w:hint="default" w:ascii="Times New Roman" w:hAnsi="Times New Roman" w:eastAsia="宋体" w:cs="Times New Roman"/>
                <w:color w:val="000000"/>
                <w:kern w:val="0"/>
                <w:sz w:val="24"/>
                <w:szCs w:val="24"/>
                <w:lang w:val="en-US" w:eastAsia="zh-CN" w:bidi="ar"/>
              </w:rPr>
              <w:t>1.5kg</w:t>
            </w:r>
            <w:r>
              <w:rPr>
                <w:rFonts w:hint="eastAsia" w:ascii="宋体" w:hAnsi="宋体" w:eastAsia="宋体" w:cs="宋体"/>
                <w:color w:val="000000"/>
                <w:kern w:val="0"/>
                <w:sz w:val="24"/>
                <w:szCs w:val="24"/>
                <w:lang w:val="en-US" w:eastAsia="zh-CN" w:bidi="ar"/>
              </w:rPr>
              <w:t>，故本项目废基料15000</w:t>
            </w:r>
            <w:r>
              <w:rPr>
                <w:rFonts w:hint="default" w:ascii="Times New Roman" w:hAnsi="Times New Roman" w:eastAsia="宋体" w:cs="Times New Roman"/>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。根据</w:t>
            </w:r>
            <w:r>
              <w:rPr>
                <w:rFonts w:hint="eastAsia" w:ascii="宋体" w:hAnsi="宋体" w:cs="宋体"/>
                <w:color w:val="000000"/>
                <w:kern w:val="0"/>
                <w:sz w:val="24"/>
                <w:szCs w:val="24"/>
                <w:lang w:val="en-US" w:eastAsia="zh-CN" w:bidi="ar"/>
              </w:rPr>
              <w:t>《固体废物分类与代码目录》公告2024年第4号</w:t>
            </w:r>
            <w:r>
              <w:rPr>
                <w:rFonts w:hint="eastAsia" w:ascii="宋体" w:hAnsi="宋体" w:eastAsia="宋体" w:cs="宋体"/>
                <w:color w:val="000000"/>
                <w:kern w:val="0"/>
                <w:sz w:val="24"/>
                <w:szCs w:val="24"/>
                <w:lang w:val="en-US" w:eastAsia="zh-CN" w:bidi="ar"/>
              </w:rPr>
              <w:t>中规定，废基料属于“</w:t>
            </w:r>
            <w:r>
              <w:rPr>
                <w:rFonts w:hint="default" w:ascii="Times New Roman" w:hAnsi="Times New Roman" w:eastAsia="宋体" w:cs="Times New Roman"/>
                <w:color w:val="000000"/>
                <w:kern w:val="0"/>
                <w:sz w:val="24"/>
                <w:szCs w:val="24"/>
                <w:lang w:val="en-US" w:eastAsia="zh-CN" w:bidi="ar"/>
              </w:rPr>
              <w:t>SW80</w:t>
            </w:r>
            <w:r>
              <w:rPr>
                <w:rFonts w:hint="eastAsia" w:ascii="宋体" w:hAnsi="宋体" w:eastAsia="宋体" w:cs="宋体"/>
                <w:color w:val="000000"/>
                <w:kern w:val="0"/>
                <w:sz w:val="24"/>
                <w:szCs w:val="24"/>
                <w:lang w:val="en-US" w:eastAsia="zh-CN" w:bidi="ar"/>
              </w:rPr>
              <w:t>农业废物”中的“</w:t>
            </w:r>
            <w:r>
              <w:rPr>
                <w:rFonts w:hint="default" w:ascii="Times New Roman" w:hAnsi="Times New Roman" w:eastAsia="宋体" w:cs="Times New Roman"/>
                <w:color w:val="000000"/>
                <w:kern w:val="0"/>
                <w:sz w:val="24"/>
                <w:szCs w:val="24"/>
                <w:lang w:val="en-US" w:eastAsia="zh-CN" w:bidi="ar"/>
              </w:rPr>
              <w:t>010-099-S80</w:t>
            </w:r>
            <w:r>
              <w:rPr>
                <w:rFonts w:hint="eastAsia" w:ascii="宋体" w:hAnsi="宋体" w:eastAsia="宋体" w:cs="宋体"/>
                <w:color w:val="000000"/>
                <w:kern w:val="0"/>
                <w:sz w:val="24"/>
                <w:szCs w:val="24"/>
                <w:lang w:val="en-US" w:eastAsia="zh-CN" w:bidi="ar"/>
              </w:rPr>
              <w:t>”，暂存于一般工业固体废物暂存间，作为农肥外售。</w:t>
            </w:r>
          </w:p>
          <w:p>
            <w:pPr>
              <w:keepNext w:val="0"/>
              <w:keepLines w:val="0"/>
              <w:widowControl/>
              <w:suppressLineNumbers w:val="0"/>
              <w:jc w:val="left"/>
            </w:pPr>
            <w:r>
              <w:rPr>
                <w:rFonts w:hint="eastAsia" w:ascii="宋体" w:hAnsi="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）除尘器收集粉尘</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本项目锅炉废气颗粒物产生量共计</w:t>
            </w:r>
            <w:r>
              <w:rPr>
                <w:rFonts w:hint="eastAsia" w:ascii="Times New Roman" w:hAnsi="Times New Roman" w:eastAsia="宋体" w:cs="Times New Roman"/>
                <w:color w:val="000000"/>
                <w:kern w:val="0"/>
                <w:sz w:val="24"/>
                <w:szCs w:val="24"/>
                <w:lang w:val="en-US" w:eastAsia="zh-CN" w:bidi="ar"/>
              </w:rPr>
              <w:t>0.834</w:t>
            </w:r>
            <w:r>
              <w:rPr>
                <w:rFonts w:hint="default" w:ascii="Times New Roman" w:hAnsi="Times New Roman" w:eastAsia="宋体" w:cs="Times New Roman"/>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，排放量</w:t>
            </w:r>
            <w:r>
              <w:rPr>
                <w:rFonts w:hint="eastAsia" w:ascii="Times New Roman" w:hAnsi="Times New Roman" w:eastAsia="宋体" w:cs="Times New Roman"/>
                <w:color w:val="000000"/>
                <w:kern w:val="0"/>
                <w:sz w:val="24"/>
                <w:szCs w:val="24"/>
                <w:lang w:val="en-US" w:eastAsia="zh-CN" w:bidi="ar"/>
              </w:rPr>
              <w:t>0.017</w:t>
            </w:r>
            <w:r>
              <w:rPr>
                <w:rFonts w:hint="default" w:ascii="Times New Roman" w:hAnsi="Times New Roman" w:eastAsia="宋体" w:cs="Times New Roman"/>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，除尘器收集到粉尘量为0.817</w:t>
            </w:r>
            <w:r>
              <w:rPr>
                <w:rFonts w:hint="default" w:ascii="Times New Roman" w:hAnsi="Times New Roman" w:eastAsia="宋体" w:cs="Times New Roman"/>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。根据</w:t>
            </w:r>
            <w:r>
              <w:rPr>
                <w:rFonts w:hint="eastAsia" w:ascii="宋体" w:hAnsi="宋体" w:cs="宋体"/>
                <w:color w:val="000000"/>
                <w:kern w:val="0"/>
                <w:sz w:val="24"/>
                <w:szCs w:val="24"/>
                <w:lang w:val="en-US" w:eastAsia="zh-CN" w:bidi="ar"/>
              </w:rPr>
              <w:t>《固体废物分类与代码目录》公告2024年第4号</w:t>
            </w:r>
            <w:r>
              <w:rPr>
                <w:rFonts w:hint="eastAsia" w:ascii="宋体" w:hAnsi="宋体" w:eastAsia="宋体" w:cs="宋体"/>
                <w:color w:val="000000"/>
                <w:kern w:val="0"/>
                <w:sz w:val="24"/>
                <w:szCs w:val="24"/>
                <w:lang w:val="en-US" w:eastAsia="zh-CN" w:bidi="ar"/>
              </w:rPr>
              <w:t>中规定，地面清扫粉尘属于“</w:t>
            </w:r>
            <w:r>
              <w:rPr>
                <w:rFonts w:hint="default" w:ascii="Times New Roman" w:hAnsi="Times New Roman" w:eastAsia="宋体" w:cs="Times New Roman"/>
                <w:color w:val="000000"/>
                <w:kern w:val="0"/>
                <w:sz w:val="24"/>
                <w:szCs w:val="24"/>
                <w:lang w:val="en-US" w:eastAsia="zh-CN" w:bidi="ar"/>
              </w:rPr>
              <w:t xml:space="preserve">SW59 </w:t>
            </w:r>
            <w:r>
              <w:rPr>
                <w:rFonts w:hint="eastAsia" w:ascii="宋体" w:hAnsi="宋体" w:eastAsia="宋体" w:cs="宋体"/>
                <w:color w:val="000000"/>
                <w:kern w:val="0"/>
                <w:sz w:val="24"/>
                <w:szCs w:val="24"/>
                <w:lang w:val="en-US" w:eastAsia="zh-CN" w:bidi="ar"/>
              </w:rPr>
              <w:t>其他工业固体废物”中的“</w:t>
            </w:r>
            <w:r>
              <w:rPr>
                <w:rFonts w:hint="default" w:ascii="Times New Roman" w:hAnsi="Times New Roman" w:eastAsia="宋体" w:cs="Times New Roman"/>
                <w:color w:val="000000"/>
                <w:kern w:val="0"/>
                <w:sz w:val="24"/>
                <w:szCs w:val="24"/>
                <w:lang w:val="en-US" w:eastAsia="zh-CN" w:bidi="ar"/>
              </w:rPr>
              <w:t>900-099-S59</w:t>
            </w:r>
            <w:r>
              <w:rPr>
                <w:rFonts w:hint="eastAsia" w:ascii="宋体" w:hAnsi="宋体" w:eastAsia="宋体" w:cs="宋体"/>
                <w:color w:val="000000"/>
                <w:kern w:val="0"/>
                <w:sz w:val="24"/>
                <w:szCs w:val="24"/>
                <w:lang w:val="en-US" w:eastAsia="zh-CN" w:bidi="ar"/>
              </w:rPr>
              <w:t>”，除尘器收集粉尘暂存于一般工业固体废物暂存间，定期外售。</w:t>
            </w:r>
          </w:p>
          <w:p>
            <w:pPr>
              <w:ind w:firstLine="480"/>
              <w:rPr>
                <w:u w:val="none"/>
              </w:rPr>
            </w:pPr>
            <w:r>
              <w:rPr>
                <w:rFonts w:hint="eastAsia"/>
                <w:u w:val="none"/>
                <w:lang w:val="en-US" w:eastAsia="zh-CN"/>
              </w:rPr>
              <w:t>3</w:t>
            </w:r>
            <w:r>
              <w:rPr>
                <w:rFonts w:hint="eastAsia"/>
                <w:u w:val="none"/>
              </w:rPr>
              <w:t>）废包装材料</w:t>
            </w:r>
          </w:p>
          <w:p>
            <w:pPr>
              <w:keepNext w:val="0"/>
              <w:keepLines w:val="0"/>
              <w:widowControl/>
              <w:suppressLineNumbers w:val="0"/>
              <w:jc w:val="left"/>
              <w:rPr>
                <w:u w:val="none"/>
              </w:rPr>
            </w:pPr>
            <w:r>
              <w:rPr>
                <w:rFonts w:hint="eastAsia"/>
                <w:u w:val="none"/>
              </w:rPr>
              <w:t>根据建设单位提供的资料，原料包装均为麻袋，纸箱等包装材料，每天约产生7</w:t>
            </w:r>
            <w:r>
              <w:rPr>
                <w:u w:val="none"/>
              </w:rPr>
              <w:t>.5</w:t>
            </w:r>
            <w:r>
              <w:rPr>
                <w:rFonts w:hint="eastAsia"/>
                <w:u w:val="none"/>
              </w:rPr>
              <w:t>kg，则每年产生2</w:t>
            </w:r>
            <w:r>
              <w:rPr>
                <w:u w:val="none"/>
              </w:rPr>
              <w:t>.7</w:t>
            </w:r>
            <w:r>
              <w:rPr>
                <w:rFonts w:hint="eastAsia"/>
                <w:u w:val="none"/>
              </w:rPr>
              <w:t>t，</w:t>
            </w:r>
            <w:r>
              <w:rPr>
                <w:rFonts w:hint="eastAsia" w:ascii="宋体" w:hAnsi="宋体" w:eastAsia="宋体" w:cs="宋体"/>
                <w:color w:val="000000"/>
                <w:kern w:val="0"/>
                <w:sz w:val="24"/>
                <w:szCs w:val="24"/>
                <w:lang w:val="en-US" w:eastAsia="zh-CN" w:bidi="ar"/>
              </w:rPr>
              <w:t>根据</w:t>
            </w:r>
            <w:r>
              <w:rPr>
                <w:rFonts w:hint="eastAsia" w:ascii="宋体" w:hAnsi="宋体" w:cs="宋体"/>
                <w:color w:val="000000"/>
                <w:kern w:val="0"/>
                <w:sz w:val="24"/>
                <w:szCs w:val="24"/>
                <w:lang w:val="en-US" w:eastAsia="zh-CN" w:bidi="ar"/>
              </w:rPr>
              <w:t>《固体废物分类与代码目录》公告2024年第4号</w:t>
            </w:r>
            <w:r>
              <w:rPr>
                <w:rFonts w:hint="eastAsia" w:ascii="宋体" w:hAnsi="宋体" w:eastAsia="宋体" w:cs="宋体"/>
                <w:color w:val="000000"/>
                <w:kern w:val="0"/>
                <w:sz w:val="24"/>
                <w:szCs w:val="24"/>
                <w:lang w:val="en-US" w:eastAsia="zh-CN" w:bidi="ar"/>
              </w:rPr>
              <w:t>中规定，废包装材料属于“</w:t>
            </w:r>
            <w:r>
              <w:rPr>
                <w:rFonts w:hint="default" w:ascii="Times New Roman" w:hAnsi="Times New Roman" w:eastAsia="宋体" w:cs="Times New Roman"/>
                <w:color w:val="000000"/>
                <w:kern w:val="0"/>
                <w:sz w:val="24"/>
                <w:szCs w:val="24"/>
                <w:lang w:val="en-US" w:eastAsia="zh-CN" w:bidi="ar"/>
              </w:rPr>
              <w:t>SW17</w:t>
            </w:r>
            <w:r>
              <w:rPr>
                <w:rFonts w:hint="eastAsia" w:ascii="宋体" w:hAnsi="宋体" w:eastAsia="宋体" w:cs="宋体"/>
                <w:color w:val="000000"/>
                <w:kern w:val="0"/>
                <w:sz w:val="24"/>
                <w:szCs w:val="24"/>
                <w:lang w:val="en-US" w:eastAsia="zh-CN" w:bidi="ar"/>
              </w:rPr>
              <w:t>可再生类废物”中的“</w:t>
            </w:r>
            <w:r>
              <w:rPr>
                <w:rFonts w:hint="default" w:ascii="Times New Roman" w:hAnsi="Times New Roman" w:eastAsia="宋体" w:cs="Times New Roman"/>
                <w:color w:val="000000"/>
                <w:kern w:val="0"/>
                <w:sz w:val="24"/>
                <w:szCs w:val="24"/>
                <w:lang w:val="en-US" w:eastAsia="zh-CN" w:bidi="ar"/>
              </w:rPr>
              <w:t>900-099-S17</w:t>
            </w:r>
            <w:r>
              <w:rPr>
                <w:rFonts w:hint="eastAsia" w:ascii="宋体" w:hAnsi="宋体" w:eastAsia="宋体" w:cs="宋体"/>
                <w:color w:val="000000"/>
                <w:kern w:val="0"/>
                <w:sz w:val="24"/>
                <w:szCs w:val="24"/>
                <w:lang w:val="en-US" w:eastAsia="zh-CN" w:bidi="ar"/>
              </w:rPr>
              <w:t>”。暂存于一般工业固体废物暂存场所，定期外售。</w:t>
            </w:r>
          </w:p>
          <w:p>
            <w:pPr>
              <w:ind w:firstLine="480"/>
              <w:rPr>
                <w:u w:val="none"/>
              </w:rPr>
            </w:pPr>
            <w:r>
              <w:rPr>
                <w:rFonts w:hint="eastAsia"/>
                <w:u w:val="none"/>
                <w:lang w:val="en-US" w:eastAsia="zh-CN"/>
              </w:rPr>
              <w:t>4</w:t>
            </w:r>
            <w:r>
              <w:rPr>
                <w:rFonts w:hint="eastAsia"/>
                <w:u w:val="none"/>
              </w:rPr>
              <w:t>）废离子树脂</w:t>
            </w:r>
          </w:p>
          <w:p>
            <w:pPr>
              <w:keepNext w:val="0"/>
              <w:keepLines w:val="0"/>
              <w:widowControl/>
              <w:suppressLineNumbers w:val="0"/>
              <w:jc w:val="left"/>
              <w:rPr>
                <w:rFonts w:hint="eastAsia"/>
                <w:u w:val="none"/>
              </w:rPr>
            </w:pPr>
            <w:r>
              <w:rPr>
                <w:rFonts w:hint="eastAsia"/>
                <w:u w:val="none"/>
              </w:rPr>
              <w:t>根据软水机厂家提供资料，离子交换树脂使用寿命约为3年，产生量约为0</w:t>
            </w:r>
            <w:r>
              <w:rPr>
                <w:u w:val="none"/>
              </w:rPr>
              <w:t>.</w:t>
            </w:r>
            <w:r>
              <w:rPr>
                <w:rFonts w:hint="eastAsia"/>
                <w:u w:val="none"/>
                <w:lang w:val="en-US" w:eastAsia="zh-CN"/>
              </w:rPr>
              <w:t>285</w:t>
            </w:r>
            <w:r>
              <w:rPr>
                <w:rFonts w:hint="eastAsia"/>
                <w:u w:val="none"/>
              </w:rPr>
              <w:t>t</w:t>
            </w:r>
            <w:r>
              <w:rPr>
                <w:u w:val="none"/>
              </w:rPr>
              <w:t>/</w:t>
            </w:r>
            <w:r>
              <w:rPr>
                <w:rFonts w:hint="eastAsia"/>
                <w:u w:val="none"/>
              </w:rPr>
              <w:t>a，</w:t>
            </w:r>
            <w:r>
              <w:rPr>
                <w:rFonts w:hint="eastAsia"/>
                <w:u w:val="none"/>
                <w:lang w:val="en-US" w:eastAsia="zh-CN"/>
              </w:rPr>
              <w:t>本项目离子交换树脂属于纯水过滤产生，</w:t>
            </w:r>
            <w:r>
              <w:rPr>
                <w:rFonts w:hint="eastAsia" w:ascii="宋体" w:hAnsi="宋体" w:eastAsia="宋体" w:cs="宋体"/>
                <w:color w:val="000000"/>
                <w:kern w:val="0"/>
                <w:sz w:val="24"/>
                <w:szCs w:val="24"/>
                <w:lang w:val="en-US" w:eastAsia="zh-CN" w:bidi="ar"/>
              </w:rPr>
              <w:t>根据</w:t>
            </w:r>
            <w:r>
              <w:rPr>
                <w:rFonts w:hint="eastAsia" w:ascii="宋体" w:hAnsi="宋体" w:cs="宋体"/>
                <w:color w:val="000000"/>
                <w:kern w:val="0"/>
                <w:sz w:val="24"/>
                <w:szCs w:val="24"/>
                <w:lang w:val="en-US" w:eastAsia="zh-CN" w:bidi="ar"/>
              </w:rPr>
              <w:t>《固体废物分类与代码目录》公告2024年第4号</w:t>
            </w:r>
            <w:r>
              <w:rPr>
                <w:rFonts w:hint="eastAsia" w:ascii="宋体" w:hAnsi="宋体" w:eastAsia="宋体" w:cs="宋体"/>
                <w:color w:val="000000"/>
                <w:kern w:val="0"/>
                <w:sz w:val="24"/>
                <w:szCs w:val="24"/>
                <w:lang w:val="en-US" w:eastAsia="zh-CN" w:bidi="ar"/>
              </w:rPr>
              <w:t>中规定，废离子交换树脂属于“</w:t>
            </w:r>
            <w:r>
              <w:rPr>
                <w:rFonts w:hint="default" w:ascii="Times New Roman" w:hAnsi="Times New Roman" w:eastAsia="宋体" w:cs="Times New Roman"/>
                <w:color w:val="000000"/>
                <w:kern w:val="0"/>
                <w:sz w:val="24"/>
                <w:szCs w:val="24"/>
                <w:lang w:val="en-US" w:eastAsia="zh-CN" w:bidi="ar"/>
              </w:rPr>
              <w:t>SW59</w:t>
            </w:r>
            <w:r>
              <w:rPr>
                <w:rFonts w:hint="eastAsia" w:ascii="宋体" w:hAnsi="宋体" w:eastAsia="宋体" w:cs="宋体"/>
                <w:color w:val="000000"/>
                <w:kern w:val="0"/>
                <w:sz w:val="24"/>
                <w:szCs w:val="24"/>
                <w:lang w:val="en-US" w:eastAsia="zh-CN" w:bidi="ar"/>
              </w:rPr>
              <w:t>其他工业固体废物”中的“</w:t>
            </w:r>
            <w:r>
              <w:rPr>
                <w:rFonts w:hint="default" w:ascii="Times New Roman" w:hAnsi="Times New Roman" w:eastAsia="宋体" w:cs="Times New Roman"/>
                <w:color w:val="000000"/>
                <w:kern w:val="0"/>
                <w:sz w:val="24"/>
                <w:szCs w:val="24"/>
                <w:lang w:val="en-US" w:eastAsia="zh-CN" w:bidi="ar"/>
              </w:rPr>
              <w:t>900-008-S59</w:t>
            </w:r>
            <w:r>
              <w:rPr>
                <w:rFonts w:hint="eastAsia" w:ascii="宋体" w:hAnsi="宋体" w:eastAsia="宋体" w:cs="宋体"/>
                <w:color w:val="000000"/>
                <w:kern w:val="0"/>
                <w:sz w:val="24"/>
                <w:szCs w:val="24"/>
                <w:lang w:val="en-US" w:eastAsia="zh-CN" w:bidi="ar"/>
              </w:rPr>
              <w:t>”，暂存于一般工业固体废物暂存间，</w:t>
            </w:r>
            <w:r>
              <w:rPr>
                <w:rFonts w:hint="eastAsia"/>
                <w:u w:val="none"/>
                <w:lang w:val="en-US" w:eastAsia="zh-CN"/>
              </w:rPr>
              <w:t>交由厂家回收处置</w:t>
            </w:r>
            <w:r>
              <w:rPr>
                <w:rFonts w:hint="eastAsia"/>
                <w:u w:val="none"/>
              </w:rPr>
              <w:t>。</w:t>
            </w:r>
          </w:p>
          <w:p>
            <w:pPr>
              <w:keepNext w:val="0"/>
              <w:keepLines w:val="0"/>
              <w:widowControl/>
              <w:suppressLineNumbers w:val="0"/>
              <w:jc w:val="left"/>
              <w:rPr>
                <w:rFonts w:hint="eastAsia"/>
                <w:u w:val="none"/>
                <w:lang w:val="en-US" w:eastAsia="zh-CN"/>
              </w:rPr>
            </w:pPr>
            <w:r>
              <w:rPr>
                <w:rFonts w:hint="eastAsia"/>
                <w:u w:val="none"/>
                <w:lang w:val="en-US" w:eastAsia="zh-CN"/>
              </w:rPr>
              <w:t>5）沉淀池污泥</w:t>
            </w:r>
          </w:p>
          <w:p>
            <w:pPr>
              <w:widowControl w:val="0"/>
              <w:numPr>
                <w:ilvl w:val="0"/>
                <w:numId w:val="0"/>
              </w:numPr>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color="auto"/>
                <w:lang w:val="en-US" w:eastAsia="zh-CN"/>
              </w:rPr>
            </w:pPr>
            <w:r>
              <w:rPr>
                <w:rFonts w:hint="eastAsia" w:cs="Times New Roman"/>
                <w:color w:val="auto"/>
                <w:kern w:val="0"/>
                <w:sz w:val="24"/>
                <w:szCs w:val="24"/>
                <w:highlight w:val="none"/>
                <w:u w:val="none" w:color="auto"/>
                <w:lang w:val="en-US" w:eastAsia="zh-CN"/>
              </w:rPr>
              <w:t>锅炉排污水和</w:t>
            </w:r>
            <w:r>
              <w:rPr>
                <w:rFonts w:hint="eastAsia" w:eastAsia="宋体" w:cs="Times New Roman"/>
                <w:bCs/>
                <w:color w:val="auto"/>
                <w:sz w:val="24"/>
                <w:u w:val="none"/>
                <w:lang w:val="en-US" w:eastAsia="zh-CN"/>
              </w:rPr>
              <w:t>软水制备系统废水</w:t>
            </w:r>
            <w:r>
              <w:rPr>
                <w:rFonts w:hint="eastAsia" w:cs="Times New Roman"/>
                <w:color w:val="auto"/>
                <w:kern w:val="0"/>
                <w:sz w:val="24"/>
                <w:szCs w:val="24"/>
                <w:highlight w:val="none"/>
                <w:u w:val="none" w:color="auto"/>
                <w:lang w:val="en-US" w:eastAsia="zh-CN"/>
              </w:rPr>
              <w:t>等沉淀处理后均会产生一定量的固废，根据前文计算，本项目锅炉排污水（660.77 m</w:t>
            </w:r>
            <w:r>
              <w:rPr>
                <w:rFonts w:hint="eastAsia" w:cs="Times New Roman"/>
                <w:color w:val="auto"/>
                <w:kern w:val="0"/>
                <w:sz w:val="24"/>
                <w:szCs w:val="24"/>
                <w:highlight w:val="none"/>
                <w:u w:val="none" w:color="auto"/>
                <w:vertAlign w:val="superscript"/>
                <w:lang w:val="en-US" w:eastAsia="zh-CN"/>
              </w:rPr>
              <w:t>3</w:t>
            </w:r>
            <w:r>
              <w:rPr>
                <w:rFonts w:hint="eastAsia" w:cs="Times New Roman"/>
                <w:color w:val="auto"/>
                <w:kern w:val="0"/>
                <w:sz w:val="24"/>
                <w:szCs w:val="24"/>
                <w:highlight w:val="none"/>
                <w:u w:val="none" w:color="auto"/>
                <w:lang w:val="en-US" w:eastAsia="zh-CN"/>
              </w:rPr>
              <w:t>/a）和</w:t>
            </w:r>
            <w:r>
              <w:rPr>
                <w:rFonts w:hint="eastAsia" w:eastAsia="宋体" w:cs="Times New Roman"/>
                <w:bCs/>
                <w:color w:val="auto"/>
                <w:sz w:val="24"/>
                <w:u w:val="none"/>
                <w:lang w:val="en-US" w:eastAsia="zh-CN"/>
              </w:rPr>
              <w:t>软水制备系统废水</w:t>
            </w:r>
            <w:r>
              <w:rPr>
                <w:rFonts w:hint="eastAsia" w:cs="Times New Roman"/>
                <w:bCs/>
                <w:color w:val="auto"/>
                <w:sz w:val="24"/>
                <w:u w:val="none"/>
                <w:lang w:val="en-US" w:eastAsia="zh-CN"/>
              </w:rPr>
              <w:t>（1408.26</w:t>
            </w:r>
            <w:r>
              <w:rPr>
                <w:rFonts w:hint="eastAsia" w:cs="Times New Roman"/>
                <w:color w:val="auto"/>
                <w:kern w:val="0"/>
                <w:sz w:val="24"/>
                <w:szCs w:val="24"/>
                <w:highlight w:val="none"/>
                <w:u w:val="none" w:color="auto"/>
                <w:lang w:val="en-US" w:eastAsia="zh-CN"/>
              </w:rPr>
              <w:t>m</w:t>
            </w:r>
            <w:r>
              <w:rPr>
                <w:rFonts w:hint="eastAsia" w:cs="Times New Roman"/>
                <w:color w:val="auto"/>
                <w:kern w:val="0"/>
                <w:sz w:val="24"/>
                <w:szCs w:val="24"/>
                <w:highlight w:val="none"/>
                <w:u w:val="none" w:color="auto"/>
                <w:vertAlign w:val="superscript"/>
                <w:lang w:val="en-US" w:eastAsia="zh-CN"/>
              </w:rPr>
              <w:t>3</w:t>
            </w:r>
            <w:r>
              <w:rPr>
                <w:rFonts w:hint="eastAsia" w:cs="Times New Roman"/>
                <w:color w:val="auto"/>
                <w:kern w:val="0"/>
                <w:sz w:val="24"/>
                <w:szCs w:val="24"/>
                <w:highlight w:val="none"/>
                <w:u w:val="none" w:color="auto"/>
                <w:lang w:val="en-US" w:eastAsia="zh-CN"/>
              </w:rPr>
              <w:t>/a</w:t>
            </w:r>
            <w:r>
              <w:rPr>
                <w:rFonts w:hint="eastAsia" w:cs="Times New Roman"/>
                <w:bCs/>
                <w:color w:val="auto"/>
                <w:sz w:val="24"/>
                <w:u w:val="none"/>
                <w:lang w:val="en-US" w:eastAsia="zh-CN"/>
              </w:rPr>
              <w:t>）</w:t>
            </w:r>
            <w:r>
              <w:rPr>
                <w:rFonts w:hint="eastAsia" w:cs="Times New Roman"/>
                <w:color w:val="auto"/>
                <w:kern w:val="0"/>
                <w:sz w:val="24"/>
                <w:szCs w:val="24"/>
                <w:highlight w:val="none"/>
                <w:u w:val="none" w:color="auto"/>
                <w:lang w:val="en-US" w:eastAsia="zh-CN"/>
              </w:rPr>
              <w:t>收集量约2069.03</w:t>
            </w:r>
            <w:r>
              <w:rPr>
                <w:rFonts w:hint="default" w:cs="Times New Roman"/>
                <w:color w:val="auto"/>
                <w:kern w:val="0"/>
                <w:sz w:val="24"/>
                <w:szCs w:val="24"/>
                <w:highlight w:val="none"/>
                <w:u w:val="none" w:color="auto"/>
                <w:lang w:val="en-US" w:eastAsia="zh-CN"/>
              </w:rPr>
              <w:t>m</w:t>
            </w:r>
            <w:r>
              <w:rPr>
                <w:rFonts w:hint="default" w:cs="Times New Roman"/>
                <w:color w:val="auto"/>
                <w:kern w:val="0"/>
                <w:sz w:val="24"/>
                <w:szCs w:val="24"/>
                <w:highlight w:val="none"/>
                <w:u w:val="none" w:color="auto"/>
                <w:vertAlign w:val="superscript"/>
                <w:lang w:val="en-US" w:eastAsia="zh-CN"/>
              </w:rPr>
              <w:t>3</w:t>
            </w:r>
            <w:r>
              <w:rPr>
                <w:rFonts w:hint="default" w:cs="Times New Roman"/>
                <w:color w:val="auto"/>
                <w:kern w:val="0"/>
                <w:sz w:val="24"/>
                <w:szCs w:val="24"/>
                <w:highlight w:val="none"/>
                <w:u w:val="none" w:color="auto"/>
                <w:lang w:val="en-US" w:eastAsia="zh-CN"/>
              </w:rPr>
              <w:t>/a</w:t>
            </w:r>
            <w:r>
              <w:rPr>
                <w:rFonts w:hint="eastAsia" w:cs="Times New Roman"/>
                <w:color w:val="auto"/>
                <w:kern w:val="0"/>
                <w:sz w:val="24"/>
                <w:szCs w:val="24"/>
                <w:highlight w:val="none"/>
                <w:u w:val="none" w:color="auto"/>
                <w:lang w:val="en-US" w:eastAsia="zh-CN"/>
              </w:rPr>
              <w:t>，类比同类项目，锅炉清洗过程</w:t>
            </w:r>
            <w:r>
              <w:rPr>
                <w:rFonts w:hint="default" w:cs="Times New Roman"/>
                <w:color w:val="auto"/>
                <w:kern w:val="0"/>
                <w:sz w:val="24"/>
                <w:szCs w:val="24"/>
                <w:highlight w:val="none"/>
                <w:u w:val="none" w:color="auto"/>
                <w:lang w:val="en-US" w:eastAsia="zh-CN"/>
              </w:rPr>
              <w:t>SS</w:t>
            </w:r>
            <w:r>
              <w:rPr>
                <w:rFonts w:hint="eastAsia" w:cs="Times New Roman"/>
                <w:color w:val="auto"/>
                <w:kern w:val="0"/>
                <w:sz w:val="24"/>
                <w:szCs w:val="24"/>
                <w:highlight w:val="none"/>
                <w:u w:val="none" w:color="auto"/>
                <w:lang w:val="en-US" w:eastAsia="zh-CN"/>
              </w:rPr>
              <w:t>产生浓度为2</w:t>
            </w:r>
            <w:r>
              <w:rPr>
                <w:rFonts w:hint="default" w:cs="Times New Roman"/>
                <w:color w:val="auto"/>
                <w:kern w:val="0"/>
                <w:sz w:val="24"/>
                <w:szCs w:val="24"/>
                <w:highlight w:val="none"/>
                <w:u w:val="none" w:color="auto"/>
                <w:lang w:val="en-US" w:eastAsia="zh-CN"/>
              </w:rPr>
              <w:t>00mg/L</w:t>
            </w:r>
            <w:r>
              <w:rPr>
                <w:rFonts w:hint="eastAsia" w:cs="Times New Roman"/>
                <w:color w:val="auto"/>
                <w:kern w:val="0"/>
                <w:sz w:val="24"/>
                <w:szCs w:val="24"/>
                <w:highlight w:val="none"/>
                <w:u w:val="none" w:color="auto"/>
                <w:lang w:val="en-US" w:eastAsia="zh-CN"/>
              </w:rPr>
              <w:t>，污泥含水率80%，则沉淀池污泥产生量约为2.64</w:t>
            </w:r>
            <w:r>
              <w:rPr>
                <w:rFonts w:hint="default" w:cs="Times New Roman"/>
                <w:color w:val="auto"/>
                <w:kern w:val="0"/>
                <w:sz w:val="24"/>
                <w:szCs w:val="24"/>
                <w:highlight w:val="none"/>
                <w:u w:val="none" w:color="auto"/>
                <w:lang w:val="en-US" w:eastAsia="zh-CN"/>
              </w:rPr>
              <w:t>t/a</w:t>
            </w:r>
            <w:r>
              <w:rPr>
                <w:rFonts w:hint="eastAsia" w:cs="Times New Roman"/>
                <w:color w:val="auto"/>
                <w:kern w:val="0"/>
                <w:sz w:val="24"/>
                <w:szCs w:val="24"/>
                <w:highlight w:val="none"/>
                <w:u w:val="none" w:color="auto"/>
                <w:lang w:val="en-US" w:eastAsia="zh-CN"/>
              </w:rPr>
              <w:t>。该部分污泥主要成分为清洗过程沉淀物</w:t>
            </w:r>
            <w:r>
              <w:rPr>
                <w:rFonts w:hint="eastAsia" w:ascii="宋体" w:hAnsi="宋体" w:eastAsia="宋体" w:cs="宋体"/>
                <w:color w:val="000000"/>
                <w:kern w:val="0"/>
                <w:sz w:val="24"/>
                <w:szCs w:val="24"/>
                <w:lang w:val="en-US" w:eastAsia="zh-CN" w:bidi="ar"/>
              </w:rPr>
              <w:t>，暂存于一般工业固体废物暂存间</w:t>
            </w:r>
            <w:r>
              <w:rPr>
                <w:rFonts w:hint="eastAsia" w:ascii="Times New Roman" w:hAnsi="Times New Roman" w:eastAsia="宋体" w:cs="Times New Roman"/>
                <w:color w:val="auto"/>
                <w:kern w:val="0"/>
                <w:sz w:val="24"/>
                <w:szCs w:val="24"/>
                <w:highlight w:val="none"/>
                <w:u w:val="none" w:color="auto"/>
                <w:lang w:val="en-US" w:eastAsia="zh-CN"/>
              </w:rPr>
              <w:t>，定期</w:t>
            </w:r>
            <w:r>
              <w:rPr>
                <w:rFonts w:hint="default" w:ascii="Times New Roman" w:hAnsi="Times New Roman" w:eastAsia="宋体" w:cs="Times New Roman"/>
                <w:color w:val="auto"/>
                <w:kern w:val="0"/>
                <w:sz w:val="24"/>
                <w:szCs w:val="24"/>
                <w:highlight w:val="none"/>
                <w:u w:val="none" w:color="auto"/>
                <w:lang w:val="en-US" w:eastAsia="zh-CN"/>
              </w:rPr>
              <w:t>交由具有相应处理能力或经营范围的单位利用或处置</w:t>
            </w:r>
            <w:r>
              <w:rPr>
                <w:rFonts w:hint="eastAsia" w:ascii="Times New Roman" w:hAnsi="Times New Roman" w:eastAsia="宋体" w:cs="Times New Roman"/>
                <w:color w:val="auto"/>
                <w:kern w:val="0"/>
                <w:sz w:val="24"/>
                <w:szCs w:val="24"/>
                <w:highlight w:val="none"/>
                <w:u w:val="none" w:color="auto"/>
                <w:lang w:val="en-US" w:eastAsia="zh-CN"/>
              </w:rPr>
              <w:t>。</w:t>
            </w:r>
          </w:p>
          <w:p>
            <w:pPr>
              <w:keepNext w:val="0"/>
              <w:keepLines w:val="0"/>
              <w:pageBreakBefore w:val="0"/>
              <w:kinsoku/>
              <w:wordWrap/>
              <w:overflowPunct/>
              <w:topLinePunct w:val="0"/>
              <w:autoSpaceDE/>
              <w:autoSpaceDN/>
              <w:bidi w:val="0"/>
              <w:snapToGrid/>
              <w:spacing w:line="360" w:lineRule="auto"/>
              <w:ind w:left="0" w:leftChars="0" w:firstLine="482" w:firstLineChars="200"/>
              <w:jc w:val="left"/>
              <w:rPr>
                <w:rFonts w:hint="default" w:ascii="Times New Roman" w:hAnsi="Times New Roman" w:cs="Times New Roman"/>
                <w:b/>
                <w:bCs/>
                <w:color w:val="auto"/>
                <w:sz w:val="24"/>
                <w:u w:val="single"/>
                <w:lang w:val="en-US" w:eastAsia="zh-CN"/>
              </w:rPr>
            </w:pPr>
            <w:r>
              <w:rPr>
                <w:rFonts w:hint="eastAsia" w:cs="Times New Roman"/>
                <w:b/>
                <w:bCs/>
                <w:color w:val="auto"/>
                <w:sz w:val="24"/>
                <w:u w:val="single"/>
                <w:lang w:val="en-US" w:eastAsia="zh-CN"/>
              </w:rPr>
              <w:t>（3）</w:t>
            </w:r>
            <w:r>
              <w:rPr>
                <w:rFonts w:hint="default" w:ascii="Times New Roman" w:hAnsi="Times New Roman" w:cs="Times New Roman"/>
                <w:b/>
                <w:bCs/>
                <w:color w:val="auto"/>
                <w:sz w:val="24"/>
                <w:u w:val="single"/>
                <w:lang w:val="en-US" w:eastAsia="zh-CN"/>
              </w:rPr>
              <w:t>危险废物</w:t>
            </w:r>
          </w:p>
          <w:p>
            <w:pPr>
              <w:keepNext w:val="0"/>
              <w:keepLines w:val="0"/>
              <w:pageBreakBefore w:val="0"/>
              <w:kinsoku/>
              <w:wordWrap/>
              <w:overflowPunct/>
              <w:topLinePunct w:val="0"/>
              <w:autoSpaceDE/>
              <w:autoSpaceDN/>
              <w:bidi w:val="0"/>
              <w:snapToGrid/>
              <w:spacing w:line="360" w:lineRule="auto"/>
              <w:ind w:left="0" w:leftChars="0" w:firstLine="480" w:firstLineChars="200"/>
              <w:jc w:val="left"/>
              <w:rPr>
                <w:rFonts w:hint="default" w:ascii="Times New Roman" w:hAnsi="Times New Roman" w:cs="Times New Roman"/>
                <w:b w:val="0"/>
                <w:bCs w:val="0"/>
                <w:color w:val="auto"/>
                <w:sz w:val="24"/>
                <w:u w:val="single"/>
                <w:lang w:val="en-US" w:eastAsia="zh-CN"/>
              </w:rPr>
            </w:pPr>
            <w:r>
              <w:rPr>
                <w:rFonts w:hint="default" w:ascii="Times New Roman" w:hAnsi="Times New Roman" w:cs="Times New Roman"/>
                <w:b w:val="0"/>
                <w:bCs w:val="0"/>
                <w:color w:val="auto"/>
                <w:sz w:val="24"/>
                <w:u w:val="single"/>
                <w:lang w:val="en-US" w:eastAsia="zh-CN"/>
              </w:rPr>
              <w:t>①废机油及含油废物</w:t>
            </w:r>
          </w:p>
          <w:p>
            <w:pPr>
              <w:keepNext w:val="0"/>
              <w:keepLines w:val="0"/>
              <w:pageBreakBefore w:val="0"/>
              <w:kinsoku/>
              <w:wordWrap/>
              <w:overflowPunct/>
              <w:topLinePunct w:val="0"/>
              <w:autoSpaceDE/>
              <w:autoSpaceDN/>
              <w:bidi w:val="0"/>
              <w:snapToGrid/>
              <w:spacing w:line="360" w:lineRule="auto"/>
              <w:ind w:left="0" w:leftChars="0" w:firstLine="480" w:firstLineChars="200"/>
              <w:jc w:val="left"/>
              <w:rPr>
                <w:rFonts w:hint="default" w:ascii="Times New Roman" w:hAnsi="Times New Roman" w:cs="Times New Roman"/>
                <w:b w:val="0"/>
                <w:bCs w:val="0"/>
                <w:color w:val="auto"/>
                <w:sz w:val="24"/>
                <w:u w:val="single"/>
                <w:lang w:val="en-US" w:eastAsia="zh-CN"/>
              </w:rPr>
            </w:pPr>
            <w:r>
              <w:rPr>
                <w:rFonts w:hint="eastAsia" w:ascii="Times New Roman" w:hAnsi="Times New Roman" w:cs="Times New Roman"/>
                <w:b w:val="0"/>
                <w:bCs w:val="0"/>
                <w:color w:val="auto"/>
                <w:sz w:val="24"/>
                <w:u w:val="single"/>
                <w:lang w:val="en-US" w:eastAsia="zh-CN"/>
              </w:rPr>
              <w:t>项目</w:t>
            </w:r>
            <w:r>
              <w:rPr>
                <w:rFonts w:hint="default" w:ascii="Times New Roman" w:hAnsi="Times New Roman" w:cs="Times New Roman"/>
                <w:b w:val="0"/>
                <w:bCs w:val="0"/>
                <w:color w:val="auto"/>
                <w:sz w:val="24"/>
                <w:u w:val="single"/>
                <w:lang w:val="en-US" w:eastAsia="zh-CN"/>
              </w:rPr>
              <w:t>在设备运行过程、维修、保养过程中需要使用机油，滴漏的机油约占使用量的1%，因此，产生量为0.01t/a，根据《国家危险废物名录》</w:t>
            </w:r>
            <w:r>
              <w:rPr>
                <w:rFonts w:hint="eastAsia" w:ascii="Times New Roman" w:hAnsi="Times New Roman" w:cs="Times New Roman"/>
                <w:b w:val="0"/>
                <w:bCs w:val="0"/>
                <w:color w:val="auto"/>
                <w:sz w:val="24"/>
                <w:u w:val="single"/>
                <w:lang w:val="en-US" w:eastAsia="zh-CN"/>
              </w:rPr>
              <w:t>(</w:t>
            </w:r>
            <w:r>
              <w:rPr>
                <w:rFonts w:hint="default" w:ascii="Times New Roman" w:hAnsi="Times New Roman" w:cs="Times New Roman"/>
                <w:b w:val="0"/>
                <w:bCs w:val="0"/>
                <w:color w:val="auto"/>
                <w:sz w:val="24"/>
                <w:u w:val="single"/>
                <w:lang w:val="en-US" w:eastAsia="zh-CN"/>
              </w:rPr>
              <w:t>2021年版</w:t>
            </w:r>
            <w:r>
              <w:rPr>
                <w:rFonts w:hint="eastAsia" w:ascii="Times New Roman" w:hAnsi="Times New Roman" w:cs="Times New Roman"/>
                <w:b w:val="0"/>
                <w:bCs w:val="0"/>
                <w:color w:val="auto"/>
                <w:sz w:val="24"/>
                <w:u w:val="single"/>
                <w:lang w:val="en-US" w:eastAsia="zh-CN"/>
              </w:rPr>
              <w:t>)</w:t>
            </w:r>
            <w:r>
              <w:rPr>
                <w:rFonts w:hint="default" w:ascii="Times New Roman" w:hAnsi="Times New Roman" w:cs="Times New Roman"/>
                <w:b w:val="0"/>
                <w:bCs w:val="0"/>
                <w:color w:val="auto"/>
                <w:sz w:val="24"/>
                <w:u w:val="single"/>
                <w:lang w:val="en-US" w:eastAsia="zh-CN"/>
              </w:rPr>
              <w:t>规定，属于HW08类危险废物</w:t>
            </w:r>
            <w:r>
              <w:rPr>
                <w:rFonts w:hint="eastAsia" w:cs="Times New Roman"/>
                <w:b w:val="0"/>
                <w:bCs w:val="0"/>
                <w:color w:val="auto"/>
                <w:sz w:val="24"/>
                <w:u w:val="single"/>
                <w:lang w:val="en-US" w:eastAsia="zh-CN"/>
              </w:rPr>
              <w:t>，</w:t>
            </w:r>
            <w:r>
              <w:rPr>
                <w:rFonts w:hint="eastAsia" w:ascii="Times New Roman" w:hAnsi="Times New Roman" w:cs="Times New Roman"/>
                <w:b w:val="0"/>
                <w:bCs w:val="0"/>
                <w:color w:val="auto"/>
                <w:sz w:val="24"/>
                <w:u w:val="single"/>
                <w:lang w:val="en-US" w:eastAsia="zh-CN"/>
              </w:rPr>
              <w:t>废物代码</w:t>
            </w:r>
            <w:r>
              <w:rPr>
                <w:rFonts w:hint="default" w:ascii="Times New Roman" w:hAnsi="Times New Roman" w:eastAsia="宋体" w:cs="Times New Roman"/>
                <w:color w:val="000000" w:themeColor="text1"/>
                <w:u w:val="single"/>
                <w:lang w:val="en-US" w:eastAsia="zh-CN"/>
                <w14:textFill>
                  <w14:solidFill>
                    <w14:schemeClr w14:val="tx1"/>
                  </w14:solidFill>
                </w14:textFill>
              </w:rPr>
              <w:t>900-249-08</w:t>
            </w:r>
            <w:r>
              <w:rPr>
                <w:rFonts w:hint="default" w:ascii="Times New Roman" w:hAnsi="Times New Roman" w:cs="Times New Roman"/>
                <w:b w:val="0"/>
                <w:bCs w:val="0"/>
                <w:color w:val="auto"/>
                <w:sz w:val="24"/>
                <w:u w:val="single"/>
                <w:lang w:val="en-US" w:eastAsia="zh-CN"/>
              </w:rPr>
              <w:t>；暂存在危险废物暂存间，定期交于有相关危险废物处理资质单位处置。</w:t>
            </w:r>
          </w:p>
          <w:p>
            <w:pPr>
              <w:keepNext w:val="0"/>
              <w:keepLines w:val="0"/>
              <w:pageBreakBefore w:val="0"/>
              <w:kinsoku/>
              <w:wordWrap/>
              <w:overflowPunct/>
              <w:topLinePunct w:val="0"/>
              <w:autoSpaceDE/>
              <w:autoSpaceDN/>
              <w:bidi w:val="0"/>
              <w:snapToGrid/>
              <w:spacing w:line="360" w:lineRule="auto"/>
              <w:ind w:left="0" w:leftChars="0" w:firstLine="480" w:firstLineChars="200"/>
              <w:jc w:val="left"/>
              <w:rPr>
                <w:rFonts w:hint="default" w:ascii="Times New Roman" w:hAnsi="Times New Roman" w:cs="Times New Roman"/>
                <w:b w:val="0"/>
                <w:bCs w:val="0"/>
                <w:color w:val="auto"/>
                <w:sz w:val="24"/>
                <w:u w:val="single"/>
                <w:lang w:val="en-US" w:eastAsia="zh-CN"/>
              </w:rPr>
            </w:pPr>
            <w:r>
              <w:rPr>
                <w:rFonts w:hint="default" w:ascii="Times New Roman" w:hAnsi="Times New Roman" w:cs="Times New Roman"/>
                <w:b w:val="0"/>
                <w:bCs w:val="0"/>
                <w:color w:val="auto"/>
                <w:sz w:val="24"/>
                <w:u w:val="single"/>
                <w:lang w:val="en-US" w:eastAsia="zh-CN"/>
              </w:rPr>
              <w:t>②含油抹布和手套</w:t>
            </w:r>
          </w:p>
          <w:p>
            <w:pPr>
              <w:keepNext w:val="0"/>
              <w:keepLines w:val="0"/>
              <w:pageBreakBefore w:val="0"/>
              <w:kinsoku/>
              <w:wordWrap/>
              <w:overflowPunct/>
              <w:topLinePunct w:val="0"/>
              <w:autoSpaceDE/>
              <w:autoSpaceDN/>
              <w:bidi w:val="0"/>
              <w:snapToGrid/>
              <w:spacing w:line="360" w:lineRule="auto"/>
              <w:ind w:left="0" w:leftChars="0" w:firstLine="480" w:firstLineChars="200"/>
              <w:jc w:val="left"/>
              <w:rPr>
                <w:rFonts w:hint="default" w:ascii="Times New Roman" w:hAnsi="Times New Roman" w:cs="Times New Roman"/>
                <w:b w:val="0"/>
                <w:bCs w:val="0"/>
                <w:color w:val="auto"/>
                <w:sz w:val="24"/>
                <w:u w:val="single"/>
                <w:lang w:val="en-US" w:eastAsia="zh-CN"/>
              </w:rPr>
            </w:pPr>
            <w:r>
              <w:rPr>
                <w:rFonts w:hint="default" w:ascii="Times New Roman" w:hAnsi="Times New Roman" w:cs="Times New Roman"/>
                <w:b w:val="0"/>
                <w:bCs w:val="0"/>
                <w:color w:val="auto"/>
                <w:sz w:val="24"/>
                <w:u w:val="single"/>
                <w:lang w:val="en-US" w:eastAsia="zh-CN"/>
              </w:rPr>
              <w:t>设备维修保养过程会产生含油抹布和手套等。本项目含油抹布和手套产生量0.00</w:t>
            </w:r>
            <w:r>
              <w:rPr>
                <w:rFonts w:hint="eastAsia" w:ascii="Times New Roman" w:hAnsi="Times New Roman" w:cs="Times New Roman"/>
                <w:b w:val="0"/>
                <w:bCs w:val="0"/>
                <w:color w:val="auto"/>
                <w:sz w:val="24"/>
                <w:u w:val="single"/>
                <w:lang w:val="en-US" w:eastAsia="zh-CN"/>
              </w:rPr>
              <w:t>1</w:t>
            </w:r>
            <w:r>
              <w:rPr>
                <w:rFonts w:hint="default" w:ascii="Times New Roman" w:hAnsi="Times New Roman" w:cs="Times New Roman"/>
                <w:b w:val="0"/>
                <w:bCs w:val="0"/>
                <w:color w:val="auto"/>
                <w:sz w:val="24"/>
                <w:u w:val="single"/>
                <w:lang w:val="en-US" w:eastAsia="zh-CN"/>
              </w:rPr>
              <w:t>t/a，根据《国家危险废物名录》</w:t>
            </w:r>
            <w:r>
              <w:rPr>
                <w:rFonts w:hint="eastAsia" w:ascii="Times New Roman" w:hAnsi="Times New Roman" w:cs="Times New Roman"/>
                <w:b w:val="0"/>
                <w:bCs w:val="0"/>
                <w:color w:val="auto"/>
                <w:sz w:val="24"/>
                <w:u w:val="single"/>
                <w:lang w:val="en-US" w:eastAsia="zh-CN"/>
              </w:rPr>
              <w:t>(</w:t>
            </w:r>
            <w:r>
              <w:rPr>
                <w:rFonts w:hint="default" w:ascii="Times New Roman" w:hAnsi="Times New Roman" w:cs="Times New Roman"/>
                <w:b w:val="0"/>
                <w:bCs w:val="0"/>
                <w:color w:val="auto"/>
                <w:sz w:val="24"/>
                <w:u w:val="single"/>
                <w:lang w:val="en-US" w:eastAsia="zh-CN"/>
              </w:rPr>
              <w:t>202</w:t>
            </w:r>
            <w:r>
              <w:rPr>
                <w:rFonts w:hint="eastAsia" w:ascii="Times New Roman" w:hAnsi="Times New Roman" w:cs="Times New Roman"/>
                <w:b w:val="0"/>
                <w:bCs w:val="0"/>
                <w:color w:val="auto"/>
                <w:sz w:val="24"/>
                <w:u w:val="single"/>
                <w:lang w:val="en-US" w:eastAsia="zh-CN"/>
              </w:rPr>
              <w:t>1</w:t>
            </w:r>
            <w:r>
              <w:rPr>
                <w:rFonts w:hint="default" w:ascii="Times New Roman" w:hAnsi="Times New Roman" w:cs="Times New Roman"/>
                <w:b w:val="0"/>
                <w:bCs w:val="0"/>
                <w:color w:val="auto"/>
                <w:sz w:val="24"/>
                <w:u w:val="single"/>
                <w:lang w:val="en-US" w:eastAsia="zh-CN"/>
              </w:rPr>
              <w:t>年版</w:t>
            </w:r>
            <w:r>
              <w:rPr>
                <w:rFonts w:hint="eastAsia" w:ascii="Times New Roman" w:hAnsi="Times New Roman" w:cs="Times New Roman"/>
                <w:b w:val="0"/>
                <w:bCs w:val="0"/>
                <w:color w:val="auto"/>
                <w:sz w:val="24"/>
                <w:u w:val="single"/>
                <w:lang w:val="en-US" w:eastAsia="zh-CN"/>
              </w:rPr>
              <w:t>)</w:t>
            </w:r>
            <w:r>
              <w:rPr>
                <w:rFonts w:hint="default" w:ascii="Times New Roman" w:hAnsi="Times New Roman" w:cs="Times New Roman"/>
                <w:b w:val="0"/>
                <w:bCs w:val="0"/>
                <w:color w:val="auto"/>
                <w:sz w:val="24"/>
                <w:u w:val="single"/>
                <w:lang w:val="en-US" w:eastAsia="zh-CN"/>
              </w:rPr>
              <w:t>，属于HW49其他废物</w:t>
            </w:r>
            <w:r>
              <w:rPr>
                <w:rFonts w:hint="eastAsia" w:ascii="Times New Roman" w:hAnsi="Times New Roman" w:cs="Times New Roman"/>
                <w:b w:val="0"/>
                <w:bCs w:val="0"/>
                <w:color w:val="auto"/>
                <w:sz w:val="24"/>
                <w:u w:val="single"/>
                <w:lang w:val="en-US" w:eastAsia="zh-CN"/>
              </w:rPr>
              <w:t>，废物代码900-041-49</w:t>
            </w:r>
            <w:r>
              <w:rPr>
                <w:rFonts w:hint="default" w:ascii="Times New Roman" w:hAnsi="Times New Roman" w:cs="Times New Roman"/>
                <w:b w:val="0"/>
                <w:bCs w:val="0"/>
                <w:color w:val="auto"/>
                <w:sz w:val="24"/>
                <w:u w:val="single"/>
                <w:lang w:val="en-US" w:eastAsia="zh-CN"/>
              </w:rPr>
              <w:t>；暂存在危险废物暂存间，定期交于有相关危险废物处理资质单位处置</w:t>
            </w:r>
            <w:r>
              <w:rPr>
                <w:rFonts w:hint="eastAsia" w:ascii="Times New Roman" w:hAnsi="Times New Roman" w:cs="Times New Roman"/>
                <w:b w:val="0"/>
                <w:bCs w:val="0"/>
                <w:color w:val="auto"/>
                <w:sz w:val="24"/>
                <w:u w:val="single"/>
                <w:lang w:val="en-US" w:eastAsia="zh-CN"/>
              </w:rPr>
              <w:t>。</w:t>
            </w:r>
          </w:p>
          <w:p>
            <w:pPr>
              <w:ind w:firstLine="480"/>
              <w:rPr>
                <w:kern w:val="0"/>
                <w:sz w:val="21"/>
                <w:u w:val="single"/>
              </w:rPr>
            </w:pPr>
            <w:r>
              <w:rPr>
                <w:rFonts w:hint="eastAsia"/>
                <w:u w:val="single"/>
              </w:rPr>
              <w:t>本项目产生的固体废物详见下表。</w:t>
            </w:r>
          </w:p>
          <w:p>
            <w:pPr>
              <w:pStyle w:val="7"/>
              <w:rPr>
                <w:kern w:val="0"/>
                <w:sz w:val="21"/>
                <w:u w:val="single"/>
              </w:rPr>
            </w:pPr>
            <w:r>
              <w:rPr>
                <w:kern w:val="0"/>
                <w:sz w:val="21"/>
                <w:u w:val="single"/>
              </w:rPr>
              <w:t>表4-</w:t>
            </w:r>
            <w:r>
              <w:rPr>
                <w:rFonts w:hint="eastAsia"/>
                <w:kern w:val="0"/>
                <w:sz w:val="21"/>
                <w:u w:val="single"/>
                <w:lang w:val="en-US" w:eastAsia="zh-CN"/>
              </w:rPr>
              <w:t>23</w:t>
            </w:r>
            <w:r>
              <w:rPr>
                <w:rFonts w:hint="eastAsia"/>
                <w:kern w:val="0"/>
                <w:sz w:val="21"/>
                <w:u w:val="single"/>
              </w:rPr>
              <w:t>项目固废产生处置情况一览表</w:t>
            </w:r>
          </w:p>
          <w:tbl>
            <w:tblPr>
              <w:tblStyle w:val="24"/>
              <w:tblW w:w="49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1124"/>
              <w:gridCol w:w="1211"/>
              <w:gridCol w:w="1439"/>
              <w:gridCol w:w="2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blHeader/>
                <w:jc w:val="center"/>
              </w:trPr>
              <w:tc>
                <w:tcPr>
                  <w:tcW w:w="1038" w:type="pct"/>
                  <w:shd w:val="clear" w:color="auto" w:fill="auto"/>
                  <w:vAlign w:val="center"/>
                </w:tcPr>
                <w:p>
                  <w:pPr>
                    <w:pStyle w:val="47"/>
                    <w:rPr>
                      <w:b/>
                      <w:bCs/>
                      <w:color w:val="000000" w:themeColor="text1"/>
                      <w:u w:val="single"/>
                      <w14:textFill>
                        <w14:solidFill>
                          <w14:schemeClr w14:val="tx1"/>
                        </w14:solidFill>
                      </w14:textFill>
                    </w:rPr>
                  </w:pPr>
                  <w:r>
                    <w:rPr>
                      <w:rFonts w:hint="eastAsia"/>
                      <w:b/>
                      <w:bCs/>
                      <w:color w:val="000000" w:themeColor="text1"/>
                      <w:u w:val="single"/>
                      <w14:textFill>
                        <w14:solidFill>
                          <w14:schemeClr w14:val="tx1"/>
                        </w14:solidFill>
                      </w14:textFill>
                    </w:rPr>
                    <w:t>固废类型</w:t>
                  </w:r>
                </w:p>
              </w:tc>
              <w:tc>
                <w:tcPr>
                  <w:tcW w:w="665" w:type="pct"/>
                  <w:shd w:val="clear" w:color="auto" w:fill="auto"/>
                  <w:vAlign w:val="center"/>
                </w:tcPr>
                <w:p>
                  <w:pPr>
                    <w:pStyle w:val="47"/>
                    <w:rPr>
                      <w:b/>
                      <w:bCs/>
                      <w:color w:val="000000" w:themeColor="text1"/>
                      <w:u w:val="single"/>
                      <w14:textFill>
                        <w14:solidFill>
                          <w14:schemeClr w14:val="tx1"/>
                        </w14:solidFill>
                      </w14:textFill>
                    </w:rPr>
                  </w:pPr>
                  <w:r>
                    <w:rPr>
                      <w:rFonts w:hint="eastAsia"/>
                      <w:b/>
                      <w:bCs/>
                      <w:color w:val="000000" w:themeColor="text1"/>
                      <w:u w:val="single"/>
                      <w14:textFill>
                        <w14:solidFill>
                          <w14:schemeClr w14:val="tx1"/>
                        </w14:solidFill>
                      </w14:textFill>
                    </w:rPr>
                    <w:t>性质</w:t>
                  </w:r>
                </w:p>
              </w:tc>
              <w:tc>
                <w:tcPr>
                  <w:tcW w:w="717" w:type="pct"/>
                  <w:shd w:val="clear" w:color="auto" w:fill="auto"/>
                  <w:vAlign w:val="center"/>
                </w:tcPr>
                <w:p>
                  <w:pPr>
                    <w:pStyle w:val="47"/>
                    <w:rPr>
                      <w:b/>
                      <w:bCs/>
                      <w:color w:val="000000" w:themeColor="text1"/>
                      <w:u w:val="single"/>
                      <w14:textFill>
                        <w14:solidFill>
                          <w14:schemeClr w14:val="tx1"/>
                        </w14:solidFill>
                      </w14:textFill>
                    </w:rPr>
                  </w:pPr>
                  <w:r>
                    <w:rPr>
                      <w:rFonts w:hint="eastAsia"/>
                      <w:b/>
                      <w:bCs/>
                      <w:color w:val="000000" w:themeColor="text1"/>
                      <w:u w:val="single"/>
                      <w14:textFill>
                        <w14:solidFill>
                          <w14:schemeClr w14:val="tx1"/>
                        </w14:solidFill>
                      </w14:textFill>
                    </w:rPr>
                    <w:t>产生量（t/a）</w:t>
                  </w:r>
                </w:p>
              </w:tc>
              <w:tc>
                <w:tcPr>
                  <w:tcW w:w="852" w:type="pct"/>
                  <w:shd w:val="clear" w:color="auto" w:fill="auto"/>
                  <w:vAlign w:val="center"/>
                </w:tcPr>
                <w:p>
                  <w:pPr>
                    <w:pStyle w:val="47"/>
                    <w:rPr>
                      <w:b/>
                      <w:bCs/>
                      <w:color w:val="000000" w:themeColor="text1"/>
                      <w:u w:val="single"/>
                      <w14:textFill>
                        <w14:solidFill>
                          <w14:schemeClr w14:val="tx1"/>
                        </w14:solidFill>
                      </w14:textFill>
                    </w:rPr>
                  </w:pPr>
                  <w:r>
                    <w:rPr>
                      <w:rFonts w:hint="eastAsia"/>
                      <w:b/>
                      <w:bCs/>
                      <w:color w:val="000000" w:themeColor="text1"/>
                      <w:u w:val="single"/>
                      <w14:textFill>
                        <w14:solidFill>
                          <w14:schemeClr w14:val="tx1"/>
                        </w14:solidFill>
                      </w14:textFill>
                    </w:rPr>
                    <w:t>废物代码</w:t>
                  </w:r>
                </w:p>
              </w:tc>
              <w:tc>
                <w:tcPr>
                  <w:tcW w:w="1726" w:type="pct"/>
                  <w:tcBorders>
                    <w:bottom w:val="single" w:color="auto" w:sz="4" w:space="0"/>
                  </w:tcBorders>
                  <w:shd w:val="clear" w:color="auto" w:fill="auto"/>
                  <w:vAlign w:val="center"/>
                </w:tcPr>
                <w:p>
                  <w:pPr>
                    <w:pStyle w:val="47"/>
                    <w:rPr>
                      <w:b/>
                      <w:bCs/>
                      <w:color w:val="000000" w:themeColor="text1"/>
                      <w:u w:val="single"/>
                      <w14:textFill>
                        <w14:solidFill>
                          <w14:schemeClr w14:val="tx1"/>
                        </w14:solidFill>
                      </w14:textFill>
                    </w:rPr>
                  </w:pPr>
                  <w:r>
                    <w:rPr>
                      <w:rFonts w:hint="eastAsia"/>
                      <w:b/>
                      <w:bCs/>
                      <w:color w:val="000000" w:themeColor="text1"/>
                      <w:u w:val="single"/>
                      <w14:textFill>
                        <w14:solidFill>
                          <w14:schemeClr w14:val="tx1"/>
                        </w14:solidFill>
                      </w14:textFill>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038" w:type="pct"/>
                  <w:shd w:val="clear" w:color="auto" w:fill="auto"/>
                  <w:vAlign w:val="center"/>
                </w:tcPr>
                <w:p>
                  <w:pPr>
                    <w:pStyle w:val="47"/>
                    <w:rPr>
                      <w:rFonts w:hint="eastAsia"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生活垃圾</w:t>
                  </w:r>
                </w:p>
              </w:tc>
              <w:tc>
                <w:tcPr>
                  <w:tcW w:w="665" w:type="pct"/>
                  <w:shd w:val="clear" w:color="auto" w:fill="auto"/>
                  <w:vAlign w:val="center"/>
                </w:tcPr>
                <w:p>
                  <w:pPr>
                    <w:pStyle w:val="47"/>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生活垃圾</w:t>
                  </w:r>
                </w:p>
              </w:tc>
              <w:tc>
                <w:tcPr>
                  <w:tcW w:w="717" w:type="pct"/>
                  <w:shd w:val="clear" w:color="auto" w:fill="auto"/>
                  <w:vAlign w:val="center"/>
                </w:tcPr>
                <w:p>
                  <w:pPr>
                    <w:pStyle w:val="47"/>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21.45</w:t>
                  </w:r>
                </w:p>
              </w:tc>
              <w:tc>
                <w:tcPr>
                  <w:tcW w:w="852" w:type="pct"/>
                  <w:shd w:val="clear" w:color="auto" w:fill="auto"/>
                  <w:vAlign w:val="center"/>
                </w:tcPr>
                <w:p>
                  <w:pPr>
                    <w:pStyle w:val="47"/>
                    <w:rPr>
                      <w:rFonts w:hint="eastAsia" w:ascii="Times New Roman" w:hAnsi="Times New Roman" w:eastAsia="宋体" w:cs="Times New Roman"/>
                      <w:color w:val="000000" w:themeColor="text1"/>
                      <w:u w:val="single"/>
                      <w:lang w:val="en-US" w:eastAsia="zh-CN"/>
                      <w14:textFill>
                        <w14:solidFill>
                          <w14:schemeClr w14:val="tx1"/>
                        </w14:solidFill>
                      </w14:textFill>
                    </w:rPr>
                  </w:pPr>
                  <w:r>
                    <w:rPr>
                      <w:rFonts w:hint="default" w:ascii="Times New Roman" w:hAnsi="Times New Roman" w:eastAsia="宋体" w:cs="Times New Roman"/>
                      <w:color w:val="000000" w:themeColor="text1"/>
                      <w:u w:val="single"/>
                      <w:lang w:val="en-US" w:eastAsia="zh-CN"/>
                      <w14:textFill>
                        <w14:solidFill>
                          <w14:schemeClr w14:val="tx1"/>
                        </w14:solidFill>
                      </w14:textFill>
                    </w:rPr>
                    <w:t>900-099-S64</w:t>
                  </w:r>
                </w:p>
              </w:tc>
              <w:tc>
                <w:tcPr>
                  <w:tcW w:w="1726" w:type="pct"/>
                  <w:shd w:val="clear" w:color="auto" w:fill="auto"/>
                  <w:vAlign w:val="center"/>
                </w:tcPr>
                <w:p>
                  <w:pPr>
                    <w:pStyle w:val="47"/>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由环卫部门收集后处理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038" w:type="pct"/>
                  <w:shd w:val="clear" w:color="auto" w:fill="auto"/>
                  <w:vAlign w:val="center"/>
                </w:tcPr>
                <w:p>
                  <w:pPr>
                    <w:pStyle w:val="47"/>
                    <w:rPr>
                      <w:rFonts w:hint="eastAsia"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lang w:val="en-US" w:eastAsia="zh-CN"/>
                      <w14:textFill>
                        <w14:solidFill>
                          <w14:schemeClr w14:val="tx1"/>
                        </w14:solidFill>
                      </w14:textFill>
                    </w:rPr>
                    <w:t>废包装材料</w:t>
                  </w:r>
                </w:p>
              </w:tc>
              <w:tc>
                <w:tcPr>
                  <w:tcW w:w="665" w:type="pct"/>
                  <w:shd w:val="clear" w:color="auto" w:fill="auto"/>
                  <w:vAlign w:val="center"/>
                </w:tcPr>
                <w:p>
                  <w:pPr>
                    <w:pStyle w:val="47"/>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一般固废</w:t>
                  </w:r>
                </w:p>
              </w:tc>
              <w:tc>
                <w:tcPr>
                  <w:tcW w:w="717" w:type="pct"/>
                  <w:shd w:val="clear" w:color="auto" w:fill="auto"/>
                  <w:vAlign w:val="center"/>
                </w:tcPr>
                <w:p>
                  <w:pPr>
                    <w:pStyle w:val="47"/>
                    <w:rPr>
                      <w:rFonts w:hint="default"/>
                      <w:color w:val="000000" w:themeColor="text1"/>
                      <w:u w:val="single"/>
                      <w:lang w:val="en-US"/>
                      <w14:textFill>
                        <w14:solidFill>
                          <w14:schemeClr w14:val="tx1"/>
                        </w14:solidFill>
                      </w14:textFill>
                    </w:rPr>
                  </w:pPr>
                  <w:r>
                    <w:rPr>
                      <w:rFonts w:hint="eastAsia"/>
                      <w:color w:val="000000" w:themeColor="text1"/>
                      <w:u w:val="single"/>
                      <w:lang w:val="en-US" w:eastAsia="zh-CN"/>
                      <w14:textFill>
                        <w14:solidFill>
                          <w14:schemeClr w14:val="tx1"/>
                        </w14:solidFill>
                      </w14:textFill>
                    </w:rPr>
                    <w:t>2.7</w:t>
                  </w:r>
                </w:p>
              </w:tc>
              <w:tc>
                <w:tcPr>
                  <w:tcW w:w="852" w:type="pct"/>
                  <w:shd w:val="clear" w:color="auto" w:fill="auto"/>
                  <w:vAlign w:val="center"/>
                </w:tcPr>
                <w:p>
                  <w:pPr>
                    <w:pStyle w:val="47"/>
                    <w:rPr>
                      <w:rFonts w:hint="eastAsia" w:ascii="Times New Roman" w:hAnsi="Times New Roman" w:eastAsia="宋体" w:cs="Times New Roman"/>
                      <w:color w:val="000000" w:themeColor="text1"/>
                      <w:u w:val="single"/>
                      <w:lang w:val="en-US" w:eastAsia="zh-CN"/>
                      <w14:textFill>
                        <w14:solidFill>
                          <w14:schemeClr w14:val="tx1"/>
                        </w14:solidFill>
                      </w14:textFill>
                    </w:rPr>
                  </w:pPr>
                  <w:r>
                    <w:rPr>
                      <w:rFonts w:hint="default" w:ascii="Times New Roman" w:hAnsi="Times New Roman" w:eastAsia="宋体" w:cs="Times New Roman"/>
                      <w:color w:val="000000" w:themeColor="text1"/>
                      <w:u w:val="single"/>
                      <w:lang w:val="en-US" w:eastAsia="zh-CN"/>
                      <w14:textFill>
                        <w14:solidFill>
                          <w14:schemeClr w14:val="tx1"/>
                        </w14:solidFill>
                      </w14:textFill>
                    </w:rPr>
                    <w:t>900-099-S17</w:t>
                  </w:r>
                </w:p>
              </w:tc>
              <w:tc>
                <w:tcPr>
                  <w:tcW w:w="1726" w:type="pct"/>
                  <w:shd w:val="clear" w:color="auto" w:fill="auto"/>
                  <w:vAlign w:val="center"/>
                </w:tcPr>
                <w:p>
                  <w:pPr>
                    <w:spacing w:line="240" w:lineRule="auto"/>
                    <w:ind w:firstLine="0" w:firstLineChars="0"/>
                    <w:jc w:val="center"/>
                    <w:rPr>
                      <w:color w:val="000000" w:themeColor="text1"/>
                      <w:sz w:val="21"/>
                      <w:u w:val="single"/>
                      <w14:textFill>
                        <w14:solidFill>
                          <w14:schemeClr w14:val="tx1"/>
                        </w14:solidFill>
                      </w14:textFill>
                    </w:rPr>
                  </w:pPr>
                  <w:r>
                    <w:rPr>
                      <w:rFonts w:hint="eastAsia"/>
                      <w:color w:val="000000" w:themeColor="text1"/>
                      <w:sz w:val="21"/>
                      <w:u w:val="single"/>
                      <w14:textFill>
                        <w14:solidFill>
                          <w14:schemeClr w14:val="tx1"/>
                        </w14:solidFill>
                      </w14:textFill>
                    </w:rPr>
                    <w:t>统一外售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38" w:type="pct"/>
                  <w:shd w:val="clear" w:color="auto" w:fill="auto"/>
                  <w:vAlign w:val="center"/>
                </w:tcPr>
                <w:p>
                  <w:pPr>
                    <w:pStyle w:val="47"/>
                    <w:rPr>
                      <w:rFonts w:hint="eastAsia"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lang w:val="en-US" w:eastAsia="zh-CN"/>
                      <w14:textFill>
                        <w14:solidFill>
                          <w14:schemeClr w14:val="tx1"/>
                        </w14:solidFill>
                      </w14:textFill>
                    </w:rPr>
                    <w:t>除尘器收集粉尘</w:t>
                  </w:r>
                </w:p>
              </w:tc>
              <w:tc>
                <w:tcPr>
                  <w:tcW w:w="665" w:type="pct"/>
                  <w:shd w:val="clear" w:color="auto" w:fill="auto"/>
                  <w:vAlign w:val="center"/>
                </w:tcPr>
                <w:p>
                  <w:pPr>
                    <w:pStyle w:val="47"/>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一般固废</w:t>
                  </w:r>
                </w:p>
              </w:tc>
              <w:tc>
                <w:tcPr>
                  <w:tcW w:w="717" w:type="pct"/>
                  <w:shd w:val="clear" w:color="auto" w:fill="auto"/>
                  <w:vAlign w:val="center"/>
                </w:tcPr>
                <w:p>
                  <w:pPr>
                    <w:pStyle w:val="47"/>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0.817</w:t>
                  </w:r>
                </w:p>
              </w:tc>
              <w:tc>
                <w:tcPr>
                  <w:tcW w:w="852" w:type="pct"/>
                  <w:shd w:val="clear" w:color="auto" w:fill="auto"/>
                  <w:vAlign w:val="center"/>
                </w:tcPr>
                <w:p>
                  <w:pPr>
                    <w:pStyle w:val="47"/>
                    <w:rPr>
                      <w:rFonts w:hint="eastAsia" w:ascii="Times New Roman" w:hAnsi="Times New Roman" w:eastAsia="宋体" w:cs="Times New Roman"/>
                      <w:color w:val="000000" w:themeColor="text1"/>
                      <w:u w:val="single"/>
                      <w:lang w:val="en-US" w:eastAsia="zh-CN"/>
                      <w14:textFill>
                        <w14:solidFill>
                          <w14:schemeClr w14:val="tx1"/>
                        </w14:solidFill>
                      </w14:textFill>
                    </w:rPr>
                  </w:pPr>
                  <w:r>
                    <w:rPr>
                      <w:rFonts w:hint="default" w:ascii="Times New Roman" w:hAnsi="Times New Roman" w:eastAsia="宋体" w:cs="Times New Roman"/>
                      <w:color w:val="000000" w:themeColor="text1"/>
                      <w:u w:val="single"/>
                      <w:lang w:val="en-US" w:eastAsia="zh-CN"/>
                      <w14:textFill>
                        <w14:solidFill>
                          <w14:schemeClr w14:val="tx1"/>
                        </w14:solidFill>
                      </w14:textFill>
                    </w:rPr>
                    <w:t>900-099-S59</w:t>
                  </w:r>
                </w:p>
              </w:tc>
              <w:tc>
                <w:tcPr>
                  <w:tcW w:w="1726" w:type="pct"/>
                  <w:shd w:val="clear" w:color="auto" w:fill="auto"/>
                  <w:vAlign w:val="center"/>
                </w:tcPr>
                <w:p>
                  <w:pPr>
                    <w:spacing w:line="240" w:lineRule="auto"/>
                    <w:ind w:firstLine="0" w:firstLineChars="0"/>
                    <w:jc w:val="center"/>
                    <w:rPr>
                      <w:color w:val="000000" w:themeColor="text1"/>
                      <w:sz w:val="21"/>
                      <w:u w:val="single"/>
                      <w14:textFill>
                        <w14:solidFill>
                          <w14:schemeClr w14:val="tx1"/>
                        </w14:solidFill>
                      </w14:textFill>
                    </w:rPr>
                  </w:pPr>
                  <w:r>
                    <w:rPr>
                      <w:rFonts w:hint="eastAsia"/>
                      <w:color w:val="000000" w:themeColor="text1"/>
                      <w:sz w:val="21"/>
                      <w:u w:val="single"/>
                      <w14:textFill>
                        <w14:solidFill>
                          <w14:schemeClr w14:val="tx1"/>
                        </w14:solidFill>
                      </w14:textFill>
                    </w:rPr>
                    <w:t>统一外售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038" w:type="pct"/>
                  <w:shd w:val="clear" w:color="auto" w:fill="auto"/>
                  <w:vAlign w:val="center"/>
                </w:tcPr>
                <w:p>
                  <w:pPr>
                    <w:pStyle w:val="47"/>
                    <w:rPr>
                      <w:rFonts w:hint="eastAsia"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lang w:val="en-US" w:eastAsia="zh-CN"/>
                      <w14:textFill>
                        <w14:solidFill>
                          <w14:schemeClr w14:val="tx1"/>
                        </w14:solidFill>
                      </w14:textFill>
                    </w:rPr>
                    <w:t>废离子交换树脂</w:t>
                  </w:r>
                </w:p>
              </w:tc>
              <w:tc>
                <w:tcPr>
                  <w:tcW w:w="665" w:type="pct"/>
                  <w:shd w:val="clear" w:color="auto" w:fill="auto"/>
                  <w:vAlign w:val="center"/>
                </w:tcPr>
                <w:p>
                  <w:pPr>
                    <w:pStyle w:val="47"/>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一般固废</w:t>
                  </w:r>
                </w:p>
              </w:tc>
              <w:tc>
                <w:tcPr>
                  <w:tcW w:w="717" w:type="pct"/>
                  <w:shd w:val="clear" w:color="auto" w:fill="auto"/>
                  <w:vAlign w:val="center"/>
                </w:tcPr>
                <w:p>
                  <w:pPr>
                    <w:pStyle w:val="47"/>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0.285</w:t>
                  </w:r>
                </w:p>
              </w:tc>
              <w:tc>
                <w:tcPr>
                  <w:tcW w:w="852" w:type="pct"/>
                  <w:shd w:val="clear" w:color="auto" w:fill="auto"/>
                  <w:vAlign w:val="center"/>
                </w:tcPr>
                <w:p>
                  <w:pPr>
                    <w:pStyle w:val="47"/>
                    <w:rPr>
                      <w:rFonts w:hint="eastAsia" w:ascii="Times New Roman" w:hAnsi="Times New Roman" w:eastAsia="宋体" w:cs="Times New Roman"/>
                      <w:color w:val="000000" w:themeColor="text1"/>
                      <w:u w:val="single"/>
                      <w:lang w:val="en-US" w:eastAsia="zh-CN"/>
                      <w14:textFill>
                        <w14:solidFill>
                          <w14:schemeClr w14:val="tx1"/>
                        </w14:solidFill>
                      </w14:textFill>
                    </w:rPr>
                  </w:pPr>
                  <w:r>
                    <w:rPr>
                      <w:rFonts w:hint="default" w:ascii="Times New Roman" w:hAnsi="Times New Roman" w:eastAsia="宋体" w:cs="Times New Roman"/>
                      <w:color w:val="000000" w:themeColor="text1"/>
                      <w:u w:val="single"/>
                      <w:lang w:val="en-US" w:eastAsia="zh-CN"/>
                      <w14:textFill>
                        <w14:solidFill>
                          <w14:schemeClr w14:val="tx1"/>
                        </w14:solidFill>
                      </w14:textFill>
                    </w:rPr>
                    <w:t>900-008-S59</w:t>
                  </w:r>
                </w:p>
              </w:tc>
              <w:tc>
                <w:tcPr>
                  <w:tcW w:w="1726" w:type="pct"/>
                  <w:shd w:val="clear" w:color="auto" w:fill="auto"/>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eastAsia"/>
                      <w:color w:val="000000" w:themeColor="text1"/>
                      <w:sz w:val="21"/>
                      <w:u w:val="single"/>
                      <w:lang w:val="en-US" w:eastAsia="zh-CN"/>
                      <w14:textFill>
                        <w14:solidFill>
                          <w14:schemeClr w14:val="tx1"/>
                        </w14:solidFill>
                      </w14:textFill>
                    </w:rPr>
                    <w:t>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038" w:type="pct"/>
                  <w:shd w:val="clear" w:color="auto" w:fill="auto"/>
                  <w:vAlign w:val="center"/>
                </w:tcPr>
                <w:p>
                  <w:pPr>
                    <w:pStyle w:val="47"/>
                    <w:rPr>
                      <w:rFonts w:hint="eastAsia"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lang w:val="en-US" w:eastAsia="zh-CN"/>
                      <w14:textFill>
                        <w14:solidFill>
                          <w14:schemeClr w14:val="tx1"/>
                        </w14:solidFill>
                      </w14:textFill>
                    </w:rPr>
                    <w:t>废塑料膜</w:t>
                  </w:r>
                </w:p>
              </w:tc>
              <w:tc>
                <w:tcPr>
                  <w:tcW w:w="665" w:type="pct"/>
                  <w:shd w:val="clear" w:color="auto" w:fill="auto"/>
                  <w:vAlign w:val="center"/>
                </w:tcPr>
                <w:p>
                  <w:pPr>
                    <w:pStyle w:val="47"/>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一般固废</w:t>
                  </w:r>
                </w:p>
              </w:tc>
              <w:tc>
                <w:tcPr>
                  <w:tcW w:w="717" w:type="pct"/>
                  <w:shd w:val="clear" w:color="auto" w:fill="auto"/>
                  <w:vAlign w:val="center"/>
                </w:tcPr>
                <w:p>
                  <w:pPr>
                    <w:pStyle w:val="47"/>
                    <w:rPr>
                      <w:rFonts w:hint="eastAsia" w:eastAsia="宋体"/>
                      <w:color w:val="000000" w:themeColor="text1"/>
                      <w:u w:val="single"/>
                      <w:lang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1</w:t>
                  </w:r>
                </w:p>
              </w:tc>
              <w:tc>
                <w:tcPr>
                  <w:tcW w:w="852" w:type="pct"/>
                  <w:shd w:val="clear" w:color="auto" w:fill="auto"/>
                  <w:vAlign w:val="center"/>
                </w:tcPr>
                <w:p>
                  <w:pPr>
                    <w:pStyle w:val="47"/>
                    <w:rPr>
                      <w:rFonts w:hint="eastAsia" w:ascii="Times New Roman" w:hAnsi="Times New Roman" w:eastAsia="宋体" w:cs="Times New Roman"/>
                      <w:color w:val="000000" w:themeColor="text1"/>
                      <w:u w:val="single"/>
                      <w:lang w:val="en-US" w:eastAsia="zh-CN"/>
                      <w14:textFill>
                        <w14:solidFill>
                          <w14:schemeClr w14:val="tx1"/>
                        </w14:solidFill>
                      </w14:textFill>
                    </w:rPr>
                  </w:pPr>
                  <w:r>
                    <w:rPr>
                      <w:rFonts w:hint="default" w:ascii="Times New Roman" w:hAnsi="Times New Roman" w:eastAsia="宋体" w:cs="Times New Roman"/>
                      <w:color w:val="000000" w:themeColor="text1"/>
                      <w:u w:val="single"/>
                      <w:lang w:val="en-US" w:eastAsia="zh-CN"/>
                      <w14:textFill>
                        <w14:solidFill>
                          <w14:schemeClr w14:val="tx1"/>
                        </w14:solidFill>
                      </w14:textFill>
                    </w:rPr>
                    <w:t>900-099-S59</w:t>
                  </w:r>
                </w:p>
              </w:tc>
              <w:tc>
                <w:tcPr>
                  <w:tcW w:w="1726" w:type="pct"/>
                  <w:shd w:val="clear" w:color="auto" w:fill="auto"/>
                  <w:vAlign w:val="center"/>
                </w:tcPr>
                <w:p>
                  <w:pPr>
                    <w:spacing w:line="240" w:lineRule="auto"/>
                    <w:ind w:firstLine="0" w:firstLineChars="0"/>
                    <w:jc w:val="center"/>
                    <w:rPr>
                      <w:color w:val="000000" w:themeColor="text1"/>
                      <w:sz w:val="21"/>
                      <w:u w:val="single"/>
                      <w14:textFill>
                        <w14:solidFill>
                          <w14:schemeClr w14:val="tx1"/>
                        </w14:solidFill>
                      </w14:textFill>
                    </w:rPr>
                  </w:pPr>
                  <w:r>
                    <w:rPr>
                      <w:rFonts w:hint="eastAsia"/>
                      <w:color w:val="000000" w:themeColor="text1"/>
                      <w:sz w:val="21"/>
                      <w:u w:val="single"/>
                      <w14:textFill>
                        <w14:solidFill>
                          <w14:schemeClr w14:val="tx1"/>
                        </w14:solidFill>
                      </w14:textFill>
                    </w:rPr>
                    <w:t>统一外售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038" w:type="pct"/>
                  <w:shd w:val="clear" w:color="auto" w:fill="auto"/>
                  <w:vAlign w:val="center"/>
                </w:tcPr>
                <w:p>
                  <w:pPr>
                    <w:pStyle w:val="47"/>
                    <w:rPr>
                      <w:rFonts w:hint="eastAsia"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lang w:val="en-US" w:eastAsia="zh-CN"/>
                      <w14:textFill>
                        <w14:solidFill>
                          <w14:schemeClr w14:val="tx1"/>
                        </w14:solidFill>
                      </w14:textFill>
                    </w:rPr>
                    <w:t>废基料</w:t>
                  </w:r>
                </w:p>
              </w:tc>
              <w:tc>
                <w:tcPr>
                  <w:tcW w:w="665" w:type="pct"/>
                  <w:shd w:val="clear" w:color="auto" w:fill="auto"/>
                  <w:vAlign w:val="center"/>
                </w:tcPr>
                <w:p>
                  <w:pPr>
                    <w:pStyle w:val="47"/>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一般固废</w:t>
                  </w:r>
                </w:p>
              </w:tc>
              <w:tc>
                <w:tcPr>
                  <w:tcW w:w="717" w:type="pct"/>
                  <w:shd w:val="clear" w:color="auto" w:fill="auto"/>
                  <w:vAlign w:val="center"/>
                </w:tcPr>
                <w:p>
                  <w:pPr>
                    <w:pStyle w:val="47"/>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15000</w:t>
                  </w:r>
                </w:p>
              </w:tc>
              <w:tc>
                <w:tcPr>
                  <w:tcW w:w="852" w:type="pct"/>
                  <w:shd w:val="clear" w:color="auto" w:fill="auto"/>
                  <w:vAlign w:val="center"/>
                </w:tcPr>
                <w:p>
                  <w:pPr>
                    <w:pStyle w:val="47"/>
                    <w:rPr>
                      <w:rFonts w:hint="eastAsia" w:ascii="Times New Roman" w:hAnsi="Times New Roman" w:eastAsia="宋体" w:cs="Times New Roman"/>
                      <w:color w:val="000000" w:themeColor="text1"/>
                      <w:u w:val="single"/>
                      <w:lang w:val="en-US" w:eastAsia="zh-CN"/>
                      <w14:textFill>
                        <w14:solidFill>
                          <w14:schemeClr w14:val="tx1"/>
                        </w14:solidFill>
                      </w14:textFill>
                    </w:rPr>
                  </w:pPr>
                  <w:r>
                    <w:rPr>
                      <w:rFonts w:hint="default" w:ascii="Times New Roman" w:hAnsi="Times New Roman" w:eastAsia="宋体" w:cs="Times New Roman"/>
                      <w:color w:val="000000" w:themeColor="text1"/>
                      <w:u w:val="single"/>
                      <w:lang w:val="en-US" w:eastAsia="zh-CN"/>
                      <w14:textFill>
                        <w14:solidFill>
                          <w14:schemeClr w14:val="tx1"/>
                        </w14:solidFill>
                      </w14:textFill>
                    </w:rPr>
                    <w:t>010-099-S80</w:t>
                  </w:r>
                </w:p>
              </w:tc>
              <w:tc>
                <w:tcPr>
                  <w:tcW w:w="1726" w:type="pct"/>
                  <w:shd w:val="clear" w:color="auto" w:fill="auto"/>
                  <w:vAlign w:val="center"/>
                </w:tcPr>
                <w:p>
                  <w:pPr>
                    <w:spacing w:line="240" w:lineRule="auto"/>
                    <w:ind w:firstLine="0" w:firstLineChars="0"/>
                    <w:jc w:val="center"/>
                    <w:rPr>
                      <w:rFonts w:hint="eastAsia"/>
                      <w:color w:val="000000" w:themeColor="text1"/>
                      <w:sz w:val="21"/>
                      <w:u w:val="single"/>
                      <w14:textFill>
                        <w14:solidFill>
                          <w14:schemeClr w14:val="tx1"/>
                        </w14:solidFill>
                      </w14:textFill>
                    </w:rPr>
                  </w:pPr>
                  <w:r>
                    <w:rPr>
                      <w:rFonts w:hint="eastAsia"/>
                      <w:color w:val="000000" w:themeColor="text1"/>
                      <w:sz w:val="21"/>
                      <w:u w:val="single"/>
                      <w14:textFill>
                        <w14:solidFill>
                          <w14:schemeClr w14:val="tx1"/>
                        </w14:solidFill>
                      </w14:textFill>
                    </w:rPr>
                    <w:t>统一外售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038" w:type="pct"/>
                  <w:shd w:val="clear" w:color="auto" w:fill="auto"/>
                  <w:vAlign w:val="center"/>
                </w:tcPr>
                <w:p>
                  <w:pPr>
                    <w:pStyle w:val="47"/>
                    <w:rPr>
                      <w:rFonts w:hint="default" w:ascii="Times New Roman" w:hAnsi="Times New Roman" w:eastAsia="宋体" w:cs="Times New Roman"/>
                      <w:color w:val="000000" w:themeColor="text1"/>
                      <w:u w:val="single"/>
                      <w:lang w:val="en-US" w:eastAsia="zh-CN"/>
                      <w14:textFill>
                        <w14:solidFill>
                          <w14:schemeClr w14:val="tx1"/>
                        </w14:solidFill>
                      </w14:textFill>
                    </w:rPr>
                  </w:pPr>
                  <w:r>
                    <w:rPr>
                      <w:rFonts w:hint="eastAsia" w:cs="Times New Roman"/>
                      <w:color w:val="000000" w:themeColor="text1"/>
                      <w:u w:val="single"/>
                      <w:lang w:val="en-US" w:eastAsia="zh-CN"/>
                      <w14:textFill>
                        <w14:solidFill>
                          <w14:schemeClr w14:val="tx1"/>
                        </w14:solidFill>
                      </w14:textFill>
                    </w:rPr>
                    <w:t>沉淀池污泥</w:t>
                  </w:r>
                </w:p>
              </w:tc>
              <w:tc>
                <w:tcPr>
                  <w:tcW w:w="665" w:type="pct"/>
                  <w:shd w:val="clear" w:color="auto" w:fill="auto"/>
                  <w:vAlign w:val="center"/>
                </w:tcPr>
                <w:p>
                  <w:pPr>
                    <w:pStyle w:val="47"/>
                    <w:ind w:firstLine="0" w:firstLineChars="0"/>
                    <w:rPr>
                      <w:rFonts w:hint="eastAsia" w:ascii="Times New Roman" w:hAnsi="Times New Roman" w:eastAsia="宋体" w:cs="Times New Roman"/>
                      <w:color w:val="000000" w:themeColor="text1"/>
                      <w:kern w:val="2"/>
                      <w:sz w:val="21"/>
                      <w:szCs w:val="28"/>
                      <w:u w:val="single"/>
                      <w:lang w:val="en-US" w:eastAsia="zh-CN" w:bidi="ar-SA"/>
                      <w14:textFill>
                        <w14:solidFill>
                          <w14:schemeClr w14:val="tx1"/>
                        </w14:solidFill>
                      </w14:textFill>
                    </w:rPr>
                  </w:pPr>
                  <w:r>
                    <w:rPr>
                      <w:rFonts w:hint="eastAsia"/>
                      <w:color w:val="000000" w:themeColor="text1"/>
                      <w:u w:val="single"/>
                      <w14:textFill>
                        <w14:solidFill>
                          <w14:schemeClr w14:val="tx1"/>
                        </w14:solidFill>
                      </w14:textFill>
                    </w:rPr>
                    <w:t>一般固废</w:t>
                  </w:r>
                </w:p>
              </w:tc>
              <w:tc>
                <w:tcPr>
                  <w:tcW w:w="717" w:type="pct"/>
                  <w:shd w:val="clear" w:color="auto" w:fill="auto"/>
                  <w:vAlign w:val="center"/>
                </w:tcPr>
                <w:p>
                  <w:pPr>
                    <w:pStyle w:val="47"/>
                    <w:rPr>
                      <w:rFonts w:hint="default" w:ascii="Times New Roman" w:hAnsi="Times New Roman" w:eastAsia="宋体" w:cs="Times New Roman"/>
                      <w:color w:val="000000" w:themeColor="text1"/>
                      <w:u w:val="single"/>
                      <w:lang w:val="en-US" w:eastAsia="zh-CN"/>
                      <w14:textFill>
                        <w14:solidFill>
                          <w14:schemeClr w14:val="tx1"/>
                        </w14:solidFill>
                      </w14:textFill>
                    </w:rPr>
                  </w:pPr>
                  <w:r>
                    <w:rPr>
                      <w:rFonts w:hint="eastAsia" w:cs="Times New Roman"/>
                      <w:color w:val="000000" w:themeColor="text1"/>
                      <w:u w:val="single"/>
                      <w:lang w:val="en-US" w:eastAsia="zh-CN"/>
                      <w14:textFill>
                        <w14:solidFill>
                          <w14:schemeClr w14:val="tx1"/>
                        </w14:solidFill>
                      </w14:textFill>
                    </w:rPr>
                    <w:t>2.64</w:t>
                  </w:r>
                </w:p>
              </w:tc>
              <w:tc>
                <w:tcPr>
                  <w:tcW w:w="852" w:type="pct"/>
                  <w:shd w:val="clear" w:color="auto" w:fill="auto"/>
                  <w:vAlign w:val="center"/>
                </w:tcPr>
                <w:p>
                  <w:pPr>
                    <w:pStyle w:val="47"/>
                    <w:rPr>
                      <w:rFonts w:hint="default" w:ascii="Times New Roman" w:hAnsi="Times New Roman" w:eastAsia="宋体" w:cs="Times New Roman"/>
                      <w:color w:val="000000" w:themeColor="text1"/>
                      <w:u w:val="single"/>
                      <w:lang w:val="en-US" w:eastAsia="zh-CN"/>
                      <w14:textFill>
                        <w14:solidFill>
                          <w14:schemeClr w14:val="tx1"/>
                        </w14:solidFill>
                      </w14:textFill>
                    </w:rPr>
                  </w:pPr>
                  <w:r>
                    <w:rPr>
                      <w:rFonts w:hint="default" w:ascii="Times New Roman" w:hAnsi="Times New Roman" w:eastAsia="宋体" w:cs="Times New Roman"/>
                      <w:color w:val="000000" w:themeColor="text1"/>
                      <w:u w:val="single"/>
                      <w:lang w:val="en-US" w:eastAsia="zh-CN"/>
                      <w14:textFill>
                        <w14:solidFill>
                          <w14:schemeClr w14:val="tx1"/>
                        </w14:solidFill>
                      </w14:textFill>
                    </w:rPr>
                    <w:t>900-099-S59</w:t>
                  </w:r>
                </w:p>
              </w:tc>
              <w:tc>
                <w:tcPr>
                  <w:tcW w:w="1726" w:type="pct"/>
                  <w:shd w:val="clear" w:color="auto" w:fill="auto"/>
                  <w:vAlign w:val="center"/>
                </w:tcPr>
                <w:p>
                  <w:pPr>
                    <w:spacing w:line="240" w:lineRule="auto"/>
                    <w:ind w:firstLine="0" w:firstLineChars="0"/>
                    <w:jc w:val="center"/>
                    <w:rPr>
                      <w:rFonts w:hint="default" w:eastAsia="宋体"/>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val="0"/>
                      <w:color w:val="auto"/>
                      <w:sz w:val="21"/>
                      <w:szCs w:val="21"/>
                      <w:highlight w:val="none"/>
                      <w:u w:val="single"/>
                      <w:lang w:val="en-US" w:eastAsia="zh-CN"/>
                    </w:rPr>
                    <w:t>交由具有相应处理能力或经营范围的单位利用或处置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038" w:type="pct"/>
                  <w:shd w:val="clear" w:color="auto" w:fill="auto"/>
                  <w:vAlign w:val="center"/>
                </w:tcPr>
                <w:p>
                  <w:pPr>
                    <w:pStyle w:val="47"/>
                    <w:rPr>
                      <w:rFonts w:hint="eastAsia" w:ascii="Times New Roman" w:hAnsi="Times New Roman" w:eastAsia="宋体" w:cs="Times New Roman"/>
                      <w:color w:val="000000" w:themeColor="text1"/>
                      <w:u w:val="single"/>
                      <w:lang w:val="en-US" w:eastAsia="zh-CN"/>
                      <w14:textFill>
                        <w14:solidFill>
                          <w14:schemeClr w14:val="tx1"/>
                        </w14:solidFill>
                      </w14:textFill>
                    </w:rPr>
                  </w:pPr>
                  <w:r>
                    <w:rPr>
                      <w:rFonts w:hint="default" w:ascii="Times New Roman" w:hAnsi="Times New Roman" w:eastAsia="宋体" w:cs="Times New Roman"/>
                      <w:color w:val="000000" w:themeColor="text1"/>
                      <w:u w:val="single"/>
                      <w:lang w:val="en-US" w:eastAsia="zh-CN"/>
                      <w14:textFill>
                        <w14:solidFill>
                          <w14:schemeClr w14:val="tx1"/>
                        </w14:solidFill>
                      </w14:textFill>
                    </w:rPr>
                    <w:t>废机油及含油废物</w:t>
                  </w:r>
                </w:p>
              </w:tc>
              <w:tc>
                <w:tcPr>
                  <w:tcW w:w="665" w:type="pct"/>
                  <w:shd w:val="clear" w:color="auto" w:fill="auto"/>
                  <w:vAlign w:val="center"/>
                </w:tcPr>
                <w:p>
                  <w:pPr>
                    <w:pStyle w:val="47"/>
                    <w:rPr>
                      <w:rFonts w:hint="eastAsia" w:ascii="Times New Roman" w:hAnsi="Times New Roman" w:eastAsia="宋体" w:cs="Times New Roman"/>
                      <w:color w:val="000000" w:themeColor="text1"/>
                      <w:u w:val="single"/>
                      <w:lang w:val="en-US" w:eastAsia="zh-CN"/>
                      <w14:textFill>
                        <w14:solidFill>
                          <w14:schemeClr w14:val="tx1"/>
                        </w14:solidFill>
                      </w14:textFill>
                    </w:rPr>
                  </w:pPr>
                  <w:r>
                    <w:rPr>
                      <w:rFonts w:hint="default" w:ascii="Times New Roman" w:hAnsi="Times New Roman" w:eastAsia="宋体" w:cs="Times New Roman"/>
                      <w:color w:val="000000" w:themeColor="text1"/>
                      <w:u w:val="single"/>
                      <w:lang w:val="en-US" w:eastAsia="zh-CN"/>
                      <w14:textFill>
                        <w14:solidFill>
                          <w14:schemeClr w14:val="tx1"/>
                        </w14:solidFill>
                      </w14:textFill>
                    </w:rPr>
                    <w:t>HW08类危险废物</w:t>
                  </w:r>
                </w:p>
              </w:tc>
              <w:tc>
                <w:tcPr>
                  <w:tcW w:w="717" w:type="pct"/>
                  <w:shd w:val="clear" w:color="auto" w:fill="auto"/>
                  <w:vAlign w:val="center"/>
                </w:tcPr>
                <w:p>
                  <w:pPr>
                    <w:pStyle w:val="47"/>
                    <w:rPr>
                      <w:rFonts w:hint="eastAsia" w:ascii="Times New Roman" w:hAnsi="Times New Roman" w:eastAsia="宋体" w:cs="Times New Roman"/>
                      <w:color w:val="000000" w:themeColor="text1"/>
                      <w:u w:val="single"/>
                      <w:lang w:val="en-US" w:eastAsia="zh-CN"/>
                      <w14:textFill>
                        <w14:solidFill>
                          <w14:schemeClr w14:val="tx1"/>
                        </w14:solidFill>
                      </w14:textFill>
                    </w:rPr>
                  </w:pPr>
                  <w:r>
                    <w:rPr>
                      <w:rFonts w:hint="eastAsia" w:ascii="Times New Roman" w:hAnsi="Times New Roman" w:eastAsia="宋体" w:cs="Times New Roman"/>
                      <w:color w:val="000000" w:themeColor="text1"/>
                      <w:u w:val="single"/>
                      <w:lang w:val="en-US" w:eastAsia="zh-CN"/>
                      <w14:textFill>
                        <w14:solidFill>
                          <w14:schemeClr w14:val="tx1"/>
                        </w14:solidFill>
                      </w14:textFill>
                    </w:rPr>
                    <w:t>0.01</w:t>
                  </w:r>
                </w:p>
              </w:tc>
              <w:tc>
                <w:tcPr>
                  <w:tcW w:w="852" w:type="pct"/>
                  <w:shd w:val="clear" w:color="auto" w:fill="auto"/>
                  <w:vAlign w:val="center"/>
                </w:tcPr>
                <w:p>
                  <w:pPr>
                    <w:pStyle w:val="47"/>
                    <w:rPr>
                      <w:rFonts w:hint="default" w:ascii="Times New Roman" w:hAnsi="Times New Roman" w:eastAsia="宋体" w:cs="Times New Roman"/>
                      <w:color w:val="000000" w:themeColor="text1"/>
                      <w:u w:val="single"/>
                      <w:lang w:val="en-US" w:eastAsia="zh-CN"/>
                      <w14:textFill>
                        <w14:solidFill>
                          <w14:schemeClr w14:val="tx1"/>
                        </w14:solidFill>
                      </w14:textFill>
                    </w:rPr>
                  </w:pPr>
                  <w:r>
                    <w:rPr>
                      <w:rFonts w:hint="default" w:ascii="Times New Roman" w:hAnsi="Times New Roman" w:eastAsia="宋体" w:cs="Times New Roman"/>
                      <w:color w:val="000000" w:themeColor="text1"/>
                      <w:u w:val="single"/>
                      <w:lang w:val="en-US" w:eastAsia="zh-CN"/>
                      <w14:textFill>
                        <w14:solidFill>
                          <w14:schemeClr w14:val="tx1"/>
                        </w14:solidFill>
                      </w14:textFill>
                    </w:rPr>
                    <w:t>900-249-08</w:t>
                  </w:r>
                </w:p>
              </w:tc>
              <w:tc>
                <w:tcPr>
                  <w:tcW w:w="1726" w:type="pct"/>
                  <w:vMerge w:val="restart"/>
                  <w:shd w:val="clear" w:color="auto" w:fill="auto"/>
                  <w:vAlign w:val="center"/>
                </w:tcPr>
                <w:p>
                  <w:pPr>
                    <w:spacing w:line="240" w:lineRule="auto"/>
                    <w:ind w:firstLine="0" w:firstLineChars="0"/>
                    <w:jc w:val="center"/>
                    <w:rPr>
                      <w:rFonts w:hint="eastAsia"/>
                      <w:color w:val="000000" w:themeColor="text1"/>
                      <w:sz w:val="21"/>
                      <w:u w:val="single"/>
                      <w14:textFill>
                        <w14:solidFill>
                          <w14:schemeClr w14:val="tx1"/>
                        </w14:solidFill>
                      </w14:textFill>
                    </w:rPr>
                  </w:pPr>
                  <w:r>
                    <w:rPr>
                      <w:rFonts w:hint="default" w:ascii="Times New Roman" w:hAnsi="Times New Roman" w:cs="Times New Roman"/>
                      <w:b w:val="0"/>
                      <w:bCs w:val="0"/>
                      <w:color w:val="auto"/>
                      <w:sz w:val="21"/>
                      <w:szCs w:val="21"/>
                      <w:u w:val="single"/>
                      <w:lang w:val="en-US" w:eastAsia="zh-CN"/>
                    </w:rPr>
                    <w:t>暂存在危险废物暂存间，定期交于有相关危险废物处理资质单位处置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038" w:type="pct"/>
                  <w:shd w:val="clear" w:color="auto" w:fill="auto"/>
                  <w:vAlign w:val="center"/>
                </w:tcPr>
                <w:p>
                  <w:pPr>
                    <w:pStyle w:val="47"/>
                    <w:rPr>
                      <w:rFonts w:hint="eastAsia" w:ascii="Times New Roman" w:hAnsi="Times New Roman" w:eastAsia="宋体" w:cs="Times New Roman"/>
                      <w:color w:val="000000" w:themeColor="text1"/>
                      <w:u w:val="single"/>
                      <w:lang w:val="en-US" w:eastAsia="zh-CN"/>
                      <w14:textFill>
                        <w14:solidFill>
                          <w14:schemeClr w14:val="tx1"/>
                        </w14:solidFill>
                      </w14:textFill>
                    </w:rPr>
                  </w:pPr>
                  <w:r>
                    <w:rPr>
                      <w:rFonts w:hint="default" w:ascii="Times New Roman" w:hAnsi="Times New Roman" w:eastAsia="宋体" w:cs="Times New Roman"/>
                      <w:color w:val="000000" w:themeColor="text1"/>
                      <w:u w:val="single"/>
                      <w:lang w:val="en-US" w:eastAsia="zh-CN"/>
                      <w14:textFill>
                        <w14:solidFill>
                          <w14:schemeClr w14:val="tx1"/>
                        </w14:solidFill>
                      </w14:textFill>
                    </w:rPr>
                    <w:t>含油抹布和手套</w:t>
                  </w:r>
                </w:p>
              </w:tc>
              <w:tc>
                <w:tcPr>
                  <w:tcW w:w="665" w:type="pct"/>
                  <w:shd w:val="clear" w:color="auto" w:fill="auto"/>
                  <w:vAlign w:val="center"/>
                </w:tcPr>
                <w:p>
                  <w:pPr>
                    <w:pStyle w:val="47"/>
                    <w:rPr>
                      <w:rFonts w:hint="eastAsia" w:ascii="Times New Roman" w:hAnsi="Times New Roman" w:eastAsia="宋体" w:cs="Times New Roman"/>
                      <w:color w:val="000000" w:themeColor="text1"/>
                      <w:u w:val="single"/>
                      <w:lang w:val="en-US" w:eastAsia="zh-CN"/>
                      <w14:textFill>
                        <w14:solidFill>
                          <w14:schemeClr w14:val="tx1"/>
                        </w14:solidFill>
                      </w14:textFill>
                    </w:rPr>
                  </w:pPr>
                  <w:r>
                    <w:rPr>
                      <w:rFonts w:hint="default" w:ascii="Times New Roman" w:hAnsi="Times New Roman" w:eastAsia="宋体" w:cs="Times New Roman"/>
                      <w:color w:val="000000" w:themeColor="text1"/>
                      <w:u w:val="single"/>
                      <w:lang w:val="en-US" w:eastAsia="zh-CN"/>
                      <w14:textFill>
                        <w14:solidFill>
                          <w14:schemeClr w14:val="tx1"/>
                        </w14:solidFill>
                      </w14:textFill>
                    </w:rPr>
                    <w:t>HW49其他废物</w:t>
                  </w:r>
                </w:p>
              </w:tc>
              <w:tc>
                <w:tcPr>
                  <w:tcW w:w="717" w:type="pct"/>
                  <w:shd w:val="clear" w:color="auto" w:fill="auto"/>
                  <w:vAlign w:val="center"/>
                </w:tcPr>
                <w:p>
                  <w:pPr>
                    <w:pStyle w:val="47"/>
                    <w:rPr>
                      <w:rFonts w:hint="eastAsia" w:ascii="Times New Roman" w:hAnsi="Times New Roman" w:eastAsia="宋体" w:cs="Times New Roman"/>
                      <w:color w:val="000000" w:themeColor="text1"/>
                      <w:u w:val="single"/>
                      <w:lang w:val="en-US" w:eastAsia="zh-CN"/>
                      <w14:textFill>
                        <w14:solidFill>
                          <w14:schemeClr w14:val="tx1"/>
                        </w14:solidFill>
                      </w14:textFill>
                    </w:rPr>
                  </w:pPr>
                  <w:r>
                    <w:rPr>
                      <w:rFonts w:hint="default" w:ascii="Times New Roman" w:hAnsi="Times New Roman" w:eastAsia="宋体" w:cs="Times New Roman"/>
                      <w:color w:val="000000" w:themeColor="text1"/>
                      <w:u w:val="single"/>
                      <w:lang w:val="en-US" w:eastAsia="zh-CN"/>
                      <w14:textFill>
                        <w14:solidFill>
                          <w14:schemeClr w14:val="tx1"/>
                        </w14:solidFill>
                      </w14:textFill>
                    </w:rPr>
                    <w:t>0.00</w:t>
                  </w:r>
                  <w:r>
                    <w:rPr>
                      <w:rFonts w:hint="eastAsia" w:ascii="Times New Roman" w:hAnsi="Times New Roman" w:eastAsia="宋体" w:cs="Times New Roman"/>
                      <w:color w:val="000000" w:themeColor="text1"/>
                      <w:u w:val="single"/>
                      <w:lang w:val="en-US" w:eastAsia="zh-CN"/>
                      <w14:textFill>
                        <w14:solidFill>
                          <w14:schemeClr w14:val="tx1"/>
                        </w14:solidFill>
                      </w14:textFill>
                    </w:rPr>
                    <w:t>1</w:t>
                  </w:r>
                </w:p>
              </w:tc>
              <w:tc>
                <w:tcPr>
                  <w:tcW w:w="852" w:type="pct"/>
                  <w:shd w:val="clear" w:color="auto" w:fill="auto"/>
                  <w:vAlign w:val="center"/>
                </w:tcPr>
                <w:p>
                  <w:pPr>
                    <w:pStyle w:val="47"/>
                    <w:rPr>
                      <w:rFonts w:hint="default" w:ascii="Times New Roman" w:hAnsi="Times New Roman" w:eastAsia="宋体" w:cs="Times New Roman"/>
                      <w:color w:val="000000" w:themeColor="text1"/>
                      <w:u w:val="single"/>
                      <w:lang w:val="en-US" w:eastAsia="zh-CN"/>
                      <w14:textFill>
                        <w14:solidFill>
                          <w14:schemeClr w14:val="tx1"/>
                        </w14:solidFill>
                      </w14:textFill>
                    </w:rPr>
                  </w:pPr>
                  <w:r>
                    <w:rPr>
                      <w:rFonts w:hint="eastAsia" w:ascii="Times New Roman" w:hAnsi="Times New Roman" w:eastAsia="宋体" w:cs="Times New Roman"/>
                      <w:color w:val="000000" w:themeColor="text1"/>
                      <w:u w:val="single"/>
                      <w:lang w:val="en-US" w:eastAsia="zh-CN"/>
                      <w14:textFill>
                        <w14:solidFill>
                          <w14:schemeClr w14:val="tx1"/>
                        </w14:solidFill>
                      </w14:textFill>
                    </w:rPr>
                    <w:t>900-041-49</w:t>
                  </w:r>
                </w:p>
              </w:tc>
              <w:tc>
                <w:tcPr>
                  <w:tcW w:w="1726" w:type="pct"/>
                  <w:vMerge w:val="continue"/>
                  <w:shd w:val="clear" w:color="auto" w:fill="auto"/>
                  <w:vAlign w:val="center"/>
                </w:tcPr>
                <w:p>
                  <w:pPr>
                    <w:spacing w:line="240" w:lineRule="auto"/>
                    <w:ind w:firstLine="0" w:firstLineChars="0"/>
                    <w:jc w:val="center"/>
                    <w:rPr>
                      <w:rFonts w:hint="eastAsia"/>
                      <w:color w:val="000000" w:themeColor="text1"/>
                      <w:sz w:val="21"/>
                      <w:u w:val="single"/>
                      <w14:textFill>
                        <w14:solidFill>
                          <w14:schemeClr w14:val="tx1"/>
                        </w14:solidFill>
                      </w14:textFill>
                    </w:rPr>
                  </w:pPr>
                </w:p>
              </w:tc>
            </w:tr>
          </w:tbl>
          <w:p>
            <w:pPr>
              <w:keepNext w:val="0"/>
              <w:keepLines w:val="0"/>
              <w:widowControl/>
              <w:suppressLineNumbers w:val="0"/>
              <w:jc w:val="left"/>
              <w:rPr>
                <w:u w:val="single"/>
              </w:rPr>
            </w:pPr>
            <w:r>
              <w:rPr>
                <w:rFonts w:hint="default" w:ascii="Times New Roman" w:hAnsi="Times New Roman" w:eastAsia="宋体" w:cs="Times New Roman"/>
                <w:b/>
                <w:bCs/>
                <w:color w:val="000000"/>
                <w:kern w:val="0"/>
                <w:sz w:val="24"/>
                <w:szCs w:val="24"/>
                <w:u w:val="single"/>
                <w:lang w:val="en-US" w:eastAsia="zh-CN" w:bidi="ar"/>
              </w:rPr>
              <w:t xml:space="preserve">4.1 </w:t>
            </w:r>
            <w:r>
              <w:rPr>
                <w:rFonts w:hint="eastAsia" w:ascii="宋体" w:hAnsi="宋体" w:eastAsia="宋体" w:cs="宋体"/>
                <w:b/>
                <w:bCs/>
                <w:color w:val="000000"/>
                <w:kern w:val="0"/>
                <w:sz w:val="24"/>
                <w:szCs w:val="24"/>
                <w:u w:val="single"/>
                <w:lang w:val="en-US" w:eastAsia="zh-CN" w:bidi="ar"/>
              </w:rPr>
              <w:t xml:space="preserve">固废暂存场所建设要求 </w:t>
            </w:r>
          </w:p>
          <w:p>
            <w:pPr>
              <w:keepNext w:val="0"/>
              <w:keepLines w:val="0"/>
              <w:widowControl/>
              <w:suppressLineNumbers w:val="0"/>
              <w:jc w:val="left"/>
              <w:rPr>
                <w:u w:val="single"/>
              </w:rPr>
            </w:pPr>
            <w:r>
              <w:rPr>
                <w:rFonts w:hint="eastAsia" w:ascii="宋体" w:hAnsi="宋体" w:eastAsia="宋体" w:cs="宋体"/>
                <w:b/>
                <w:bCs/>
                <w:color w:val="000000"/>
                <w:kern w:val="0"/>
                <w:sz w:val="24"/>
                <w:szCs w:val="24"/>
                <w:u w:val="single"/>
                <w:lang w:val="en-US" w:eastAsia="zh-CN" w:bidi="ar"/>
              </w:rPr>
              <w:t>环评要求企业按如下要求进一步规范建设一般工业固体废物暂存间：</w:t>
            </w:r>
          </w:p>
          <w:p>
            <w:pPr>
              <w:ind w:firstLine="480"/>
              <w:rPr>
                <w:rFonts w:hint="eastAsia" w:ascii="Times New Roman" w:hAnsi="Times New Roman" w:eastAsia="宋体" w:cs="Times New Roman"/>
                <w:u w:val="single"/>
              </w:rPr>
            </w:pPr>
            <w:r>
              <w:rPr>
                <w:rFonts w:hint="eastAsia" w:ascii="Times New Roman" w:hAnsi="Times New Roman" w:eastAsia="宋体" w:cs="Times New Roman"/>
                <w:u w:val="single"/>
                <w:lang w:val="en-US" w:eastAsia="zh-CN"/>
              </w:rPr>
              <w:t>（</w:t>
            </w:r>
            <w:r>
              <w:rPr>
                <w:rFonts w:hint="default" w:ascii="Times New Roman" w:hAnsi="Times New Roman" w:eastAsia="宋体" w:cs="Times New Roman"/>
                <w:u w:val="single"/>
                <w:lang w:val="en-US" w:eastAsia="zh-CN"/>
              </w:rPr>
              <w:t>1</w:t>
            </w:r>
            <w:r>
              <w:rPr>
                <w:rFonts w:hint="eastAsia" w:ascii="Times New Roman" w:hAnsi="Times New Roman" w:eastAsia="宋体" w:cs="Times New Roman"/>
                <w:u w:val="single"/>
                <w:lang w:val="en-US" w:eastAsia="zh-CN"/>
              </w:rPr>
              <w:t>）一般工业固体废物暂存间的设置要求：</w:t>
            </w:r>
          </w:p>
          <w:p>
            <w:pPr>
              <w:ind w:firstLine="480"/>
              <w:rPr>
                <w:rFonts w:hint="eastAsia" w:ascii="Times New Roman" w:hAnsi="Times New Roman" w:eastAsia="宋体" w:cs="Times New Roman"/>
                <w:u w:val="single"/>
              </w:rPr>
            </w:pPr>
            <w:r>
              <w:rPr>
                <w:rFonts w:hint="eastAsia" w:ascii="Times New Roman" w:hAnsi="Times New Roman" w:eastAsia="宋体" w:cs="Times New Roman"/>
                <w:u w:val="single"/>
                <w:lang w:val="en-US" w:eastAsia="zh-CN"/>
              </w:rPr>
              <w:t>本项目一般工业固体废物暂存间拟建于种植设备堆放场地，面积约</w:t>
            </w:r>
            <w:r>
              <w:rPr>
                <w:rFonts w:hint="default" w:ascii="Times New Roman" w:hAnsi="Times New Roman" w:eastAsia="宋体" w:cs="Times New Roman"/>
                <w:u w:val="single"/>
                <w:lang w:val="en-US" w:eastAsia="zh-CN"/>
              </w:rPr>
              <w:t>10m</w:t>
            </w:r>
            <w:r>
              <w:rPr>
                <w:rFonts w:hint="default" w:ascii="Times New Roman" w:hAnsi="Times New Roman" w:eastAsia="宋体" w:cs="Times New Roman"/>
                <w:u w:val="single"/>
                <w:vertAlign w:val="superscript"/>
                <w:lang w:val="en-US" w:eastAsia="zh-CN"/>
              </w:rPr>
              <w:t>2</w:t>
            </w:r>
            <w:r>
              <w:rPr>
                <w:rFonts w:hint="eastAsia" w:ascii="Times New Roman" w:hAnsi="Times New Roman" w:eastAsia="宋体" w:cs="Times New Roman"/>
                <w:u w:val="single"/>
                <w:lang w:val="en-US" w:eastAsia="zh-CN"/>
              </w:rPr>
              <w:t>。</w:t>
            </w:r>
          </w:p>
          <w:p>
            <w:pPr>
              <w:ind w:firstLine="480"/>
              <w:rPr>
                <w:rFonts w:hint="eastAsia" w:ascii="Times New Roman" w:hAnsi="Times New Roman" w:eastAsia="宋体" w:cs="Times New Roman"/>
                <w:u w:val="single"/>
              </w:rPr>
            </w:pPr>
            <w:r>
              <w:rPr>
                <w:rFonts w:hint="default" w:ascii="Times New Roman" w:hAnsi="Times New Roman" w:eastAsia="宋体" w:cs="Times New Roman"/>
                <w:u w:val="single"/>
                <w:lang w:val="en-US" w:eastAsia="zh-CN"/>
              </w:rPr>
              <w:t>a</w:t>
            </w:r>
            <w:r>
              <w:rPr>
                <w:rFonts w:hint="eastAsia" w:ascii="Times New Roman" w:hAnsi="Times New Roman" w:eastAsia="宋体" w:cs="Times New Roman"/>
                <w:u w:val="single"/>
                <w:lang w:val="en-US" w:eastAsia="zh-CN"/>
              </w:rPr>
              <w:t>、设分区暂存，确保各类一般固废得到合理处置；</w:t>
            </w:r>
          </w:p>
          <w:p>
            <w:pPr>
              <w:ind w:firstLine="480"/>
              <w:rPr>
                <w:rFonts w:hint="eastAsia" w:ascii="Times New Roman" w:hAnsi="Times New Roman" w:eastAsia="宋体" w:cs="Times New Roman"/>
                <w:u w:val="single"/>
              </w:rPr>
            </w:pPr>
            <w:r>
              <w:rPr>
                <w:rFonts w:hint="default" w:ascii="Times New Roman" w:hAnsi="Times New Roman" w:eastAsia="宋体" w:cs="Times New Roman"/>
                <w:u w:val="single"/>
                <w:lang w:val="en-US" w:eastAsia="zh-CN"/>
              </w:rPr>
              <w:t>b</w:t>
            </w:r>
            <w:r>
              <w:rPr>
                <w:rFonts w:hint="eastAsia" w:ascii="Times New Roman" w:hAnsi="Times New Roman" w:eastAsia="宋体" w:cs="Times New Roman"/>
                <w:u w:val="single"/>
                <w:lang w:val="en-US" w:eastAsia="zh-CN"/>
              </w:rPr>
              <w:t>、防扬散、防流失、防渗漏，分区暂存各固废；</w:t>
            </w:r>
          </w:p>
          <w:p>
            <w:pPr>
              <w:ind w:firstLine="480"/>
              <w:rPr>
                <w:rFonts w:hint="eastAsia" w:ascii="Times New Roman" w:hAnsi="Times New Roman" w:eastAsia="宋体" w:cs="Times New Roman"/>
                <w:u w:val="single"/>
              </w:rPr>
            </w:pPr>
            <w:r>
              <w:rPr>
                <w:rFonts w:hint="default" w:ascii="Times New Roman" w:hAnsi="Times New Roman" w:eastAsia="宋体" w:cs="Times New Roman"/>
                <w:u w:val="single"/>
                <w:lang w:val="en-US" w:eastAsia="zh-CN"/>
              </w:rPr>
              <w:t>c</w:t>
            </w:r>
            <w:r>
              <w:rPr>
                <w:rFonts w:hint="eastAsia" w:ascii="Times New Roman" w:hAnsi="Times New Roman" w:eastAsia="宋体" w:cs="Times New Roman"/>
                <w:u w:val="single"/>
                <w:lang w:val="en-US" w:eastAsia="zh-CN"/>
              </w:rPr>
              <w:t>、一般固废在运输过程中要防止散落地面，以免产生二次污染；</w:t>
            </w:r>
          </w:p>
          <w:p>
            <w:pPr>
              <w:ind w:firstLine="480"/>
              <w:rPr>
                <w:rFonts w:hint="eastAsia" w:ascii="Times New Roman" w:hAnsi="Times New Roman" w:eastAsia="宋体" w:cs="Times New Roman"/>
                <w:u w:val="single"/>
              </w:rPr>
            </w:pPr>
            <w:r>
              <w:rPr>
                <w:rFonts w:hint="default" w:ascii="Times New Roman" w:hAnsi="Times New Roman" w:eastAsia="宋体" w:cs="Times New Roman"/>
                <w:u w:val="single"/>
                <w:lang w:val="en-US" w:eastAsia="zh-CN"/>
              </w:rPr>
              <w:t>d</w:t>
            </w:r>
            <w:r>
              <w:rPr>
                <w:rFonts w:hint="eastAsia" w:ascii="Times New Roman" w:hAnsi="Times New Roman" w:eastAsia="宋体" w:cs="Times New Roman"/>
                <w:u w:val="single"/>
                <w:lang w:val="en-US" w:eastAsia="zh-CN"/>
              </w:rPr>
              <w:t>、一般固废均按其资源化、无害化的方式进行处置；</w:t>
            </w:r>
          </w:p>
          <w:p>
            <w:pPr>
              <w:ind w:firstLine="480"/>
              <w:rPr>
                <w:rFonts w:hint="eastAsia" w:ascii="Times New Roman" w:hAnsi="Times New Roman" w:eastAsia="宋体" w:cs="Times New Roman"/>
                <w:u w:val="single"/>
              </w:rPr>
            </w:pPr>
            <w:r>
              <w:rPr>
                <w:rFonts w:hint="default" w:ascii="Times New Roman" w:hAnsi="Times New Roman" w:eastAsia="宋体" w:cs="Times New Roman"/>
                <w:u w:val="single"/>
                <w:lang w:val="en-US" w:eastAsia="zh-CN"/>
              </w:rPr>
              <w:t>e</w:t>
            </w:r>
            <w:r>
              <w:rPr>
                <w:rFonts w:hint="eastAsia" w:ascii="Times New Roman" w:hAnsi="Times New Roman" w:eastAsia="宋体" w:cs="Times New Roman"/>
                <w:u w:val="single"/>
                <w:lang w:val="en-US" w:eastAsia="zh-CN"/>
              </w:rPr>
              <w:t>、场所地面与裙角要用</w:t>
            </w:r>
            <w:r>
              <w:rPr>
                <w:rFonts w:hint="eastAsia" w:cs="Times New Roman"/>
                <w:u w:val="single"/>
                <w:lang w:val="en-US" w:eastAsia="zh-CN"/>
              </w:rPr>
              <w:t>坚固</w:t>
            </w:r>
            <w:r>
              <w:rPr>
                <w:rFonts w:hint="eastAsia" w:ascii="Times New Roman" w:hAnsi="Times New Roman" w:eastAsia="宋体" w:cs="Times New Roman"/>
                <w:u w:val="single"/>
                <w:lang w:val="en-US" w:eastAsia="zh-CN"/>
              </w:rPr>
              <w:t>、防渗的建筑材料建造，基础必须防渗，应设计建造径流疏导系统，保证能防止暴雨不会流到临时堆放的场所；</w:t>
            </w:r>
          </w:p>
          <w:p>
            <w:pPr>
              <w:ind w:firstLine="480"/>
              <w:rPr>
                <w:rFonts w:hint="eastAsia"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f</w:t>
            </w:r>
            <w:r>
              <w:rPr>
                <w:rFonts w:hint="eastAsia" w:ascii="Times New Roman" w:hAnsi="Times New Roman" w:eastAsia="宋体" w:cs="Times New Roman"/>
                <w:u w:val="single"/>
                <w:lang w:val="en-US" w:eastAsia="zh-CN"/>
              </w:rPr>
              <w:t>、“防风、防雨、防晒”，外围设置围堰，并做好密闭处理，禁止危险废物及生活</w:t>
            </w:r>
            <w:r>
              <w:rPr>
                <w:rFonts w:hint="eastAsia" w:cs="Times New Roman"/>
                <w:u w:val="single"/>
                <w:lang w:val="en-US" w:eastAsia="zh-CN"/>
              </w:rPr>
              <w:t>垃圾</w:t>
            </w:r>
            <w:r>
              <w:rPr>
                <w:rFonts w:hint="eastAsia" w:ascii="Times New Roman" w:hAnsi="Times New Roman" w:eastAsia="宋体" w:cs="Times New Roman"/>
                <w:u w:val="single"/>
                <w:lang w:val="en-US" w:eastAsia="zh-CN"/>
              </w:rPr>
              <w:t>混入。</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Times New Roman" w:hAnsi="Times New Roman" w:eastAsia="宋体" w:cs="Times New Roman"/>
                <w:u w:val="single"/>
                <w:lang w:val="en-US" w:eastAsia="zh-CN"/>
              </w:rPr>
              <w:t>g、</w:t>
            </w:r>
            <w:r>
              <w:rPr>
                <w:rFonts w:hint="eastAsia" w:ascii="宋体" w:hAnsi="宋体" w:eastAsia="宋体" w:cs="宋体"/>
                <w:color w:val="000000"/>
                <w:kern w:val="0"/>
                <w:sz w:val="24"/>
                <w:szCs w:val="24"/>
                <w:u w:val="single"/>
                <w:lang w:val="en-US" w:eastAsia="zh-CN" w:bidi="ar"/>
              </w:rPr>
              <w:t>企业应根据《一般工业固体废物管理台账制定指南</w:t>
            </w:r>
            <w:r>
              <w:rPr>
                <w:rFonts w:hint="default" w:ascii="Times New Roman" w:hAnsi="Times New Roman" w:eastAsia="宋体" w:cs="Times New Roman"/>
                <w:color w:val="000000"/>
                <w:kern w:val="0"/>
                <w:sz w:val="24"/>
                <w:szCs w:val="24"/>
                <w:u w:val="single"/>
                <w:lang w:val="en-US" w:eastAsia="zh-CN" w:bidi="ar"/>
              </w:rPr>
              <w:t>(</w:t>
            </w:r>
            <w:r>
              <w:rPr>
                <w:rFonts w:hint="eastAsia" w:ascii="宋体" w:hAnsi="宋体" w:eastAsia="宋体" w:cs="宋体"/>
                <w:color w:val="000000"/>
                <w:kern w:val="0"/>
                <w:sz w:val="24"/>
                <w:szCs w:val="24"/>
                <w:u w:val="single"/>
                <w:lang w:val="en-US" w:eastAsia="zh-CN" w:bidi="ar"/>
              </w:rPr>
              <w:t>试行</w:t>
            </w:r>
            <w:r>
              <w:rPr>
                <w:rFonts w:hint="default" w:ascii="Times New Roman" w:hAnsi="Times New Roman" w:eastAsia="宋体" w:cs="Times New Roman"/>
                <w:color w:val="000000"/>
                <w:kern w:val="0"/>
                <w:sz w:val="24"/>
                <w:szCs w:val="24"/>
                <w:u w:val="single"/>
                <w:lang w:val="en-US" w:eastAsia="zh-CN" w:bidi="ar"/>
              </w:rPr>
              <w:t>)</w:t>
            </w:r>
            <w:r>
              <w:rPr>
                <w:rFonts w:hint="eastAsia" w:ascii="宋体" w:hAnsi="宋体" w:eastAsia="宋体" w:cs="宋体"/>
                <w:color w:val="000000"/>
                <w:kern w:val="0"/>
                <w:sz w:val="24"/>
                <w:szCs w:val="24"/>
                <w:u w:val="single"/>
                <w:lang w:val="en-US" w:eastAsia="zh-CN" w:bidi="ar"/>
              </w:rPr>
              <w:t>》，建立工业固体废物管理台账，如实记录工业固体废物的种类、数量、流向、贮存、利用、处置等信息。产废单位应当设立专人负责台账的管理与归档，一般工业固体废物管理台账保存期限不少于</w:t>
            </w:r>
            <w:r>
              <w:rPr>
                <w:rFonts w:hint="default" w:ascii="Times New Roman" w:hAnsi="Times New Roman" w:eastAsia="宋体" w:cs="Times New Roman"/>
                <w:color w:val="000000"/>
                <w:kern w:val="0"/>
                <w:sz w:val="24"/>
                <w:szCs w:val="24"/>
                <w:u w:val="single"/>
                <w:lang w:val="en-US" w:eastAsia="zh-CN" w:bidi="ar"/>
              </w:rPr>
              <w:t>5</w:t>
            </w:r>
            <w:r>
              <w:rPr>
                <w:rFonts w:hint="eastAsia" w:ascii="宋体" w:hAnsi="宋体" w:eastAsia="宋体" w:cs="宋体"/>
                <w:color w:val="000000"/>
                <w:kern w:val="0"/>
                <w:sz w:val="24"/>
                <w:szCs w:val="24"/>
                <w:u w:val="single"/>
                <w:lang w:val="en-US" w:eastAsia="zh-CN" w:bidi="ar"/>
              </w:rPr>
              <w:t>年。</w:t>
            </w:r>
          </w:p>
          <w:p>
            <w:pPr>
              <w:pStyle w:val="91"/>
              <w:widowControl/>
              <w:spacing w:line="360" w:lineRule="auto"/>
              <w:ind w:firstLine="482"/>
              <w:jc w:val="both"/>
              <w:rPr>
                <w:rFonts w:hint="default" w:ascii="Times New Roman" w:hAnsi="Times New Roman" w:cs="Times New Roman"/>
                <w:b/>
                <w:bCs/>
                <w:color w:val="auto"/>
                <w:szCs w:val="24"/>
                <w:u w:val="single"/>
              </w:rPr>
            </w:pPr>
            <w:r>
              <w:rPr>
                <w:rFonts w:hint="default" w:ascii="Times New Roman" w:hAnsi="Times New Roman" w:cs="Times New Roman"/>
                <w:b/>
                <w:bCs/>
                <w:color w:val="auto"/>
                <w:szCs w:val="24"/>
                <w:u w:val="single"/>
              </w:rPr>
              <w:t>危险废物管理要求：</w:t>
            </w:r>
          </w:p>
          <w:p>
            <w:pPr>
              <w:pStyle w:val="91"/>
              <w:widowControl/>
              <w:spacing w:line="360" w:lineRule="auto"/>
              <w:ind w:firstLine="480"/>
              <w:jc w:val="both"/>
              <w:rPr>
                <w:rFonts w:hint="default" w:ascii="Times New Roman" w:hAnsi="Times New Roman" w:cs="Times New Roman"/>
                <w:color w:val="auto"/>
                <w:szCs w:val="24"/>
                <w:u w:val="single"/>
              </w:rPr>
            </w:pPr>
            <w:r>
              <w:rPr>
                <w:rFonts w:hint="default" w:ascii="Times New Roman" w:hAnsi="Times New Roman" w:cs="Times New Roman"/>
                <w:color w:val="auto"/>
                <w:szCs w:val="24"/>
                <w:u w:val="single"/>
              </w:rPr>
              <w:t>按照《危险废物污染防治技术政策》和《危险废物贮存污染控制标准》</w:t>
            </w:r>
            <w:r>
              <w:rPr>
                <w:rFonts w:hint="eastAsia" w:cs="Times New Roman"/>
                <w:color w:val="auto"/>
                <w:szCs w:val="24"/>
                <w:u w:val="single"/>
                <w:lang w:eastAsia="zh-CN"/>
              </w:rPr>
              <w:t>(</w:t>
            </w:r>
            <w:r>
              <w:rPr>
                <w:rFonts w:hint="default" w:ascii="Times New Roman" w:hAnsi="Times New Roman" w:cs="Times New Roman"/>
                <w:color w:val="auto"/>
                <w:szCs w:val="24"/>
                <w:u w:val="single"/>
              </w:rPr>
              <w:t>GB18597-2023</w:t>
            </w:r>
            <w:r>
              <w:rPr>
                <w:rFonts w:hint="eastAsia" w:cs="Times New Roman"/>
                <w:color w:val="auto"/>
                <w:szCs w:val="24"/>
                <w:u w:val="single"/>
                <w:lang w:eastAsia="zh-CN"/>
              </w:rPr>
              <w:t>)</w:t>
            </w:r>
            <w:r>
              <w:rPr>
                <w:rFonts w:hint="default" w:ascii="Times New Roman" w:hAnsi="Times New Roman" w:cs="Times New Roman"/>
                <w:color w:val="auto"/>
                <w:szCs w:val="24"/>
                <w:u w:val="single"/>
              </w:rPr>
              <w:t>的要求，危险废物的临时贮存需设置专门的储存厂房，采用密闭式贮存，本项目</w:t>
            </w:r>
            <w:r>
              <w:rPr>
                <w:rFonts w:hint="eastAsia" w:cs="Times New Roman"/>
                <w:color w:val="auto"/>
                <w:szCs w:val="24"/>
                <w:u w:val="single"/>
                <w:lang w:val="en-US" w:eastAsia="zh-CN"/>
              </w:rPr>
              <w:t>设置1间</w:t>
            </w:r>
            <w:r>
              <w:rPr>
                <w:rFonts w:hint="default" w:ascii="Times New Roman" w:hAnsi="Times New Roman" w:cs="Times New Roman"/>
                <w:color w:val="auto"/>
                <w:szCs w:val="24"/>
                <w:u w:val="single"/>
              </w:rPr>
              <w:t>危险废物暂存间</w:t>
            </w:r>
            <w:r>
              <w:rPr>
                <w:rFonts w:hint="eastAsia" w:cs="Times New Roman"/>
                <w:color w:val="auto"/>
                <w:szCs w:val="24"/>
                <w:u w:val="single"/>
                <w:lang w:eastAsia="zh-CN"/>
              </w:rPr>
              <w:t>(</w:t>
            </w:r>
            <w:r>
              <w:rPr>
                <w:rFonts w:hint="default" w:ascii="Times New Roman" w:hAnsi="Times New Roman" w:cs="Times New Roman"/>
                <w:color w:val="auto"/>
                <w:szCs w:val="24"/>
                <w:u w:val="single"/>
                <w:lang w:val="en-US" w:eastAsia="zh-CN"/>
              </w:rPr>
              <w:t>面积</w:t>
            </w:r>
            <w:r>
              <w:rPr>
                <w:rFonts w:hint="eastAsia" w:cs="Times New Roman"/>
                <w:color w:val="auto"/>
                <w:szCs w:val="24"/>
                <w:u w:val="single"/>
                <w:lang w:val="en-US" w:eastAsia="zh-CN"/>
              </w:rPr>
              <w:t>5m</w:t>
            </w:r>
            <w:r>
              <w:rPr>
                <w:rFonts w:hint="default" w:ascii="Times New Roman" w:hAnsi="Times New Roman" w:cs="Times New Roman"/>
                <w:color w:val="auto"/>
                <w:szCs w:val="24"/>
                <w:u w:val="single"/>
                <w:vertAlign w:val="superscript"/>
                <w:lang w:val="en-US" w:eastAsia="zh-CN"/>
              </w:rPr>
              <w:t>2</w:t>
            </w:r>
            <w:r>
              <w:rPr>
                <w:rFonts w:hint="default" w:ascii="Times New Roman" w:hAnsi="Times New Roman" w:cs="Times New Roman"/>
                <w:color w:val="auto"/>
                <w:szCs w:val="24"/>
                <w:u w:val="single"/>
                <w:lang w:val="en-US" w:eastAsia="zh-CN"/>
              </w:rPr>
              <w:t>，位于工程北</w:t>
            </w:r>
            <w:r>
              <w:rPr>
                <w:rFonts w:hint="eastAsia" w:cs="Times New Roman"/>
                <w:color w:val="auto"/>
                <w:szCs w:val="24"/>
                <w:u w:val="single"/>
                <w:lang w:val="en-US" w:eastAsia="zh-CN"/>
              </w:rPr>
              <w:t>侧一般工业固体废物间旁</w:t>
            </w:r>
            <w:r>
              <w:rPr>
                <w:rFonts w:hint="eastAsia" w:cs="Times New Roman"/>
                <w:color w:val="auto"/>
                <w:szCs w:val="24"/>
                <w:u w:val="single"/>
                <w:lang w:eastAsia="zh-CN"/>
              </w:rPr>
              <w:t>)，</w:t>
            </w:r>
            <w:r>
              <w:rPr>
                <w:rFonts w:hint="eastAsia" w:cs="Times New Roman"/>
                <w:color w:val="auto"/>
                <w:szCs w:val="24"/>
                <w:u w:val="single"/>
                <w:lang w:val="en-US" w:eastAsia="zh-CN"/>
              </w:rPr>
              <w:t>具体位置详见附图3</w:t>
            </w:r>
            <w:r>
              <w:rPr>
                <w:rFonts w:hint="default" w:ascii="Times New Roman" w:hAnsi="Times New Roman" w:cs="Times New Roman"/>
                <w:color w:val="auto"/>
                <w:szCs w:val="24"/>
                <w:u w:val="single"/>
              </w:rPr>
              <w:t>。危废间满足《危险废物贮存污染控制标准》</w:t>
            </w:r>
            <w:r>
              <w:rPr>
                <w:rFonts w:hint="eastAsia" w:cs="Times New Roman"/>
                <w:color w:val="auto"/>
                <w:szCs w:val="24"/>
                <w:u w:val="single"/>
                <w:lang w:eastAsia="zh-CN"/>
              </w:rPr>
              <w:t>(GB18597-2023)</w:t>
            </w:r>
            <w:r>
              <w:rPr>
                <w:rFonts w:hint="default" w:ascii="Times New Roman" w:hAnsi="Times New Roman" w:cs="Times New Roman"/>
                <w:color w:val="auto"/>
                <w:szCs w:val="24"/>
                <w:u w:val="single"/>
              </w:rPr>
              <w:t>规定的以下要求：</w:t>
            </w:r>
          </w:p>
          <w:p>
            <w:pPr>
              <w:pStyle w:val="91"/>
              <w:widowControl/>
              <w:spacing w:line="360" w:lineRule="auto"/>
              <w:ind w:firstLine="480"/>
              <w:jc w:val="both"/>
              <w:rPr>
                <w:rFonts w:hint="default" w:ascii="Times New Roman" w:hAnsi="Times New Roman" w:cs="Times New Roman"/>
                <w:color w:val="auto"/>
                <w:szCs w:val="24"/>
                <w:u w:val="single"/>
              </w:rPr>
            </w:pPr>
            <w:r>
              <w:rPr>
                <w:rFonts w:hint="default" w:ascii="Times New Roman" w:hAnsi="Times New Roman" w:cs="Times New Roman"/>
                <w:color w:val="auto"/>
                <w:szCs w:val="24"/>
                <w:u w:val="single"/>
              </w:rPr>
              <w:t>1</w:t>
            </w:r>
            <w:r>
              <w:rPr>
                <w:rFonts w:hint="eastAsia" w:cs="Times New Roman"/>
                <w:color w:val="auto"/>
                <w:szCs w:val="24"/>
                <w:u w:val="single"/>
                <w:lang w:eastAsia="zh-CN"/>
              </w:rPr>
              <w:t>)</w:t>
            </w:r>
            <w:r>
              <w:rPr>
                <w:rFonts w:hint="default" w:ascii="Times New Roman" w:hAnsi="Times New Roman" w:cs="Times New Roman"/>
                <w:color w:val="auto"/>
                <w:szCs w:val="24"/>
                <w:u w:val="single"/>
              </w:rPr>
              <w:t>按危险废物贮存设施的要求进行设计；</w:t>
            </w:r>
          </w:p>
          <w:p>
            <w:pPr>
              <w:pStyle w:val="91"/>
              <w:widowControl/>
              <w:spacing w:line="360" w:lineRule="auto"/>
              <w:ind w:firstLine="480"/>
              <w:jc w:val="both"/>
              <w:rPr>
                <w:rFonts w:hint="default" w:ascii="Times New Roman" w:hAnsi="Times New Roman" w:cs="Times New Roman"/>
                <w:color w:val="auto"/>
                <w:szCs w:val="24"/>
                <w:u w:val="single"/>
              </w:rPr>
            </w:pPr>
            <w:r>
              <w:rPr>
                <w:rFonts w:hint="default" w:ascii="Times New Roman" w:hAnsi="Times New Roman" w:cs="Times New Roman"/>
                <w:color w:val="auto"/>
                <w:szCs w:val="24"/>
                <w:u w:val="single"/>
              </w:rPr>
              <w:t>2</w:t>
            </w:r>
            <w:r>
              <w:rPr>
                <w:rFonts w:hint="eastAsia" w:cs="Times New Roman"/>
                <w:color w:val="auto"/>
                <w:szCs w:val="24"/>
                <w:u w:val="single"/>
                <w:lang w:eastAsia="zh-CN"/>
              </w:rPr>
              <w:t>)</w:t>
            </w:r>
            <w:r>
              <w:rPr>
                <w:rFonts w:hint="default" w:ascii="Times New Roman" w:hAnsi="Times New Roman" w:cs="Times New Roman"/>
                <w:color w:val="auto"/>
                <w:szCs w:val="24"/>
                <w:u w:val="single"/>
              </w:rPr>
              <w:t>存放危险废物的地方，必须有耐腐蚀的硬化地面，且表面无裂隙；</w:t>
            </w:r>
          </w:p>
          <w:p>
            <w:pPr>
              <w:pStyle w:val="91"/>
              <w:widowControl/>
              <w:spacing w:line="360" w:lineRule="auto"/>
              <w:ind w:firstLine="480"/>
              <w:jc w:val="both"/>
              <w:rPr>
                <w:rFonts w:hint="default" w:ascii="Times New Roman" w:hAnsi="Times New Roman" w:cs="Times New Roman"/>
                <w:color w:val="auto"/>
                <w:szCs w:val="24"/>
                <w:u w:val="single"/>
              </w:rPr>
            </w:pPr>
            <w:r>
              <w:rPr>
                <w:rFonts w:hint="default" w:ascii="Times New Roman" w:hAnsi="Times New Roman" w:cs="Times New Roman"/>
                <w:color w:val="auto"/>
                <w:szCs w:val="24"/>
                <w:u w:val="single"/>
              </w:rPr>
              <w:t>3</w:t>
            </w:r>
            <w:r>
              <w:rPr>
                <w:rFonts w:hint="eastAsia" w:cs="Times New Roman"/>
                <w:color w:val="auto"/>
                <w:szCs w:val="24"/>
                <w:u w:val="single"/>
                <w:lang w:eastAsia="zh-CN"/>
              </w:rPr>
              <w:t>)</w:t>
            </w:r>
            <w:r>
              <w:rPr>
                <w:rFonts w:hint="default" w:ascii="Times New Roman" w:hAnsi="Times New Roman" w:cs="Times New Roman"/>
                <w:color w:val="auto"/>
                <w:szCs w:val="24"/>
                <w:u w:val="single"/>
              </w:rPr>
              <w:t>基础的防渗层采用双层防渗，低层敷设1m厚黏土层</w:t>
            </w:r>
            <w:r>
              <w:rPr>
                <w:rFonts w:hint="eastAsia" w:cs="Times New Roman"/>
                <w:color w:val="auto"/>
                <w:szCs w:val="24"/>
                <w:u w:val="single"/>
                <w:lang w:eastAsia="zh-CN"/>
              </w:rPr>
              <w:t>(</w:t>
            </w:r>
            <w:r>
              <w:rPr>
                <w:rFonts w:hint="default" w:ascii="Times New Roman" w:hAnsi="Times New Roman" w:cs="Times New Roman"/>
                <w:color w:val="auto"/>
                <w:szCs w:val="24"/>
                <w:u w:val="single"/>
              </w:rPr>
              <w:t>渗透系数≤10</w:t>
            </w:r>
            <w:r>
              <w:rPr>
                <w:rFonts w:hint="default" w:ascii="Times New Roman" w:hAnsi="Times New Roman" w:cs="Times New Roman"/>
                <w:color w:val="auto"/>
                <w:szCs w:val="24"/>
                <w:u w:val="single"/>
                <w:vertAlign w:val="superscript"/>
              </w:rPr>
              <w:t>-7</w:t>
            </w:r>
            <w:r>
              <w:rPr>
                <w:rFonts w:hint="default" w:ascii="Times New Roman" w:hAnsi="Times New Roman" w:cs="Times New Roman"/>
                <w:color w:val="auto"/>
                <w:szCs w:val="24"/>
                <w:u w:val="single"/>
              </w:rPr>
              <w:t>cm/秒</w:t>
            </w:r>
            <w:r>
              <w:rPr>
                <w:rFonts w:hint="eastAsia" w:cs="Times New Roman"/>
                <w:color w:val="auto"/>
                <w:szCs w:val="24"/>
                <w:u w:val="single"/>
                <w:lang w:eastAsia="zh-CN"/>
              </w:rPr>
              <w:t>)</w:t>
            </w:r>
            <w:r>
              <w:rPr>
                <w:rFonts w:hint="default" w:ascii="Times New Roman" w:hAnsi="Times New Roman" w:cs="Times New Roman"/>
                <w:color w:val="auto"/>
                <w:szCs w:val="24"/>
                <w:u w:val="single"/>
              </w:rPr>
              <w:t>，仅次敷设2mm厚高密度聚乙烯，或至少2mm厚的其它人工材料，渗透系数≤10</w:t>
            </w:r>
            <w:r>
              <w:rPr>
                <w:rFonts w:hint="default" w:ascii="Times New Roman" w:hAnsi="Times New Roman" w:cs="Times New Roman"/>
                <w:color w:val="auto"/>
                <w:szCs w:val="24"/>
                <w:u w:val="single"/>
                <w:vertAlign w:val="superscript"/>
              </w:rPr>
              <w:t>-10</w:t>
            </w:r>
            <w:r>
              <w:rPr>
                <w:rFonts w:hint="default" w:ascii="Times New Roman" w:hAnsi="Times New Roman" w:cs="Times New Roman"/>
                <w:color w:val="auto"/>
                <w:szCs w:val="24"/>
                <w:u w:val="single"/>
              </w:rPr>
              <w:t>cm/s；</w:t>
            </w:r>
          </w:p>
          <w:p>
            <w:pPr>
              <w:pStyle w:val="91"/>
              <w:widowControl/>
              <w:spacing w:line="360" w:lineRule="auto"/>
              <w:ind w:firstLine="480"/>
              <w:jc w:val="both"/>
              <w:rPr>
                <w:rFonts w:hint="default" w:ascii="Times New Roman" w:hAnsi="Times New Roman" w:cs="Times New Roman"/>
                <w:color w:val="auto"/>
                <w:szCs w:val="24"/>
                <w:u w:val="single"/>
              </w:rPr>
            </w:pPr>
            <w:r>
              <w:rPr>
                <w:rFonts w:hint="default" w:ascii="Times New Roman" w:hAnsi="Times New Roman" w:cs="Times New Roman"/>
                <w:color w:val="auto"/>
                <w:szCs w:val="24"/>
                <w:u w:val="single"/>
              </w:rPr>
              <w:t>4</w:t>
            </w:r>
            <w:r>
              <w:rPr>
                <w:rFonts w:hint="eastAsia" w:cs="Times New Roman"/>
                <w:color w:val="auto"/>
                <w:szCs w:val="24"/>
                <w:u w:val="single"/>
                <w:lang w:eastAsia="zh-CN"/>
              </w:rPr>
              <w:t>)</w:t>
            </w:r>
            <w:r>
              <w:rPr>
                <w:rFonts w:hint="default" w:ascii="Times New Roman" w:hAnsi="Times New Roman" w:cs="Times New Roman"/>
                <w:color w:val="auto"/>
                <w:szCs w:val="24"/>
                <w:u w:val="single"/>
              </w:rPr>
              <w:t>堆放危险废物的高度应根据地面承载能力确定；</w:t>
            </w:r>
          </w:p>
          <w:p>
            <w:pPr>
              <w:pStyle w:val="91"/>
              <w:widowControl/>
              <w:spacing w:line="360" w:lineRule="auto"/>
              <w:ind w:firstLine="480"/>
              <w:jc w:val="both"/>
              <w:rPr>
                <w:rFonts w:hint="default" w:ascii="Times New Roman" w:hAnsi="Times New Roman" w:cs="Times New Roman"/>
                <w:color w:val="auto"/>
                <w:szCs w:val="24"/>
                <w:u w:val="single"/>
              </w:rPr>
            </w:pPr>
            <w:r>
              <w:rPr>
                <w:rFonts w:hint="default" w:ascii="Times New Roman" w:hAnsi="Times New Roman" w:cs="Times New Roman"/>
                <w:color w:val="auto"/>
                <w:szCs w:val="24"/>
                <w:u w:val="single"/>
              </w:rPr>
              <w:t>5</w:t>
            </w:r>
            <w:r>
              <w:rPr>
                <w:rFonts w:hint="eastAsia" w:cs="Times New Roman"/>
                <w:color w:val="auto"/>
                <w:szCs w:val="24"/>
                <w:u w:val="single"/>
                <w:lang w:eastAsia="zh-CN"/>
              </w:rPr>
              <w:t>)</w:t>
            </w:r>
            <w:r>
              <w:rPr>
                <w:rFonts w:hint="default" w:ascii="Times New Roman" w:hAnsi="Times New Roman" w:cs="Times New Roman"/>
                <w:color w:val="auto"/>
                <w:szCs w:val="24"/>
                <w:u w:val="single"/>
              </w:rPr>
              <w:t>地面与裙脚要用坚固、防渗的材料建造，建筑材料必须与危险废物相容；</w:t>
            </w:r>
          </w:p>
          <w:p>
            <w:pPr>
              <w:pStyle w:val="91"/>
              <w:widowControl/>
              <w:spacing w:line="360" w:lineRule="auto"/>
              <w:ind w:firstLine="480"/>
              <w:jc w:val="both"/>
              <w:rPr>
                <w:rFonts w:hint="default" w:ascii="Times New Roman" w:hAnsi="Times New Roman" w:cs="Times New Roman"/>
                <w:color w:val="auto"/>
                <w:szCs w:val="24"/>
                <w:u w:val="single"/>
              </w:rPr>
            </w:pPr>
            <w:r>
              <w:rPr>
                <w:rFonts w:hint="default" w:ascii="Times New Roman" w:hAnsi="Times New Roman" w:cs="Times New Roman"/>
                <w:color w:val="auto"/>
                <w:szCs w:val="24"/>
                <w:u w:val="single"/>
              </w:rPr>
              <w:t>6</w:t>
            </w:r>
            <w:r>
              <w:rPr>
                <w:rFonts w:hint="eastAsia" w:cs="Times New Roman"/>
                <w:color w:val="auto"/>
                <w:szCs w:val="24"/>
                <w:u w:val="single"/>
                <w:lang w:eastAsia="zh-CN"/>
              </w:rPr>
              <w:t>)</w:t>
            </w:r>
            <w:r>
              <w:rPr>
                <w:rFonts w:hint="default" w:ascii="Times New Roman" w:hAnsi="Times New Roman" w:cs="Times New Roman"/>
                <w:color w:val="auto"/>
                <w:szCs w:val="24"/>
                <w:u w:val="single"/>
              </w:rPr>
              <w:t>设施内要有安全照明设施和观察窗口；</w:t>
            </w:r>
          </w:p>
          <w:p>
            <w:pPr>
              <w:pStyle w:val="91"/>
              <w:widowControl/>
              <w:spacing w:line="360" w:lineRule="auto"/>
              <w:ind w:firstLine="480"/>
              <w:jc w:val="both"/>
              <w:rPr>
                <w:rFonts w:hint="default" w:ascii="Times New Roman" w:hAnsi="Times New Roman" w:cs="Times New Roman"/>
                <w:color w:val="auto"/>
                <w:szCs w:val="24"/>
                <w:u w:val="single"/>
              </w:rPr>
            </w:pPr>
            <w:r>
              <w:rPr>
                <w:rFonts w:hint="default" w:ascii="Times New Roman" w:hAnsi="Times New Roman" w:cs="Times New Roman"/>
                <w:color w:val="auto"/>
                <w:szCs w:val="24"/>
                <w:u w:val="single"/>
              </w:rPr>
              <w:t>7</w:t>
            </w:r>
            <w:r>
              <w:rPr>
                <w:rFonts w:hint="eastAsia" w:cs="Times New Roman"/>
                <w:color w:val="auto"/>
                <w:szCs w:val="24"/>
                <w:u w:val="single"/>
                <w:lang w:eastAsia="zh-CN"/>
              </w:rPr>
              <w:t>)</w:t>
            </w:r>
            <w:r>
              <w:rPr>
                <w:rFonts w:hint="default" w:ascii="Times New Roman" w:hAnsi="Times New Roman" w:cs="Times New Roman"/>
                <w:color w:val="auto"/>
                <w:szCs w:val="24"/>
                <w:u w:val="single"/>
              </w:rPr>
              <w:t>应设计堵截泄漏的裙脚，地面与裙脚所围建的容积不低于堵截最大容器的最大储量或总储量的五分之一；</w:t>
            </w:r>
          </w:p>
          <w:p>
            <w:pPr>
              <w:pStyle w:val="91"/>
              <w:widowControl/>
              <w:spacing w:line="360" w:lineRule="auto"/>
              <w:ind w:firstLine="480"/>
              <w:jc w:val="both"/>
              <w:rPr>
                <w:rFonts w:hint="default" w:ascii="Times New Roman" w:hAnsi="Times New Roman" w:cs="Times New Roman"/>
                <w:color w:val="auto"/>
                <w:szCs w:val="24"/>
                <w:u w:val="single"/>
              </w:rPr>
            </w:pPr>
            <w:r>
              <w:rPr>
                <w:rFonts w:hint="default" w:ascii="Times New Roman" w:hAnsi="Times New Roman" w:cs="Times New Roman"/>
                <w:color w:val="auto"/>
                <w:szCs w:val="24"/>
                <w:u w:val="single"/>
              </w:rPr>
              <w:t>8</w:t>
            </w:r>
            <w:r>
              <w:rPr>
                <w:rFonts w:hint="eastAsia" w:cs="Times New Roman"/>
                <w:color w:val="auto"/>
                <w:szCs w:val="24"/>
                <w:u w:val="single"/>
                <w:lang w:eastAsia="zh-CN"/>
              </w:rPr>
              <w:t>)</w:t>
            </w:r>
            <w:r>
              <w:rPr>
                <w:rFonts w:hint="default" w:ascii="Times New Roman" w:hAnsi="Times New Roman" w:cs="Times New Roman"/>
                <w:color w:val="auto"/>
                <w:szCs w:val="24"/>
                <w:u w:val="single"/>
              </w:rPr>
              <w:t>危废暂存间上设置危险废物警示标志，并在四周设置雨水边沟。</w:t>
            </w:r>
          </w:p>
          <w:p>
            <w:pPr>
              <w:pStyle w:val="91"/>
              <w:widowControl/>
              <w:spacing w:line="360" w:lineRule="auto"/>
              <w:ind w:firstLine="480"/>
              <w:jc w:val="both"/>
              <w:rPr>
                <w:rFonts w:hint="default" w:ascii="Times New Roman" w:hAnsi="Times New Roman" w:cs="Times New Roman"/>
                <w:color w:val="auto"/>
                <w:szCs w:val="24"/>
                <w:u w:val="single"/>
              </w:rPr>
            </w:pPr>
            <w:r>
              <w:rPr>
                <w:rFonts w:hint="default" w:ascii="Times New Roman" w:hAnsi="Times New Roman" w:cs="Times New Roman"/>
                <w:color w:val="auto"/>
                <w:szCs w:val="24"/>
                <w:u w:val="single"/>
              </w:rPr>
              <w:t>危险废物，在收集、贮存、处置方面采取如下措施：</w:t>
            </w:r>
          </w:p>
          <w:p>
            <w:pPr>
              <w:pStyle w:val="91"/>
              <w:widowControl/>
              <w:spacing w:line="360" w:lineRule="auto"/>
              <w:ind w:firstLine="480"/>
              <w:jc w:val="both"/>
              <w:rPr>
                <w:rFonts w:hint="default" w:ascii="Times New Roman" w:hAnsi="Times New Roman" w:cs="Times New Roman"/>
                <w:color w:val="auto"/>
                <w:szCs w:val="24"/>
                <w:u w:val="single"/>
              </w:rPr>
            </w:pPr>
            <w:r>
              <w:rPr>
                <w:rFonts w:hint="default" w:ascii="Times New Roman" w:hAnsi="Times New Roman" w:cs="Times New Roman"/>
                <w:color w:val="auto"/>
                <w:szCs w:val="24"/>
                <w:u w:val="single"/>
              </w:rPr>
              <w:t>①收集和贮存</w:t>
            </w:r>
          </w:p>
          <w:p>
            <w:pPr>
              <w:pStyle w:val="91"/>
              <w:widowControl/>
              <w:spacing w:line="360" w:lineRule="auto"/>
              <w:ind w:firstLine="480"/>
              <w:jc w:val="both"/>
              <w:rPr>
                <w:rFonts w:hint="default" w:ascii="Times New Roman" w:hAnsi="Times New Roman" w:cs="Times New Roman"/>
                <w:color w:val="auto"/>
                <w:szCs w:val="24"/>
                <w:u w:val="single"/>
              </w:rPr>
            </w:pPr>
            <w:r>
              <w:rPr>
                <w:rFonts w:hint="default" w:ascii="Times New Roman" w:hAnsi="Times New Roman" w:cs="Times New Roman"/>
                <w:color w:val="auto"/>
                <w:szCs w:val="24"/>
                <w:u w:val="single"/>
              </w:rPr>
              <w:t>废物的收集和贮存严格按照《危险废物贮存和污染控制标准》</w:t>
            </w:r>
            <w:r>
              <w:rPr>
                <w:rFonts w:hint="eastAsia" w:cs="Times New Roman"/>
                <w:color w:val="auto"/>
                <w:szCs w:val="24"/>
                <w:u w:val="single"/>
                <w:lang w:eastAsia="zh-CN"/>
              </w:rPr>
              <w:t>(</w:t>
            </w:r>
            <w:r>
              <w:rPr>
                <w:rFonts w:hint="default" w:ascii="Times New Roman" w:hAnsi="Times New Roman" w:cs="Times New Roman"/>
                <w:color w:val="auto"/>
                <w:szCs w:val="24"/>
                <w:u w:val="single"/>
              </w:rPr>
              <w:t>GB18597-2023</w:t>
            </w:r>
            <w:r>
              <w:rPr>
                <w:rFonts w:hint="eastAsia" w:cs="Times New Roman"/>
                <w:color w:val="auto"/>
                <w:szCs w:val="24"/>
                <w:u w:val="single"/>
                <w:lang w:eastAsia="zh-CN"/>
              </w:rPr>
              <w:t>)</w:t>
            </w:r>
            <w:r>
              <w:rPr>
                <w:rFonts w:hint="default" w:ascii="Times New Roman" w:hAnsi="Times New Roman" w:cs="Times New Roman"/>
                <w:color w:val="auto"/>
                <w:szCs w:val="24"/>
                <w:u w:val="single"/>
              </w:rPr>
              <w:t>要求进行分类收集，根据危险废物的性质分类贮存于危险废物暂存间</w:t>
            </w:r>
            <w:r>
              <w:rPr>
                <w:rFonts w:hint="eastAsia" w:cs="Times New Roman"/>
                <w:color w:val="auto"/>
                <w:szCs w:val="24"/>
                <w:u w:val="single"/>
                <w:lang w:eastAsia="zh-CN"/>
              </w:rPr>
              <w:t>(</w:t>
            </w:r>
            <w:r>
              <w:rPr>
                <w:rFonts w:hint="default" w:ascii="Times New Roman" w:hAnsi="Times New Roman" w:cs="Times New Roman"/>
                <w:color w:val="auto"/>
                <w:szCs w:val="24"/>
                <w:u w:val="single"/>
              </w:rPr>
              <w:t>防渗、防漏、防遗撒等方面的工程措施符合《危险废物贮存和污染控制标准》</w:t>
            </w:r>
            <w:r>
              <w:rPr>
                <w:rFonts w:hint="eastAsia" w:cs="Times New Roman"/>
                <w:color w:val="auto"/>
                <w:szCs w:val="24"/>
                <w:u w:val="single"/>
                <w:lang w:eastAsia="zh-CN"/>
              </w:rPr>
              <w:t>(</w:t>
            </w:r>
            <w:r>
              <w:rPr>
                <w:rFonts w:hint="default" w:ascii="Times New Roman" w:hAnsi="Times New Roman" w:cs="Times New Roman"/>
                <w:color w:val="auto"/>
                <w:szCs w:val="24"/>
                <w:u w:val="single"/>
              </w:rPr>
              <w:t>GB18597-2023</w:t>
            </w:r>
            <w:r>
              <w:rPr>
                <w:rFonts w:hint="eastAsia" w:cs="Times New Roman"/>
                <w:color w:val="auto"/>
                <w:szCs w:val="24"/>
                <w:u w:val="single"/>
                <w:lang w:eastAsia="zh-CN"/>
              </w:rPr>
              <w:t>)</w:t>
            </w:r>
            <w:r>
              <w:rPr>
                <w:rFonts w:hint="default" w:ascii="Times New Roman" w:hAnsi="Times New Roman" w:cs="Times New Roman"/>
                <w:color w:val="auto"/>
                <w:szCs w:val="24"/>
                <w:u w:val="single"/>
              </w:rPr>
              <w:t>。</w:t>
            </w:r>
          </w:p>
          <w:p>
            <w:pPr>
              <w:pStyle w:val="91"/>
              <w:widowControl/>
              <w:spacing w:line="360" w:lineRule="auto"/>
              <w:ind w:firstLine="480"/>
              <w:jc w:val="both"/>
              <w:rPr>
                <w:rFonts w:hint="default" w:ascii="Times New Roman" w:hAnsi="Times New Roman" w:cs="Times New Roman"/>
                <w:color w:val="auto"/>
                <w:szCs w:val="24"/>
                <w:u w:val="single"/>
              </w:rPr>
            </w:pPr>
            <w:r>
              <w:rPr>
                <w:rFonts w:hint="default" w:ascii="Times New Roman" w:hAnsi="Times New Roman" w:cs="Times New Roman"/>
                <w:color w:val="auto"/>
                <w:szCs w:val="24"/>
                <w:u w:val="single"/>
              </w:rPr>
              <w:t>②转移</w:t>
            </w:r>
          </w:p>
          <w:p>
            <w:pPr>
              <w:pStyle w:val="91"/>
              <w:widowControl/>
              <w:spacing w:line="360" w:lineRule="auto"/>
              <w:ind w:firstLine="480"/>
              <w:jc w:val="both"/>
              <w:rPr>
                <w:rFonts w:hint="default" w:ascii="Times New Roman" w:hAnsi="Times New Roman" w:cs="Times New Roman"/>
                <w:color w:val="auto"/>
                <w:szCs w:val="24"/>
                <w:u w:val="single"/>
              </w:rPr>
            </w:pPr>
            <w:r>
              <w:rPr>
                <w:rFonts w:hint="default" w:ascii="Times New Roman" w:hAnsi="Times New Roman" w:cs="Times New Roman"/>
                <w:color w:val="auto"/>
                <w:szCs w:val="24"/>
                <w:u w:val="single"/>
              </w:rPr>
              <w:t>危险废物转移过程中严格执行《危险废物转移联单管理办法》，防止危险废物在转移过程中污染环境。</w:t>
            </w:r>
          </w:p>
          <w:p>
            <w:pPr>
              <w:pStyle w:val="91"/>
              <w:widowControl/>
              <w:spacing w:line="360" w:lineRule="auto"/>
              <w:ind w:firstLine="480"/>
              <w:jc w:val="both"/>
              <w:rPr>
                <w:rFonts w:hint="default" w:ascii="Times New Roman" w:hAnsi="Times New Roman" w:cs="Times New Roman"/>
                <w:color w:val="auto"/>
                <w:szCs w:val="24"/>
                <w:u w:val="single"/>
              </w:rPr>
            </w:pPr>
            <w:r>
              <w:rPr>
                <w:rFonts w:hint="default" w:ascii="Times New Roman" w:hAnsi="Times New Roman" w:cs="Times New Roman"/>
                <w:color w:val="auto"/>
                <w:szCs w:val="24"/>
                <w:u w:val="single"/>
              </w:rPr>
              <w:t>③处置</w:t>
            </w:r>
          </w:p>
          <w:p>
            <w:pPr>
              <w:pStyle w:val="91"/>
              <w:widowControl/>
              <w:spacing w:line="360" w:lineRule="auto"/>
              <w:ind w:firstLine="480"/>
              <w:jc w:val="both"/>
              <w:rPr>
                <w:rFonts w:hint="default" w:ascii="Times New Roman" w:hAnsi="Times New Roman" w:cs="Times New Roman"/>
                <w:color w:val="auto"/>
                <w:szCs w:val="24"/>
                <w:u w:val="single"/>
              </w:rPr>
            </w:pPr>
            <w:r>
              <w:rPr>
                <w:rFonts w:hint="default" w:ascii="Times New Roman" w:hAnsi="Times New Roman" w:cs="Times New Roman"/>
                <w:color w:val="auto"/>
                <w:szCs w:val="24"/>
                <w:u w:val="single"/>
              </w:rPr>
              <w:t>本项目产生的固体废物中属于危险废物的部分，收集暂存于危废暂存间后交有资质单位处置。</w:t>
            </w:r>
          </w:p>
          <w:p>
            <w:pPr>
              <w:adjustRightInd w:val="0"/>
              <w:snapToGrid w:val="0"/>
              <w:spacing w:line="360" w:lineRule="auto"/>
              <w:ind w:firstLine="480" w:firstLineChars="200"/>
              <w:rPr>
                <w:rFonts w:hint="default" w:ascii="Times New Roman" w:hAnsi="Times New Roman" w:cs="Times New Roman"/>
                <w:color w:val="auto"/>
                <w:sz w:val="24"/>
                <w:szCs w:val="21"/>
                <w:u w:val="single"/>
              </w:rPr>
            </w:pPr>
            <w:r>
              <w:rPr>
                <w:rStyle w:val="92"/>
                <w:rFonts w:hint="default" w:ascii="Times New Roman" w:hAnsi="Times New Roman" w:eastAsia="宋体" w:cs="Times New Roman"/>
                <w:color w:val="auto"/>
                <w:kern w:val="0"/>
                <w:sz w:val="24"/>
                <w:szCs w:val="24"/>
                <w:u w:val="single"/>
                <w:lang w:bidi="ar"/>
              </w:rPr>
              <w:t>④设立企业固废管理台账，规范各类废物情况的记录，记录上须注明危险废物的名称、来源、数量、特性和包装容器的类别、入库日期、存放库位、废物出库日期及接收单位名称，确保厂内所有危险废物流向清楚规范。</w:t>
            </w:r>
          </w:p>
          <w:p>
            <w:pPr>
              <w:pStyle w:val="22"/>
              <w:spacing w:line="360" w:lineRule="auto"/>
              <w:jc w:val="left"/>
              <w:rPr>
                <w:rFonts w:hint="default" w:ascii="Times New Roman" w:hAnsi="Times New Roman" w:cs="Times New Roman"/>
                <w:color w:val="auto"/>
                <w:sz w:val="24"/>
                <w:szCs w:val="24"/>
                <w:u w:val="single"/>
              </w:rPr>
            </w:pPr>
            <w:r>
              <w:rPr>
                <w:rFonts w:hint="default" w:ascii="Times New Roman" w:hAnsi="Times New Roman" w:cs="Times New Roman"/>
                <w:color w:val="auto"/>
                <w:sz w:val="24"/>
                <w:szCs w:val="24"/>
                <w:u w:val="single"/>
              </w:rPr>
              <w:t>综上所述，本项目产生的固体废物在均得到有效的收集、储存及处置，对环境影响可接受。</w:t>
            </w:r>
          </w:p>
          <w:p>
            <w:pPr>
              <w:ind w:firstLine="482"/>
              <w:rPr>
                <w:b/>
                <w:bCs/>
                <w:u w:val="none"/>
              </w:rPr>
            </w:pPr>
            <w:r>
              <w:rPr>
                <w:rFonts w:hint="eastAsia"/>
                <w:b/>
                <w:bCs/>
                <w:u w:val="none"/>
              </w:rPr>
              <w:t>5、地下水、土壤</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项目废气均通过专用管道进行收集处理，采取有效的治理措施后，排放量较少，可保证达标排放，因此不会通过废气排放对周围土壤产生较明显的影响。</w:t>
            </w:r>
          </w:p>
          <w:p>
            <w:pPr>
              <w:keepNext w:val="0"/>
              <w:keepLines w:val="0"/>
              <w:widowControl/>
              <w:suppressLineNumbers w:val="0"/>
              <w:jc w:val="left"/>
              <w:rPr>
                <w:u w:val="none"/>
              </w:rPr>
            </w:pPr>
            <w:r>
              <w:rPr>
                <w:rFonts w:hint="eastAsia" w:ascii="宋体" w:hAnsi="宋体" w:eastAsia="宋体" w:cs="宋体"/>
                <w:color w:val="000000"/>
                <w:kern w:val="0"/>
                <w:sz w:val="24"/>
                <w:szCs w:val="24"/>
                <w:lang w:val="en-US" w:eastAsia="zh-CN" w:bidi="ar"/>
              </w:rPr>
              <w:t>本项目位于相对封闭的钢筋混凝土结构室内，本项目不新增废水</w:t>
            </w:r>
            <w:r>
              <w:rPr>
                <w:rFonts w:hint="eastAsia" w:ascii="宋体" w:hAnsi="宋体" w:cs="宋体"/>
                <w:color w:val="000000"/>
                <w:kern w:val="0"/>
                <w:sz w:val="24"/>
                <w:szCs w:val="24"/>
                <w:lang w:val="en-US" w:eastAsia="zh-CN" w:bidi="ar"/>
              </w:rPr>
              <w:t>排放</w:t>
            </w:r>
            <w:r>
              <w:rPr>
                <w:rFonts w:hint="eastAsia" w:ascii="宋体" w:hAnsi="宋体" w:eastAsia="宋体" w:cs="宋体"/>
                <w:color w:val="000000"/>
                <w:kern w:val="0"/>
                <w:sz w:val="24"/>
                <w:szCs w:val="24"/>
                <w:lang w:val="en-US" w:eastAsia="zh-CN" w:bidi="ar"/>
              </w:rPr>
              <w:t>，正常情况下不涉及地面漫流污染影响，不会对周边土壤、地下水、环境空气造成影响。</w:t>
            </w:r>
            <w:r>
              <w:rPr>
                <w:rFonts w:hint="eastAsia"/>
                <w:u w:val="none"/>
              </w:rPr>
              <w:t>项目针对可能造成地下水污染的环节，分别有针对性的采取防渗措施，可能产生渗漏的环节得到有效控制，杜绝污水下渗对地下水造成污染。</w:t>
            </w:r>
          </w:p>
          <w:p>
            <w:pPr>
              <w:ind w:firstLine="480"/>
              <w:rPr>
                <w:u w:val="none"/>
              </w:rPr>
            </w:pPr>
            <w:r>
              <w:rPr>
                <w:rFonts w:hint="eastAsia"/>
                <w:u w:val="none"/>
              </w:rPr>
              <w:t>项目不取用地下水，对地下水水位和水量不会产生影响。故本项目不会对地下水、土壤产生不利影响</w:t>
            </w:r>
            <w:r>
              <w:rPr>
                <w:u w:val="none"/>
              </w:rPr>
              <w:t>。</w:t>
            </w:r>
          </w:p>
          <w:p>
            <w:pPr>
              <w:keepNext w:val="0"/>
              <w:keepLines w:val="0"/>
              <w:widowControl/>
              <w:suppressLineNumbers w:val="0"/>
              <w:jc w:val="left"/>
              <w:rPr>
                <w:u w:val="single"/>
              </w:rPr>
            </w:pPr>
            <w:r>
              <w:rPr>
                <w:rFonts w:hint="eastAsia"/>
                <w:b/>
                <w:bCs/>
                <w:u w:val="single"/>
              </w:rPr>
              <w:t>6、</w:t>
            </w:r>
            <w:r>
              <w:rPr>
                <w:rFonts w:hint="eastAsia" w:ascii="宋体" w:hAnsi="宋体" w:eastAsia="宋体" w:cs="宋体"/>
                <w:b/>
                <w:bCs/>
                <w:color w:val="000000"/>
                <w:kern w:val="0"/>
                <w:sz w:val="24"/>
                <w:szCs w:val="24"/>
                <w:u w:val="single"/>
                <w:lang w:val="en-US" w:eastAsia="zh-CN" w:bidi="ar"/>
              </w:rPr>
              <w:t>运输路线的环境影响分析</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本项目所需原料和产品外售均通过汽运方式运输，其运输路线为村道—乡道—G536，运输过程中主要环境影响为运输扬尘噪声影响。</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1</w:t>
            </w:r>
            <w:r>
              <w:rPr>
                <w:rFonts w:hint="eastAsia" w:ascii="宋体" w:hAnsi="宋体" w:eastAsia="宋体" w:cs="宋体"/>
                <w:color w:val="000000"/>
                <w:kern w:val="0"/>
                <w:sz w:val="24"/>
                <w:szCs w:val="24"/>
                <w:u w:val="single"/>
                <w:lang w:val="en-US" w:eastAsia="zh-CN" w:bidi="ar"/>
              </w:rPr>
              <w:t xml:space="preserve">）运输扬尘 </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本项目运输物料主要为原料和产品等，其运输过程中若未采取抑尘措施或运输车辆车速过快，将产生运输扬尘，对区域环境和运输道路两侧居民将造成影响。</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本项目物料运输过程运输车辆严格控制原料运输量，生物质颗粒、木屑、芦苇、玉米芯、麦麸等原辅材料采用密闭袋装运输。禁止超载运输，并控制运输行驶速度，禁止超速行驶，从而减少粉尘污染，降低运输途中产生粉尘对沿线居民影响，本项目运输道路为村道—乡道—G536，路况良好，道路在车辆行驶过程不宜起尘，在采取了以上措施后，可最大限度减少项目运输扬尘的产生，对运输道路沿线的环境和居民生活的影响较小。</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2</w:t>
            </w:r>
            <w:r>
              <w:rPr>
                <w:rFonts w:hint="eastAsia" w:ascii="宋体" w:hAnsi="宋体" w:eastAsia="宋体" w:cs="宋体"/>
                <w:color w:val="000000"/>
                <w:kern w:val="0"/>
                <w:sz w:val="24"/>
                <w:szCs w:val="24"/>
                <w:u w:val="single"/>
                <w:lang w:val="en-US" w:eastAsia="zh-CN" w:bidi="ar"/>
              </w:rPr>
              <w:t>）运输过程环境噪声影响评价</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运输车产生的噪声影响主要为车流量的增加导致道路交通噪声对两侧敏感点影响。本项目物料出入口设在厂区南侧，避开居民集中点，道路依托现有村道。根据查阅资料，运输车噪声源约为</w:t>
            </w:r>
            <w:r>
              <w:rPr>
                <w:rFonts w:hint="default" w:ascii="Times New Roman" w:hAnsi="Times New Roman" w:eastAsia="宋体" w:cs="Times New Roman"/>
                <w:color w:val="000000"/>
                <w:kern w:val="0"/>
                <w:sz w:val="24"/>
                <w:szCs w:val="24"/>
                <w:u w:val="single"/>
                <w:lang w:val="en-US" w:eastAsia="zh-CN" w:bidi="ar"/>
              </w:rPr>
              <w:t>85dB</w:t>
            </w: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A</w:t>
            </w:r>
            <w:r>
              <w:rPr>
                <w:rFonts w:hint="eastAsia" w:ascii="宋体" w:hAnsi="宋体" w:eastAsia="宋体" w:cs="宋体"/>
                <w:color w:val="000000"/>
                <w:kern w:val="0"/>
                <w:sz w:val="24"/>
                <w:szCs w:val="24"/>
                <w:u w:val="single"/>
                <w:lang w:val="en-US" w:eastAsia="zh-CN" w:bidi="ar"/>
              </w:rPr>
              <w:t>），在道路两侧无任何障碍物的情况下，距离道路中心线</w:t>
            </w:r>
            <w:r>
              <w:rPr>
                <w:rFonts w:hint="default" w:ascii="Times New Roman" w:hAnsi="Times New Roman" w:eastAsia="宋体" w:cs="Times New Roman"/>
                <w:color w:val="000000"/>
                <w:kern w:val="0"/>
                <w:sz w:val="24"/>
                <w:szCs w:val="24"/>
                <w:u w:val="single"/>
                <w:lang w:val="en-US" w:eastAsia="zh-CN" w:bidi="ar"/>
              </w:rPr>
              <w:t>10m</w:t>
            </w:r>
            <w:r>
              <w:rPr>
                <w:rFonts w:hint="eastAsia" w:ascii="宋体" w:hAnsi="宋体" w:eastAsia="宋体" w:cs="宋体"/>
                <w:color w:val="000000"/>
                <w:kern w:val="0"/>
                <w:sz w:val="24"/>
                <w:szCs w:val="24"/>
                <w:u w:val="single"/>
                <w:lang w:val="en-US" w:eastAsia="zh-CN" w:bidi="ar"/>
              </w:rPr>
              <w:t>的地方，等效连续声级小于</w:t>
            </w:r>
            <w:r>
              <w:rPr>
                <w:rFonts w:hint="default" w:ascii="Times New Roman" w:hAnsi="Times New Roman" w:eastAsia="宋体" w:cs="Times New Roman"/>
                <w:color w:val="000000"/>
                <w:kern w:val="0"/>
                <w:sz w:val="24"/>
                <w:szCs w:val="24"/>
                <w:u w:val="single"/>
                <w:lang w:val="en-US" w:eastAsia="zh-CN" w:bidi="ar"/>
              </w:rPr>
              <w:t>70dB</w:t>
            </w: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A</w:t>
            </w:r>
            <w:r>
              <w:rPr>
                <w:rFonts w:hint="eastAsia" w:ascii="宋体" w:hAnsi="宋体" w:eastAsia="宋体" w:cs="宋体"/>
                <w:color w:val="000000"/>
                <w:kern w:val="0"/>
                <w:sz w:val="24"/>
                <w:szCs w:val="24"/>
                <w:u w:val="single"/>
                <w:lang w:val="en-US" w:eastAsia="zh-CN" w:bidi="ar"/>
              </w:rPr>
              <w:t>），距离道路中心线</w:t>
            </w:r>
            <w:r>
              <w:rPr>
                <w:rFonts w:hint="default" w:ascii="Times New Roman" w:hAnsi="Times New Roman" w:eastAsia="宋体" w:cs="Times New Roman"/>
                <w:color w:val="000000"/>
                <w:kern w:val="0"/>
                <w:sz w:val="24"/>
                <w:szCs w:val="24"/>
                <w:u w:val="single"/>
                <w:lang w:val="en-US" w:eastAsia="zh-CN" w:bidi="ar"/>
              </w:rPr>
              <w:t>30m</w:t>
            </w:r>
            <w:r>
              <w:rPr>
                <w:rFonts w:hint="eastAsia" w:ascii="宋体" w:hAnsi="宋体" w:eastAsia="宋体" w:cs="宋体"/>
                <w:color w:val="000000"/>
                <w:kern w:val="0"/>
                <w:sz w:val="24"/>
                <w:szCs w:val="24"/>
                <w:u w:val="single"/>
                <w:lang w:val="en-US" w:eastAsia="zh-CN" w:bidi="ar"/>
              </w:rPr>
              <w:t>的地方，等效连续声级小于</w:t>
            </w:r>
            <w:r>
              <w:rPr>
                <w:rFonts w:hint="default" w:ascii="Times New Roman" w:hAnsi="Times New Roman" w:eastAsia="宋体" w:cs="Times New Roman"/>
                <w:color w:val="000000"/>
                <w:kern w:val="0"/>
                <w:sz w:val="24"/>
                <w:szCs w:val="24"/>
                <w:u w:val="single"/>
                <w:lang w:val="en-US" w:eastAsia="zh-CN" w:bidi="ar"/>
              </w:rPr>
              <w:t>55dB</w:t>
            </w: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A</w:t>
            </w:r>
            <w:r>
              <w:rPr>
                <w:rFonts w:hint="eastAsia" w:ascii="宋体" w:hAnsi="宋体" w:eastAsia="宋体" w:cs="宋体"/>
                <w:color w:val="000000"/>
                <w:kern w:val="0"/>
                <w:sz w:val="24"/>
                <w:szCs w:val="24"/>
                <w:u w:val="single"/>
                <w:lang w:val="en-US" w:eastAsia="zh-CN" w:bidi="ar"/>
              </w:rPr>
              <w:t>），即在道路两侧</w:t>
            </w:r>
            <w:r>
              <w:rPr>
                <w:rFonts w:hint="default" w:ascii="Times New Roman" w:hAnsi="Times New Roman" w:eastAsia="宋体" w:cs="Times New Roman"/>
                <w:color w:val="000000"/>
                <w:kern w:val="0"/>
                <w:sz w:val="24"/>
                <w:szCs w:val="24"/>
                <w:u w:val="single"/>
                <w:lang w:val="en-US" w:eastAsia="zh-CN" w:bidi="ar"/>
              </w:rPr>
              <w:t>10m</w:t>
            </w:r>
            <w:r>
              <w:rPr>
                <w:rFonts w:hint="eastAsia" w:ascii="宋体" w:hAnsi="宋体" w:eastAsia="宋体" w:cs="宋体"/>
                <w:color w:val="000000"/>
                <w:kern w:val="0"/>
                <w:sz w:val="24"/>
                <w:szCs w:val="24"/>
                <w:u w:val="single"/>
                <w:lang w:val="en-US" w:eastAsia="zh-CN" w:bidi="ar"/>
              </w:rPr>
              <w:t>以外的地方，交通噪声符合《声环境质量标准》（</w:t>
            </w:r>
            <w:r>
              <w:rPr>
                <w:rFonts w:hint="default" w:ascii="Times New Roman" w:hAnsi="Times New Roman" w:eastAsia="宋体" w:cs="Times New Roman"/>
                <w:color w:val="000000"/>
                <w:kern w:val="0"/>
                <w:sz w:val="24"/>
                <w:szCs w:val="24"/>
                <w:u w:val="single"/>
                <w:lang w:val="en-US" w:eastAsia="zh-CN" w:bidi="ar"/>
              </w:rPr>
              <w:t>GB3096-2008</w:t>
            </w:r>
            <w:r>
              <w:rPr>
                <w:rFonts w:hint="eastAsia" w:ascii="宋体" w:hAnsi="宋体" w:eastAsia="宋体" w:cs="宋体"/>
                <w:color w:val="000000"/>
                <w:kern w:val="0"/>
                <w:sz w:val="24"/>
                <w:szCs w:val="24"/>
                <w:u w:val="single"/>
                <w:lang w:val="en-US" w:eastAsia="zh-CN" w:bidi="ar"/>
              </w:rPr>
              <w:t>）中</w:t>
            </w:r>
            <w:r>
              <w:rPr>
                <w:rFonts w:hint="default" w:ascii="Times New Roman" w:hAnsi="Times New Roman" w:eastAsia="宋体" w:cs="Times New Roman"/>
                <w:color w:val="000000"/>
                <w:kern w:val="0"/>
                <w:sz w:val="24"/>
                <w:szCs w:val="24"/>
                <w:u w:val="single"/>
                <w:lang w:val="en-US" w:eastAsia="zh-CN" w:bidi="ar"/>
              </w:rPr>
              <w:t>4a</w:t>
            </w:r>
            <w:r>
              <w:rPr>
                <w:rFonts w:hint="eastAsia" w:ascii="宋体" w:hAnsi="宋体" w:eastAsia="宋体" w:cs="宋体"/>
                <w:color w:val="000000"/>
                <w:kern w:val="0"/>
                <w:sz w:val="24"/>
                <w:szCs w:val="24"/>
                <w:u w:val="single"/>
                <w:lang w:val="en-US" w:eastAsia="zh-CN" w:bidi="ar"/>
              </w:rPr>
              <w:t>类昼间标准（</w:t>
            </w:r>
            <w:r>
              <w:rPr>
                <w:rFonts w:hint="default" w:ascii="Times New Roman" w:hAnsi="Times New Roman" w:eastAsia="宋体" w:cs="Times New Roman"/>
                <w:color w:val="000000"/>
                <w:kern w:val="0"/>
                <w:sz w:val="24"/>
                <w:szCs w:val="24"/>
                <w:u w:val="single"/>
                <w:lang w:val="en-US" w:eastAsia="zh-CN" w:bidi="ar"/>
              </w:rPr>
              <w:t>70dB</w:t>
            </w: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A</w:t>
            </w:r>
            <w:r>
              <w:rPr>
                <w:rFonts w:hint="eastAsia" w:ascii="宋体" w:hAnsi="宋体" w:eastAsia="宋体" w:cs="宋体"/>
                <w:color w:val="000000"/>
                <w:kern w:val="0"/>
                <w:sz w:val="24"/>
                <w:szCs w:val="24"/>
                <w:u w:val="single"/>
                <w:lang w:val="en-US" w:eastAsia="zh-CN" w:bidi="ar"/>
              </w:rPr>
              <w:t>）），即在公路两侧</w:t>
            </w:r>
            <w:r>
              <w:rPr>
                <w:rFonts w:hint="default" w:ascii="Times New Roman" w:hAnsi="Times New Roman" w:eastAsia="宋体" w:cs="Times New Roman"/>
                <w:color w:val="000000"/>
                <w:kern w:val="0"/>
                <w:sz w:val="24"/>
                <w:szCs w:val="24"/>
                <w:u w:val="single"/>
                <w:lang w:val="en-US" w:eastAsia="zh-CN" w:bidi="ar"/>
              </w:rPr>
              <w:t>30m</w:t>
            </w:r>
            <w:r>
              <w:rPr>
                <w:rFonts w:hint="eastAsia" w:ascii="宋体" w:hAnsi="宋体" w:eastAsia="宋体" w:cs="宋体"/>
                <w:color w:val="000000"/>
                <w:kern w:val="0"/>
                <w:sz w:val="24"/>
                <w:szCs w:val="24"/>
                <w:u w:val="single"/>
                <w:lang w:val="en-US" w:eastAsia="zh-CN" w:bidi="ar"/>
              </w:rPr>
              <w:t>以外的地方，交通噪声符合《声环境质量标准》（</w:t>
            </w:r>
            <w:r>
              <w:rPr>
                <w:rFonts w:hint="default" w:ascii="Times New Roman" w:hAnsi="Times New Roman" w:eastAsia="宋体" w:cs="Times New Roman"/>
                <w:color w:val="000000"/>
                <w:kern w:val="0"/>
                <w:sz w:val="24"/>
                <w:szCs w:val="24"/>
                <w:u w:val="single"/>
                <w:lang w:val="en-US" w:eastAsia="zh-CN" w:bidi="ar"/>
              </w:rPr>
              <w:t>GB3096-2008</w:t>
            </w:r>
            <w:r>
              <w:rPr>
                <w:rFonts w:hint="eastAsia" w:ascii="宋体" w:hAnsi="宋体" w:eastAsia="宋体" w:cs="宋体"/>
                <w:color w:val="000000"/>
                <w:kern w:val="0"/>
                <w:sz w:val="24"/>
                <w:szCs w:val="24"/>
                <w:u w:val="single"/>
                <w:lang w:val="en-US" w:eastAsia="zh-CN" w:bidi="ar"/>
              </w:rPr>
              <w:t>）中</w:t>
            </w:r>
            <w:r>
              <w:rPr>
                <w:rFonts w:hint="default" w:ascii="Times New Roman" w:hAnsi="Times New Roman" w:eastAsia="宋体" w:cs="Times New Roman"/>
                <w:color w:val="000000"/>
                <w:kern w:val="0"/>
                <w:sz w:val="24"/>
                <w:szCs w:val="24"/>
                <w:u w:val="single"/>
                <w:lang w:val="en-US" w:eastAsia="zh-CN" w:bidi="ar"/>
              </w:rPr>
              <w:t>2</w:t>
            </w:r>
            <w:r>
              <w:rPr>
                <w:rFonts w:hint="eastAsia" w:ascii="宋体" w:hAnsi="宋体" w:eastAsia="宋体" w:cs="宋体"/>
                <w:color w:val="000000"/>
                <w:kern w:val="0"/>
                <w:sz w:val="24"/>
                <w:szCs w:val="24"/>
                <w:u w:val="single"/>
                <w:lang w:val="en-US" w:eastAsia="zh-CN" w:bidi="ar"/>
              </w:rPr>
              <w:t>类昼间标准（</w:t>
            </w:r>
            <w:r>
              <w:rPr>
                <w:rFonts w:hint="default" w:ascii="Times New Roman" w:hAnsi="Times New Roman" w:eastAsia="宋体" w:cs="Times New Roman"/>
                <w:color w:val="000000"/>
                <w:kern w:val="0"/>
                <w:sz w:val="24"/>
                <w:szCs w:val="24"/>
                <w:u w:val="single"/>
                <w:lang w:val="en-US" w:eastAsia="zh-CN" w:bidi="ar"/>
              </w:rPr>
              <w:t>60dB</w:t>
            </w: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A</w:t>
            </w:r>
            <w:r>
              <w:rPr>
                <w:rFonts w:hint="eastAsia" w:ascii="宋体" w:hAnsi="宋体" w:eastAsia="宋体" w:cs="宋体"/>
                <w:color w:val="000000"/>
                <w:kern w:val="0"/>
                <w:sz w:val="24"/>
                <w:szCs w:val="24"/>
                <w:u w:val="single"/>
                <w:lang w:val="en-US" w:eastAsia="zh-CN" w:bidi="ar"/>
              </w:rPr>
              <w:t>））要求。</w:t>
            </w:r>
          </w:p>
          <w:tbl>
            <w:tblPr>
              <w:tblStyle w:val="25"/>
              <w:tblW w:w="8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5"/>
              <w:gridCol w:w="4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5" w:type="dxa"/>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textAlignment w:val="auto"/>
                    <w:rPr>
                      <w:rFonts w:hint="eastAsia"/>
                      <w:vertAlign w:val="baseline"/>
                      <w:lang w:val="en-US" w:eastAsia="zh-CN"/>
                    </w:rPr>
                  </w:pPr>
                  <w:r>
                    <w:rPr>
                      <w:rFonts w:hint="eastAsia"/>
                      <w:vertAlign w:val="baseline"/>
                      <w:lang w:val="en-US" w:eastAsia="zh-CN"/>
                    </w:rPr>
                    <w:drawing>
                      <wp:inline distT="0" distB="0" distL="114300" distR="114300">
                        <wp:extent cx="2582545" cy="1545590"/>
                        <wp:effectExtent l="0" t="0" r="8255" b="16510"/>
                        <wp:docPr id="144" name="图片 144" descr="f1d302a400468c424f6bfe88be07b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f1d302a400468c424f6bfe88be07be9"/>
                                <pic:cNvPicPr>
                                  <a:picLocks noChangeAspect="1"/>
                                </pic:cNvPicPr>
                              </pic:nvPicPr>
                              <pic:blipFill>
                                <a:blip r:embed="rId29"/>
                                <a:stretch>
                                  <a:fillRect/>
                                </a:stretch>
                              </pic:blipFill>
                              <pic:spPr>
                                <a:xfrm>
                                  <a:off x="0" y="0"/>
                                  <a:ext cx="2582545" cy="1545590"/>
                                </a:xfrm>
                                <a:prstGeom prst="rect">
                                  <a:avLst/>
                                </a:prstGeom>
                              </pic:spPr>
                            </pic:pic>
                          </a:graphicData>
                        </a:graphic>
                      </wp:inline>
                    </w:drawing>
                  </w:r>
                </w:p>
              </w:tc>
              <w:tc>
                <w:tcPr>
                  <w:tcW w:w="4295" w:type="dxa"/>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textAlignment w:val="auto"/>
                    <w:rPr>
                      <w:rFonts w:hint="eastAsia"/>
                      <w:vertAlign w:val="baseline"/>
                      <w:lang w:val="en-US" w:eastAsia="zh-CN"/>
                    </w:rPr>
                  </w:pPr>
                  <w:r>
                    <w:rPr>
                      <w:rFonts w:hint="eastAsia"/>
                      <w:vertAlign w:val="baseline"/>
                      <w:lang w:val="en-US" w:eastAsia="zh-CN"/>
                    </w:rPr>
                    <w:drawing>
                      <wp:inline distT="0" distB="0" distL="114300" distR="114300">
                        <wp:extent cx="2583180" cy="1548765"/>
                        <wp:effectExtent l="0" t="0" r="7620" b="13335"/>
                        <wp:docPr id="143" name="图片 143" descr="1a2ef76592046c0c43778f1c5472f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1a2ef76592046c0c43778f1c5472f4f"/>
                                <pic:cNvPicPr>
                                  <a:picLocks noChangeAspect="1"/>
                                </pic:cNvPicPr>
                              </pic:nvPicPr>
                              <pic:blipFill>
                                <a:blip r:embed="rId30"/>
                                <a:stretch>
                                  <a:fillRect/>
                                </a:stretch>
                              </pic:blipFill>
                              <pic:spPr>
                                <a:xfrm>
                                  <a:off x="0" y="0"/>
                                  <a:ext cx="2583180" cy="15487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5" w:type="dxa"/>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vertAlign w:val="baseline"/>
                      <w:lang w:val="en-US" w:eastAsia="zh-CN"/>
                    </w:rPr>
                  </w:pPr>
                  <w:r>
                    <w:rPr>
                      <w:rFonts w:hint="eastAsia"/>
                      <w:vertAlign w:val="baseline"/>
                      <w:lang w:val="en-US" w:eastAsia="zh-CN"/>
                    </w:rPr>
                    <w:t>厂区南侧出厂道路</w:t>
                  </w:r>
                </w:p>
              </w:tc>
              <w:tc>
                <w:tcPr>
                  <w:tcW w:w="4295" w:type="dxa"/>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vertAlign w:val="baseline"/>
                      <w:lang w:val="en-US" w:eastAsia="zh-CN"/>
                    </w:rPr>
                  </w:pPr>
                  <w:r>
                    <w:rPr>
                      <w:rFonts w:hint="eastAsia"/>
                      <w:vertAlign w:val="baseline"/>
                      <w:lang w:val="en-US" w:eastAsia="zh-CN"/>
                    </w:rPr>
                    <w:t>厂区南侧出厂道路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0" w:type="dxa"/>
                  <w:gridSpan w:val="2"/>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vertAlign w:val="baseline"/>
                      <w:lang w:val="en-US" w:eastAsia="zh-CN"/>
                    </w:rPr>
                  </w:pPr>
                  <w:r>
                    <w:drawing>
                      <wp:inline distT="0" distB="0" distL="114300" distR="114300">
                        <wp:extent cx="5314315" cy="3258820"/>
                        <wp:effectExtent l="0" t="0" r="635" b="17780"/>
                        <wp:docPr id="1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
                                <pic:cNvPicPr>
                                  <a:picLocks noChangeAspect="1"/>
                                </pic:cNvPicPr>
                              </pic:nvPicPr>
                              <pic:blipFill>
                                <a:blip r:embed="rId31"/>
                                <a:stretch>
                                  <a:fillRect/>
                                </a:stretch>
                              </pic:blipFill>
                              <pic:spPr>
                                <a:xfrm>
                                  <a:off x="0" y="0"/>
                                  <a:ext cx="5314315" cy="32588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0" w:type="dxa"/>
                  <w:gridSpan w:val="2"/>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lang w:val="en-US" w:eastAsia="zh-CN"/>
                    </w:rPr>
                  </w:pPr>
                  <w:r>
                    <w:rPr>
                      <w:rFonts w:hint="eastAsia"/>
                      <w:lang w:val="en-US" w:eastAsia="zh-CN"/>
                    </w:rPr>
                    <w:t>厂区南侧主出入口位置及运输路线</w:t>
                  </w:r>
                </w:p>
              </w:tc>
            </w:tr>
          </w:tbl>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3</w:t>
            </w:r>
            <w:r>
              <w:rPr>
                <w:rFonts w:hint="eastAsia" w:ascii="宋体" w:hAnsi="宋体" w:eastAsia="宋体" w:cs="宋体"/>
                <w:color w:val="000000"/>
                <w:kern w:val="0"/>
                <w:sz w:val="24"/>
                <w:szCs w:val="24"/>
                <w:u w:val="single"/>
                <w:lang w:val="en-US" w:eastAsia="zh-CN" w:bidi="ar"/>
              </w:rPr>
              <w:t xml:space="preserve">）运输污染防治措施 </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default" w:ascii="宋体" w:hAnsi="宋体" w:eastAsia="宋体" w:cs="宋体"/>
                <w:color w:val="000000"/>
                <w:kern w:val="0"/>
                <w:sz w:val="24"/>
                <w:szCs w:val="24"/>
                <w:u w:val="single"/>
                <w:lang w:val="en-US" w:eastAsia="zh-CN" w:bidi="ar"/>
              </w:rPr>
              <w:t>载重汽车运输过程中对道路沿线10m范围内声环境有一定影响，项目运输路线</w:t>
            </w:r>
            <w:r>
              <w:rPr>
                <w:rFonts w:hint="eastAsia" w:ascii="宋体" w:hAnsi="宋体" w:eastAsia="宋体" w:cs="宋体"/>
                <w:color w:val="000000"/>
                <w:kern w:val="0"/>
                <w:sz w:val="24"/>
                <w:szCs w:val="24"/>
                <w:u w:val="single"/>
                <w:lang w:val="en-US" w:eastAsia="zh-CN" w:bidi="ar"/>
              </w:rPr>
              <w:t>从厂区南侧村道进出，避开北侧居民集中区，道路两侧以农田为主，无声环境敏感点，</w:t>
            </w:r>
            <w:r>
              <w:rPr>
                <w:rFonts w:hint="default" w:ascii="宋体" w:hAnsi="宋体" w:eastAsia="宋体" w:cs="宋体"/>
                <w:color w:val="000000"/>
                <w:kern w:val="0"/>
                <w:sz w:val="24"/>
                <w:szCs w:val="24"/>
                <w:u w:val="single"/>
                <w:lang w:val="en-US" w:eastAsia="zh-CN" w:bidi="ar"/>
              </w:rPr>
              <w:t>项目在运输工程中应采取敏感点禁止鸣笛、加强车辆的保养、注意控制车速、昼间12:00至14:00及夜间禁止运输</w:t>
            </w:r>
            <w:r>
              <w:rPr>
                <w:rFonts w:hint="eastAsia" w:ascii="宋体" w:hAnsi="宋体" w:eastAsia="宋体" w:cs="宋体"/>
                <w:color w:val="000000"/>
                <w:kern w:val="0"/>
                <w:sz w:val="24"/>
                <w:szCs w:val="24"/>
                <w:u w:val="single"/>
                <w:lang w:val="en-US" w:eastAsia="zh-CN" w:bidi="ar"/>
              </w:rPr>
              <w:t>、运输车辆发动机吸声处理、增加进气消声装置</w:t>
            </w:r>
            <w:r>
              <w:rPr>
                <w:rFonts w:hint="default" w:ascii="宋体" w:hAnsi="宋体" w:eastAsia="宋体" w:cs="宋体"/>
                <w:color w:val="000000"/>
                <w:kern w:val="0"/>
                <w:sz w:val="24"/>
                <w:szCs w:val="24"/>
                <w:u w:val="single"/>
                <w:lang w:val="en-US" w:eastAsia="zh-CN" w:bidi="ar"/>
              </w:rPr>
              <w:t>等措施降低运输噪声影响。</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综上所述可知，本项目在物料运输过程中采取了抑尘，物料密闭，限载、限速、限时等措施后，运输扬尘和运输噪声对环境的影响较小。</w:t>
            </w:r>
          </w:p>
          <w:p>
            <w:pPr>
              <w:ind w:firstLine="482"/>
              <w:rPr>
                <w:b/>
                <w:bCs/>
                <w:u w:val="none"/>
              </w:rPr>
            </w:pPr>
            <w:r>
              <w:rPr>
                <w:rFonts w:hint="eastAsia"/>
                <w:b/>
                <w:bCs/>
                <w:u w:val="none"/>
                <w:lang w:val="en-US" w:eastAsia="zh-CN"/>
              </w:rPr>
              <w:t>7、</w:t>
            </w:r>
            <w:r>
              <w:rPr>
                <w:rFonts w:hint="eastAsia"/>
                <w:b/>
                <w:bCs/>
                <w:u w:val="none"/>
              </w:rPr>
              <w:t>环境风险</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、环境风险评价等级确定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分析建设项目生产使用储存过程中涉及的有毒有害、易燃易爆物质，参照《建设项目环境风险评价技术导则》（</w:t>
            </w:r>
            <w:r>
              <w:rPr>
                <w:rFonts w:hint="default" w:ascii="Times New Roman" w:hAnsi="Times New Roman" w:eastAsia="宋体" w:cs="Times New Roman"/>
                <w:color w:val="000000"/>
                <w:kern w:val="0"/>
                <w:sz w:val="24"/>
                <w:szCs w:val="24"/>
                <w:lang w:val="en-US" w:eastAsia="zh-CN" w:bidi="ar"/>
              </w:rPr>
              <w:t>HJ169-2018</w:t>
            </w:r>
            <w:r>
              <w:rPr>
                <w:rFonts w:hint="eastAsia" w:ascii="宋体" w:hAnsi="宋体" w:eastAsia="宋体" w:cs="宋体"/>
                <w:color w:val="000000"/>
                <w:kern w:val="0"/>
                <w:sz w:val="24"/>
                <w:szCs w:val="24"/>
                <w:lang w:val="en-US" w:eastAsia="zh-CN" w:bidi="ar"/>
              </w:rPr>
              <w:t xml:space="preserve">）附录 </w:t>
            </w:r>
            <w:r>
              <w:rPr>
                <w:rFonts w:hint="default" w:ascii="Times New Roman" w:hAnsi="Times New Roman" w:eastAsia="宋体" w:cs="Times New Roman"/>
                <w:color w:val="000000"/>
                <w:kern w:val="0"/>
                <w:sz w:val="24"/>
                <w:szCs w:val="24"/>
                <w:lang w:val="en-US" w:eastAsia="zh-CN" w:bidi="ar"/>
              </w:rPr>
              <w:t xml:space="preserve">B </w:t>
            </w:r>
            <w:r>
              <w:rPr>
                <w:rFonts w:hint="eastAsia" w:ascii="宋体" w:hAnsi="宋体" w:eastAsia="宋体" w:cs="宋体"/>
                <w:color w:val="000000"/>
                <w:kern w:val="0"/>
                <w:sz w:val="24"/>
                <w:szCs w:val="24"/>
                <w:lang w:val="en-US" w:eastAsia="zh-CN" w:bidi="ar"/>
              </w:rPr>
              <w:t>确定危险物质的临界量。定量分析危险物质数量与临界量的比值（</w:t>
            </w:r>
            <w:r>
              <w:rPr>
                <w:rFonts w:hint="default" w:ascii="Times New Roman" w:hAnsi="Times New Roman" w:eastAsia="宋体" w:cs="Times New Roman"/>
                <w:color w:val="000000"/>
                <w:kern w:val="0"/>
                <w:sz w:val="24"/>
                <w:szCs w:val="24"/>
                <w:lang w:val="en-US" w:eastAsia="zh-CN" w:bidi="ar"/>
              </w:rPr>
              <w:t>Q</w:t>
            </w:r>
            <w:r>
              <w:rPr>
                <w:rFonts w:hint="eastAsia" w:ascii="宋体" w:hAnsi="宋体" w:eastAsia="宋体" w:cs="宋体"/>
                <w:color w:val="000000"/>
                <w:kern w:val="0"/>
                <w:sz w:val="24"/>
                <w:szCs w:val="24"/>
                <w:lang w:val="en-US" w:eastAsia="zh-CN" w:bidi="ar"/>
              </w:rPr>
              <w:t>）和所属行业及生产特点（</w:t>
            </w:r>
            <w:r>
              <w:rPr>
                <w:rFonts w:hint="default" w:ascii="Times New Roman" w:hAnsi="Times New Roman" w:eastAsia="宋体" w:cs="Times New Roman"/>
                <w:color w:val="000000"/>
                <w:kern w:val="0"/>
                <w:sz w:val="24"/>
                <w:szCs w:val="24"/>
                <w:lang w:val="en-US" w:eastAsia="zh-CN" w:bidi="ar"/>
              </w:rPr>
              <w:t>M</w:t>
            </w:r>
            <w:r>
              <w:rPr>
                <w:rFonts w:hint="eastAsia" w:ascii="宋体" w:hAnsi="宋体" w:eastAsia="宋体" w:cs="宋体"/>
                <w:color w:val="000000"/>
                <w:kern w:val="0"/>
                <w:sz w:val="24"/>
                <w:szCs w:val="24"/>
                <w:lang w:val="en-US" w:eastAsia="zh-CN" w:bidi="ar"/>
              </w:rPr>
              <w:t xml:space="preserve">），按附录 </w:t>
            </w:r>
            <w:r>
              <w:rPr>
                <w:rFonts w:hint="default" w:ascii="Times New Roman" w:hAnsi="Times New Roman" w:eastAsia="宋体" w:cs="Times New Roman"/>
                <w:color w:val="000000"/>
                <w:kern w:val="0"/>
                <w:sz w:val="24"/>
                <w:szCs w:val="24"/>
                <w:lang w:val="en-US" w:eastAsia="zh-CN" w:bidi="ar"/>
              </w:rPr>
              <w:t xml:space="preserve">C </w:t>
            </w:r>
            <w:r>
              <w:rPr>
                <w:rFonts w:hint="eastAsia" w:ascii="宋体" w:hAnsi="宋体" w:eastAsia="宋体" w:cs="宋体"/>
                <w:color w:val="000000"/>
                <w:kern w:val="0"/>
                <w:sz w:val="24"/>
                <w:szCs w:val="24"/>
                <w:lang w:val="en-US" w:eastAsia="zh-CN" w:bidi="ar"/>
              </w:rPr>
              <w:t>对危险物质及工艺系统危险性（</w:t>
            </w:r>
            <w:r>
              <w:rPr>
                <w:rFonts w:hint="default" w:ascii="Times New Roman" w:hAnsi="Times New Roman" w:eastAsia="宋体" w:cs="Times New Roman"/>
                <w:color w:val="000000"/>
                <w:kern w:val="0"/>
                <w:sz w:val="24"/>
                <w:szCs w:val="24"/>
                <w:lang w:val="en-US" w:eastAsia="zh-CN" w:bidi="ar"/>
              </w:rPr>
              <w:t>P</w:t>
            </w:r>
            <w:r>
              <w:rPr>
                <w:rFonts w:hint="eastAsia" w:ascii="宋体" w:hAnsi="宋体" w:eastAsia="宋体" w:cs="宋体"/>
                <w:color w:val="000000"/>
                <w:kern w:val="0"/>
                <w:sz w:val="24"/>
                <w:szCs w:val="24"/>
                <w:lang w:val="en-US" w:eastAsia="zh-CN" w:bidi="ar"/>
              </w:rPr>
              <w:t>）等级进行判断。</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危险物质数量与临界量比值</w:t>
            </w:r>
            <w:r>
              <w:rPr>
                <w:rFonts w:hint="default" w:ascii="Times New Roman" w:hAnsi="Times New Roman" w:eastAsia="宋体" w:cs="Times New Roman"/>
                <w:color w:val="000000"/>
                <w:kern w:val="0"/>
                <w:sz w:val="24"/>
                <w:szCs w:val="24"/>
                <w:lang w:val="en-US" w:eastAsia="zh-CN" w:bidi="ar"/>
              </w:rPr>
              <w:t>Q</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对照《建设项目环境风险评价技术导则》（</w:t>
            </w:r>
            <w:r>
              <w:rPr>
                <w:rFonts w:hint="default" w:ascii="Times New Roman" w:hAnsi="Times New Roman" w:eastAsia="宋体" w:cs="Times New Roman"/>
                <w:color w:val="000000"/>
                <w:kern w:val="0"/>
                <w:sz w:val="24"/>
                <w:szCs w:val="24"/>
                <w:lang w:val="en-US" w:eastAsia="zh-CN" w:bidi="ar"/>
              </w:rPr>
              <w:t>HJ169-2018</w:t>
            </w:r>
            <w:r>
              <w:rPr>
                <w:rFonts w:hint="eastAsia" w:ascii="宋体" w:hAnsi="宋体" w:eastAsia="宋体" w:cs="宋体"/>
                <w:color w:val="000000"/>
                <w:kern w:val="0"/>
                <w:sz w:val="24"/>
                <w:szCs w:val="24"/>
                <w:lang w:val="en-US" w:eastAsia="zh-CN" w:bidi="ar"/>
              </w:rPr>
              <w:t xml:space="preserve">）附录 </w:t>
            </w:r>
            <w:r>
              <w:rPr>
                <w:rFonts w:hint="default" w:ascii="Times New Roman" w:hAnsi="Times New Roman" w:eastAsia="宋体" w:cs="Times New Roman"/>
                <w:color w:val="000000"/>
                <w:kern w:val="0"/>
                <w:sz w:val="24"/>
                <w:szCs w:val="24"/>
                <w:lang w:val="en-US" w:eastAsia="zh-CN" w:bidi="ar"/>
              </w:rPr>
              <w:t xml:space="preserve">B </w:t>
            </w:r>
            <w:r>
              <w:rPr>
                <w:rFonts w:hint="eastAsia" w:ascii="宋体" w:hAnsi="宋体" w:eastAsia="宋体" w:cs="宋体"/>
                <w:color w:val="000000"/>
                <w:kern w:val="0"/>
                <w:sz w:val="24"/>
                <w:szCs w:val="24"/>
                <w:lang w:val="en-US" w:eastAsia="zh-CN" w:bidi="ar"/>
              </w:rPr>
              <w:t>中列出的重大源，项目单元内储存多种物质按下式计算，按</w:t>
            </w:r>
            <w:r>
              <w:rPr>
                <w:rFonts w:hint="eastAsia" w:ascii="宋体" w:hAnsi="宋体" w:cs="宋体"/>
                <w:color w:val="000000"/>
                <w:kern w:val="0"/>
                <w:sz w:val="24"/>
                <w:szCs w:val="24"/>
                <w:lang w:val="en-US" w:eastAsia="zh-CN" w:bidi="ar"/>
              </w:rPr>
              <w:t>以下</w:t>
            </w:r>
            <w:r>
              <w:rPr>
                <w:rFonts w:hint="eastAsia" w:ascii="宋体" w:hAnsi="宋体" w:eastAsia="宋体" w:cs="宋体"/>
                <w:color w:val="000000"/>
                <w:kern w:val="0"/>
                <w:sz w:val="24"/>
                <w:szCs w:val="24"/>
                <w:lang w:val="en-US" w:eastAsia="zh-CN" w:bidi="ar"/>
              </w:rPr>
              <w:t>公式计算物质总量与临界量比值：</w:t>
            </w:r>
          </w:p>
          <w:p>
            <w:pPr>
              <w:ind w:firstLine="480"/>
            </w:pPr>
            <w:r>
              <w:drawing>
                <wp:inline distT="0" distB="0" distL="114300" distR="114300">
                  <wp:extent cx="1762125" cy="600075"/>
                  <wp:effectExtent l="0" t="0" r="9525" b="9525"/>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32"/>
                          <a:stretch>
                            <a:fillRect/>
                          </a:stretch>
                        </pic:blipFill>
                        <pic:spPr>
                          <a:xfrm>
                            <a:off x="0" y="0"/>
                            <a:ext cx="1762125" cy="600075"/>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式中：</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q</w:t>
            </w:r>
            <w:r>
              <w:rPr>
                <w:rFonts w:hint="default" w:ascii="Times New Roman" w:hAnsi="Times New Roman" w:eastAsia="宋体" w:cs="Times New Roman"/>
                <w:color w:val="000000"/>
                <w:kern w:val="0"/>
                <w:sz w:val="15"/>
                <w:szCs w:val="15"/>
                <w:lang w:val="en-US" w:eastAsia="zh-CN" w:bidi="ar"/>
              </w:rPr>
              <w:t>1</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q</w:t>
            </w:r>
            <w:r>
              <w:rPr>
                <w:rFonts w:hint="default" w:ascii="Times New Roman" w:hAnsi="Times New Roman" w:eastAsia="宋体" w:cs="Times New Roman"/>
                <w:color w:val="000000"/>
                <w:kern w:val="0"/>
                <w:sz w:val="15"/>
                <w:szCs w:val="15"/>
                <w:lang w:val="en-US" w:eastAsia="zh-CN" w:bidi="ar"/>
              </w:rPr>
              <w:t>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q</w:t>
            </w:r>
            <w:r>
              <w:rPr>
                <w:rFonts w:hint="default" w:ascii="Times New Roman" w:hAnsi="Times New Roman" w:eastAsia="宋体" w:cs="Times New Roman"/>
                <w:color w:val="000000"/>
                <w:kern w:val="0"/>
                <w:sz w:val="15"/>
                <w:szCs w:val="15"/>
                <w:lang w:val="en-US" w:eastAsia="zh-CN" w:bidi="ar"/>
              </w:rPr>
              <w:t>n</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每种危险物质实际存在量，</w:t>
            </w:r>
            <w:r>
              <w:rPr>
                <w:rFonts w:hint="default" w:ascii="Times New Roman" w:hAnsi="Times New Roman" w:eastAsia="宋体" w:cs="Times New Roman"/>
                <w:color w:val="000000"/>
                <w:kern w:val="0"/>
                <w:sz w:val="24"/>
                <w:szCs w:val="24"/>
                <w:lang w:val="en-US" w:eastAsia="zh-CN" w:bidi="ar"/>
              </w:rPr>
              <w:t>t</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Q</w:t>
            </w:r>
            <w:r>
              <w:rPr>
                <w:rFonts w:hint="default" w:ascii="Times New Roman" w:hAnsi="Times New Roman" w:eastAsia="宋体" w:cs="Times New Roman"/>
                <w:color w:val="000000"/>
                <w:kern w:val="0"/>
                <w:sz w:val="15"/>
                <w:szCs w:val="15"/>
                <w:lang w:val="en-US" w:eastAsia="zh-CN" w:bidi="ar"/>
              </w:rPr>
              <w:t>1</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Q</w:t>
            </w:r>
            <w:r>
              <w:rPr>
                <w:rFonts w:hint="default" w:ascii="Times New Roman" w:hAnsi="Times New Roman" w:eastAsia="宋体" w:cs="Times New Roman"/>
                <w:color w:val="000000"/>
                <w:kern w:val="0"/>
                <w:sz w:val="15"/>
                <w:szCs w:val="15"/>
                <w:lang w:val="en-US" w:eastAsia="zh-CN" w:bidi="ar"/>
              </w:rPr>
              <w:t>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Q</w:t>
            </w:r>
            <w:r>
              <w:rPr>
                <w:rFonts w:hint="default" w:ascii="Times New Roman" w:hAnsi="Times New Roman" w:eastAsia="宋体" w:cs="Times New Roman"/>
                <w:color w:val="000000"/>
                <w:kern w:val="0"/>
                <w:sz w:val="15"/>
                <w:szCs w:val="15"/>
                <w:lang w:val="en-US" w:eastAsia="zh-CN" w:bidi="ar"/>
              </w:rPr>
              <w:t>n</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与各危险物质相对应的生产场所或贮存区的临界量，</w:t>
            </w:r>
            <w:r>
              <w:rPr>
                <w:rFonts w:hint="default" w:ascii="Times New Roman" w:hAnsi="Times New Roman" w:eastAsia="宋体" w:cs="Times New Roman"/>
                <w:color w:val="000000"/>
                <w:kern w:val="0"/>
                <w:sz w:val="24"/>
                <w:szCs w:val="24"/>
                <w:lang w:val="en-US" w:eastAsia="zh-CN" w:bidi="ar"/>
              </w:rPr>
              <w:t>t</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根据项目原辅材料清单，</w:t>
            </w:r>
            <w:r>
              <w:rPr>
                <w:color w:val="auto"/>
                <w:sz w:val="24"/>
                <w:highlight w:val="none"/>
              </w:rPr>
              <w:t>本项目涉及的风险物质主要为</w:t>
            </w:r>
            <w:r>
              <w:rPr>
                <w:rFonts w:hint="eastAsia"/>
                <w:color w:val="auto"/>
                <w:sz w:val="24"/>
                <w:highlight w:val="none"/>
                <w:lang w:val="en-US" w:eastAsia="zh-CN"/>
              </w:rPr>
              <w:t>危险废物</w:t>
            </w:r>
            <w:r>
              <w:rPr>
                <w:rFonts w:hint="eastAsia" w:ascii="宋体" w:hAnsi="宋体" w:eastAsia="宋体" w:cs="宋体"/>
                <w:color w:val="000000"/>
                <w:kern w:val="0"/>
                <w:sz w:val="24"/>
                <w:szCs w:val="24"/>
                <w:lang w:val="en-US" w:eastAsia="zh-CN" w:bidi="ar"/>
              </w:rPr>
              <w:t>。</w:t>
            </w:r>
          </w:p>
          <w:p>
            <w:pPr>
              <w:pStyle w:val="2"/>
              <w:bidi w:val="0"/>
              <w:spacing w:beforeAutospacing="0" w:after="0" w:afterLines="0" w:afterAutospacing="0" w:line="360" w:lineRule="auto"/>
              <w:jc w:val="center"/>
              <w:rPr>
                <w:rFonts w:hint="eastAsia" w:ascii="Times New Roman" w:hAnsi="Times New Roman" w:eastAsia="宋体" w:cs="Times New Roman"/>
                <w:b/>
                <w:bCs/>
                <w:color w:val="auto"/>
                <w:sz w:val="24"/>
                <w:szCs w:val="28"/>
                <w:u w:val="none"/>
                <w:lang w:val="en-US" w:eastAsia="zh-CN"/>
              </w:rPr>
            </w:pPr>
            <w:r>
              <w:rPr>
                <w:rFonts w:hint="eastAsia" w:ascii="Times New Roman" w:hAnsi="Times New Roman" w:eastAsia="宋体" w:cs="Times New Roman"/>
                <w:b/>
                <w:bCs/>
                <w:color w:val="auto"/>
                <w:sz w:val="24"/>
                <w:szCs w:val="28"/>
                <w:u w:val="none"/>
                <w:lang w:val="en-US" w:eastAsia="zh-CN"/>
              </w:rPr>
              <w:t>表4-2</w:t>
            </w:r>
            <w:r>
              <w:rPr>
                <w:rFonts w:hint="eastAsia" w:cs="Times New Roman"/>
                <w:b/>
                <w:bCs/>
                <w:color w:val="auto"/>
                <w:sz w:val="24"/>
                <w:szCs w:val="28"/>
                <w:u w:val="none"/>
                <w:lang w:val="en-US" w:eastAsia="zh-CN"/>
              </w:rPr>
              <w:t>4</w:t>
            </w:r>
            <w:r>
              <w:rPr>
                <w:rFonts w:hint="eastAsia" w:ascii="Times New Roman" w:hAnsi="Times New Roman" w:eastAsia="宋体" w:cs="Times New Roman"/>
                <w:b/>
                <w:bCs/>
                <w:color w:val="auto"/>
                <w:sz w:val="24"/>
                <w:szCs w:val="28"/>
                <w:u w:val="none"/>
                <w:lang w:val="en-US" w:eastAsia="zh-CN"/>
              </w:rPr>
              <w:t xml:space="preserve"> 项目涉及的危险物质最大储存量及临界量</w:t>
            </w:r>
          </w:p>
          <w:tbl>
            <w:tblPr>
              <w:tblStyle w:val="24"/>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26"/>
              <w:gridCol w:w="1222"/>
              <w:gridCol w:w="1653"/>
              <w:gridCol w:w="2284"/>
              <w:gridCol w:w="1502"/>
              <w:gridCol w:w="11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423" w:type="pct"/>
                  <w:tcBorders>
                    <w:tl2br w:val="nil"/>
                    <w:tr2bl w:val="nil"/>
                  </w:tcBorders>
                  <w:noWrap w:val="0"/>
                  <w:vAlign w:val="center"/>
                </w:tcPr>
                <w:p>
                  <w:pPr>
                    <w:pStyle w:val="93"/>
                    <w:rPr>
                      <w:b/>
                      <w:bCs w:val="0"/>
                      <w:color w:val="auto"/>
                      <w:highlight w:val="none"/>
                      <w:u w:val="none"/>
                    </w:rPr>
                  </w:pPr>
                  <w:r>
                    <w:rPr>
                      <w:b/>
                      <w:bCs w:val="0"/>
                      <w:color w:val="auto"/>
                      <w:highlight w:val="none"/>
                      <w:u w:val="none"/>
                    </w:rPr>
                    <w:t>序号</w:t>
                  </w:r>
                </w:p>
              </w:tc>
              <w:tc>
                <w:tcPr>
                  <w:tcW w:w="713" w:type="pct"/>
                  <w:tcBorders>
                    <w:tl2br w:val="nil"/>
                    <w:tr2bl w:val="nil"/>
                  </w:tcBorders>
                  <w:noWrap w:val="0"/>
                  <w:vAlign w:val="center"/>
                </w:tcPr>
                <w:p>
                  <w:pPr>
                    <w:pStyle w:val="93"/>
                    <w:rPr>
                      <w:b/>
                      <w:bCs w:val="0"/>
                      <w:color w:val="auto"/>
                      <w:highlight w:val="none"/>
                      <w:u w:val="none"/>
                    </w:rPr>
                  </w:pPr>
                  <w:r>
                    <w:rPr>
                      <w:rFonts w:hint="eastAsia"/>
                      <w:b/>
                      <w:bCs w:val="0"/>
                      <w:color w:val="auto"/>
                      <w:highlight w:val="none"/>
                      <w:u w:val="none"/>
                    </w:rPr>
                    <w:t>功能单元</w:t>
                  </w:r>
                </w:p>
              </w:tc>
              <w:tc>
                <w:tcPr>
                  <w:tcW w:w="964" w:type="pct"/>
                  <w:tcBorders>
                    <w:tl2br w:val="nil"/>
                    <w:tr2bl w:val="nil"/>
                  </w:tcBorders>
                  <w:noWrap w:val="0"/>
                  <w:vAlign w:val="center"/>
                </w:tcPr>
                <w:p>
                  <w:pPr>
                    <w:pStyle w:val="93"/>
                    <w:rPr>
                      <w:b/>
                      <w:bCs w:val="0"/>
                      <w:color w:val="auto"/>
                      <w:highlight w:val="none"/>
                      <w:u w:val="none"/>
                    </w:rPr>
                  </w:pPr>
                  <w:r>
                    <w:rPr>
                      <w:rFonts w:hint="eastAsia"/>
                      <w:b/>
                      <w:bCs w:val="0"/>
                      <w:color w:val="auto"/>
                      <w:highlight w:val="none"/>
                      <w:u w:val="none"/>
                    </w:rPr>
                    <w:t>危险化学品</w:t>
                  </w:r>
                </w:p>
              </w:tc>
              <w:tc>
                <w:tcPr>
                  <w:tcW w:w="1333" w:type="pct"/>
                  <w:tcBorders>
                    <w:tl2br w:val="nil"/>
                    <w:tr2bl w:val="nil"/>
                  </w:tcBorders>
                  <w:noWrap w:val="0"/>
                  <w:vAlign w:val="center"/>
                </w:tcPr>
                <w:p>
                  <w:pPr>
                    <w:pStyle w:val="93"/>
                    <w:rPr>
                      <w:b/>
                      <w:bCs w:val="0"/>
                      <w:color w:val="auto"/>
                      <w:highlight w:val="none"/>
                      <w:u w:val="none"/>
                    </w:rPr>
                  </w:pPr>
                  <w:r>
                    <w:rPr>
                      <w:b/>
                      <w:bCs w:val="0"/>
                      <w:color w:val="auto"/>
                      <w:highlight w:val="none"/>
                      <w:u w:val="none"/>
                    </w:rPr>
                    <w:t>最大储存量（t）</w:t>
                  </w:r>
                </w:p>
              </w:tc>
              <w:tc>
                <w:tcPr>
                  <w:tcW w:w="876" w:type="pct"/>
                  <w:tcBorders>
                    <w:tl2br w:val="nil"/>
                    <w:tr2bl w:val="nil"/>
                  </w:tcBorders>
                  <w:noWrap w:val="0"/>
                  <w:vAlign w:val="center"/>
                </w:tcPr>
                <w:p>
                  <w:pPr>
                    <w:pStyle w:val="93"/>
                    <w:rPr>
                      <w:b/>
                      <w:bCs w:val="0"/>
                      <w:color w:val="auto"/>
                      <w:highlight w:val="none"/>
                      <w:u w:val="none"/>
                    </w:rPr>
                  </w:pPr>
                  <w:r>
                    <w:rPr>
                      <w:b/>
                      <w:bCs w:val="0"/>
                      <w:color w:val="auto"/>
                      <w:highlight w:val="none"/>
                      <w:u w:val="none"/>
                    </w:rPr>
                    <w:t>临界量（t）</w:t>
                  </w:r>
                </w:p>
              </w:tc>
              <w:tc>
                <w:tcPr>
                  <w:tcW w:w="688" w:type="pct"/>
                  <w:tcBorders>
                    <w:tl2br w:val="nil"/>
                    <w:tr2bl w:val="nil"/>
                  </w:tcBorders>
                  <w:noWrap w:val="0"/>
                  <w:vAlign w:val="center"/>
                </w:tcPr>
                <w:p>
                  <w:pPr>
                    <w:pStyle w:val="93"/>
                    <w:rPr>
                      <w:b/>
                      <w:bCs w:val="0"/>
                      <w:color w:val="auto"/>
                      <w:highlight w:val="none"/>
                      <w:u w:val="none"/>
                    </w:rPr>
                  </w:pPr>
                  <w:r>
                    <w:rPr>
                      <w:b/>
                      <w:bCs w:val="0"/>
                      <w:color w:val="auto"/>
                      <w:highlight w:val="none"/>
                      <w:u w:val="none"/>
                    </w:rPr>
                    <w:t>q/Q</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jc w:val="center"/>
              </w:trPr>
              <w:tc>
                <w:tcPr>
                  <w:tcW w:w="423" w:type="pct"/>
                  <w:tcBorders>
                    <w:tl2br w:val="nil"/>
                    <w:tr2bl w:val="nil"/>
                  </w:tcBorders>
                  <w:noWrap w:val="0"/>
                  <w:vAlign w:val="center"/>
                </w:tcPr>
                <w:p>
                  <w:pPr>
                    <w:pStyle w:val="93"/>
                    <w:jc w:val="center"/>
                    <w:rPr>
                      <w:rFonts w:hint="default" w:ascii="Times New Roman" w:hAnsi="Times New Roman" w:eastAsia="宋体" w:cs="Times New Roman"/>
                      <w:color w:val="auto"/>
                      <w:highlight w:val="none"/>
                      <w:u w:val="none"/>
                      <w:lang w:val="en-US" w:eastAsia="zh-CN"/>
                    </w:rPr>
                  </w:pPr>
                  <w:r>
                    <w:rPr>
                      <w:rFonts w:hint="eastAsia" w:eastAsia="宋体" w:cs="Times New Roman"/>
                      <w:color w:val="auto"/>
                      <w:highlight w:val="none"/>
                      <w:u w:val="none"/>
                      <w:lang w:val="en-US" w:eastAsia="zh-CN"/>
                    </w:rPr>
                    <w:t>1</w:t>
                  </w:r>
                </w:p>
              </w:tc>
              <w:tc>
                <w:tcPr>
                  <w:tcW w:w="713" w:type="pct"/>
                  <w:tcBorders>
                    <w:tl2br w:val="nil"/>
                    <w:tr2bl w:val="nil"/>
                  </w:tcBorders>
                  <w:noWrap w:val="0"/>
                  <w:vAlign w:val="center"/>
                </w:tcPr>
                <w:p>
                  <w:pPr>
                    <w:pStyle w:val="93"/>
                    <w:jc w:val="center"/>
                    <w:rPr>
                      <w:rFonts w:hint="default"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危废暂存间</w:t>
                  </w:r>
                </w:p>
              </w:tc>
              <w:tc>
                <w:tcPr>
                  <w:tcW w:w="964" w:type="pct"/>
                  <w:tcBorders>
                    <w:tl2br w:val="nil"/>
                    <w:tr2bl w:val="nil"/>
                  </w:tcBorders>
                  <w:noWrap w:val="0"/>
                  <w:vAlign w:val="center"/>
                </w:tcPr>
                <w:p>
                  <w:pPr>
                    <w:pStyle w:val="93"/>
                    <w:jc w:val="center"/>
                    <w:rPr>
                      <w:rFonts w:hint="default"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废机油</w:t>
                  </w:r>
                  <w:r>
                    <w:rPr>
                      <w:rFonts w:hint="eastAsia" w:eastAsia="宋体" w:cs="Times New Roman"/>
                      <w:color w:val="auto"/>
                      <w:highlight w:val="none"/>
                      <w:u w:val="none"/>
                      <w:lang w:val="en-US" w:eastAsia="zh-CN"/>
                    </w:rPr>
                    <w:t>、含油抹布和手套</w:t>
                  </w:r>
                </w:p>
              </w:tc>
              <w:tc>
                <w:tcPr>
                  <w:tcW w:w="1333" w:type="pct"/>
                  <w:tcBorders>
                    <w:tl2br w:val="nil"/>
                    <w:tr2bl w:val="nil"/>
                  </w:tcBorders>
                  <w:noWrap w:val="0"/>
                  <w:vAlign w:val="center"/>
                </w:tcPr>
                <w:p>
                  <w:pPr>
                    <w:pStyle w:val="93"/>
                    <w:jc w:val="center"/>
                    <w:rPr>
                      <w:rFonts w:hint="default"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0.01</w:t>
                  </w:r>
                  <w:r>
                    <w:rPr>
                      <w:rFonts w:hint="eastAsia" w:eastAsia="宋体" w:cs="Times New Roman"/>
                      <w:color w:val="auto"/>
                      <w:highlight w:val="none"/>
                      <w:u w:val="none"/>
                      <w:lang w:val="en-US" w:eastAsia="zh-CN"/>
                    </w:rPr>
                    <w:t>1</w:t>
                  </w:r>
                </w:p>
              </w:tc>
              <w:tc>
                <w:tcPr>
                  <w:tcW w:w="876" w:type="pct"/>
                  <w:tcBorders>
                    <w:tl2br w:val="nil"/>
                    <w:tr2bl w:val="nil"/>
                  </w:tcBorders>
                  <w:noWrap w:val="0"/>
                  <w:vAlign w:val="center"/>
                </w:tcPr>
                <w:p>
                  <w:pPr>
                    <w:pStyle w:val="93"/>
                    <w:jc w:val="center"/>
                    <w:rPr>
                      <w:rFonts w:hint="default"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2500</w:t>
                  </w:r>
                </w:p>
              </w:tc>
              <w:tc>
                <w:tcPr>
                  <w:tcW w:w="688" w:type="pct"/>
                  <w:tcBorders>
                    <w:tl2br w:val="nil"/>
                    <w:tr2bl w:val="nil"/>
                  </w:tcBorders>
                  <w:noWrap w:val="0"/>
                  <w:vAlign w:val="center"/>
                </w:tcPr>
                <w:p>
                  <w:pPr>
                    <w:pStyle w:val="93"/>
                    <w:jc w:val="center"/>
                    <w:rPr>
                      <w:rFonts w:hint="default"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0.000004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0" w:hRule="atLeast"/>
                <w:jc w:val="center"/>
              </w:trPr>
              <w:tc>
                <w:tcPr>
                  <w:tcW w:w="4311" w:type="pct"/>
                  <w:gridSpan w:val="5"/>
                  <w:tcBorders>
                    <w:tl2br w:val="nil"/>
                    <w:tr2bl w:val="nil"/>
                  </w:tcBorders>
                  <w:noWrap w:val="0"/>
                  <w:vAlign w:val="center"/>
                </w:tcPr>
                <w:p>
                  <w:pPr>
                    <w:pStyle w:val="93"/>
                    <w:rPr>
                      <w:color w:val="auto"/>
                      <w:highlight w:val="none"/>
                      <w:u w:val="none"/>
                    </w:rPr>
                  </w:pPr>
                  <w:r>
                    <w:rPr>
                      <w:color w:val="auto"/>
                      <w:highlight w:val="none"/>
                      <w:u w:val="none"/>
                    </w:rPr>
                    <w:t>总计（Σqn/Qn）</w:t>
                  </w:r>
                </w:p>
              </w:tc>
              <w:tc>
                <w:tcPr>
                  <w:tcW w:w="688" w:type="pct"/>
                  <w:tcBorders>
                    <w:tl2br w:val="nil"/>
                    <w:tr2bl w:val="nil"/>
                  </w:tcBorders>
                  <w:noWrap w:val="0"/>
                  <w:vAlign w:val="center"/>
                </w:tcPr>
                <w:p>
                  <w:pPr>
                    <w:pStyle w:val="93"/>
                    <w:rPr>
                      <w:rFonts w:hint="default" w:eastAsia="宋体"/>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0.000004</w:t>
                  </w:r>
                </w:p>
              </w:tc>
            </w:tr>
          </w:tbl>
          <w:p>
            <w:pPr>
              <w:pStyle w:val="95"/>
            </w:pPr>
            <w:r>
              <w:rPr>
                <w:bCs/>
                <w:color w:val="auto"/>
                <w:highlight w:val="none"/>
                <w:u w:val="none"/>
              </w:rPr>
              <w:t>根据上表结果计算，本项目</w:t>
            </w:r>
            <w:r>
              <w:rPr>
                <w:rFonts w:hint="eastAsia"/>
                <w:bCs/>
                <w:color w:val="auto"/>
                <w:highlight w:val="none"/>
                <w:u w:val="none"/>
              </w:rPr>
              <w:t>危险物质数量与临界量比值</w:t>
            </w:r>
            <w:r>
              <w:rPr>
                <w:bCs/>
                <w:color w:val="auto"/>
                <w:highlight w:val="none"/>
                <w:u w:val="none"/>
              </w:rPr>
              <w:t>Q</w:t>
            </w:r>
            <w:r>
              <w:rPr>
                <w:rFonts w:hint="eastAsia"/>
                <w:bCs/>
                <w:color w:val="auto"/>
                <w:highlight w:val="none"/>
                <w:u w:val="none"/>
              </w:rPr>
              <w:t>=</w:t>
            </w:r>
            <w:r>
              <w:rPr>
                <w:rFonts w:hint="eastAsia" w:ascii="Times New Roman" w:hAnsi="Times New Roman" w:eastAsia="宋体" w:cs="Times New Roman"/>
                <w:color w:val="auto"/>
                <w:highlight w:val="none"/>
                <w:u w:val="none"/>
                <w:lang w:val="en-US" w:eastAsia="zh-CN"/>
              </w:rPr>
              <w:t>0.000004</w:t>
            </w:r>
            <w:r>
              <w:rPr>
                <w:bCs/>
                <w:color w:val="auto"/>
                <w:highlight w:val="none"/>
                <w:u w:val="none"/>
              </w:rPr>
              <w:t>＜1。</w:t>
            </w:r>
            <w:r>
              <w:rPr>
                <w:rFonts w:hint="eastAsia" w:hAnsi="宋体"/>
                <w:color w:val="auto"/>
                <w:kern w:val="0"/>
                <w:highlight w:val="none"/>
                <w:u w:val="none"/>
              </w:rPr>
              <w:t>因此，</w:t>
            </w:r>
            <w:r>
              <w:rPr>
                <w:bCs/>
                <w:color w:val="auto"/>
                <w:highlight w:val="none"/>
                <w:u w:val="none"/>
              </w:rPr>
              <w:t>建设项目环境风险潜势</w:t>
            </w:r>
            <w:r>
              <w:rPr>
                <w:rFonts w:hint="eastAsia"/>
                <w:bCs/>
                <w:color w:val="auto"/>
                <w:highlight w:val="none"/>
                <w:u w:val="none"/>
              </w:rPr>
              <w:t>为I</w:t>
            </w:r>
            <w:r>
              <w:rPr>
                <w:rFonts w:hint="eastAsia" w:ascii="宋体" w:hAnsi="宋体" w:eastAsia="宋体" w:cs="宋体"/>
                <w:color w:val="000000"/>
                <w:kern w:val="0"/>
                <w:sz w:val="24"/>
                <w:szCs w:val="24"/>
                <w:lang w:val="en-US" w:eastAsia="zh-CN" w:bidi="ar"/>
              </w:rPr>
              <w:t>，仅需要进行简要分析。</w:t>
            </w:r>
          </w:p>
          <w:p>
            <w:pPr>
              <w:keepNext w:val="0"/>
              <w:keepLines w:val="0"/>
              <w:widowControl/>
              <w:suppressLineNumbers w:val="0"/>
              <w:jc w:val="left"/>
            </w:pPr>
            <w:r>
              <w:rPr>
                <w:rFonts w:hint="eastAsia"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、环境风险识别 </w:t>
            </w:r>
          </w:p>
          <w:p>
            <w:pPr>
              <w:keepNext w:val="0"/>
              <w:keepLines w:val="0"/>
              <w:widowControl/>
              <w:suppressLineNumbers w:val="0"/>
              <w:jc w:val="left"/>
            </w:pPr>
            <w:r>
              <w:rPr>
                <w:rFonts w:hint="eastAsia" w:ascii="宋体" w:hAnsi="宋体" w:eastAsia="宋体" w:cs="宋体"/>
                <w:color w:val="auto"/>
                <w:kern w:val="0"/>
                <w:sz w:val="24"/>
                <w:highlight w:val="none"/>
                <w:lang w:bidi="ar"/>
              </w:rPr>
              <w:t>原料库</w:t>
            </w:r>
            <w:r>
              <w:rPr>
                <w:rFonts w:hint="eastAsia" w:ascii="宋体" w:hAnsi="宋体" w:eastAsia="宋体" w:cs="宋体"/>
                <w:color w:val="auto"/>
                <w:kern w:val="0"/>
                <w:sz w:val="24"/>
                <w:highlight w:val="none"/>
                <w:lang w:eastAsia="zh-CN" w:bidi="ar"/>
              </w:rPr>
              <w:t>、</w:t>
            </w:r>
            <w:r>
              <w:rPr>
                <w:rFonts w:hint="eastAsia" w:ascii="宋体" w:hAnsi="宋体" w:eastAsia="宋体" w:cs="宋体"/>
                <w:color w:val="auto"/>
                <w:kern w:val="0"/>
                <w:sz w:val="24"/>
                <w:highlight w:val="none"/>
                <w:lang w:val="en-US" w:eastAsia="zh-CN" w:bidi="ar"/>
              </w:rPr>
              <w:t>危废间</w:t>
            </w:r>
            <w:r>
              <w:rPr>
                <w:rFonts w:hint="eastAsia" w:ascii="宋体" w:hAnsi="宋体" w:eastAsia="宋体" w:cs="宋体"/>
                <w:color w:val="auto"/>
                <w:kern w:val="0"/>
                <w:sz w:val="24"/>
                <w:highlight w:val="none"/>
                <w:lang w:bidi="ar"/>
              </w:rPr>
              <w:t>内堆放着易燃物品，因天气原因或人工操作不当引发着火点，造成火灾事件时，其燃烧产生的废气将会污染周边环境。</w:t>
            </w:r>
            <w:r>
              <w:rPr>
                <w:rFonts w:hint="eastAsia" w:ascii="宋体" w:hAnsi="宋体" w:eastAsia="宋体" w:cs="宋体"/>
                <w:color w:val="auto"/>
                <w:kern w:val="0"/>
                <w:sz w:val="24"/>
                <w:highlight w:val="none"/>
                <w:lang w:val="en-US" w:eastAsia="zh-CN" w:bidi="ar"/>
              </w:rPr>
              <w:t>生物质燃料、机油等易燃物质导致火灾次生的环境风险</w:t>
            </w:r>
            <w:r>
              <w:rPr>
                <w:rFonts w:hint="eastAsia" w:ascii="宋体" w:hAnsi="宋体" w:eastAsia="宋体" w:cs="宋体"/>
                <w:color w:val="auto"/>
                <w:kern w:val="0"/>
                <w:sz w:val="24"/>
                <w:highlight w:val="none"/>
                <w:lang w:bidi="ar"/>
              </w:rPr>
              <w:t>。</w:t>
            </w:r>
          </w:p>
          <w:p>
            <w:pPr>
              <w:keepNext w:val="0"/>
              <w:keepLines w:val="0"/>
              <w:widowControl/>
              <w:suppressLineNumbers w:val="0"/>
              <w:jc w:val="left"/>
            </w:pPr>
            <w:r>
              <w:rPr>
                <w:rFonts w:hint="eastAsia"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、突发事故产生的环境影响及应急处理措施</w:t>
            </w:r>
          </w:p>
          <w:p>
            <w:pPr>
              <w:widowControl/>
              <w:spacing w:line="360" w:lineRule="auto"/>
              <w:ind w:firstLine="480" w:firstLineChars="200"/>
              <w:jc w:val="left"/>
              <w:rPr>
                <w:rFonts w:hint="eastAsia" w:ascii="宋体" w:hAnsi="宋体" w:eastAsia="宋体" w:cs="宋体"/>
                <w:color w:val="auto"/>
                <w:kern w:val="0"/>
                <w:sz w:val="24"/>
                <w:highlight w:val="none"/>
                <w:lang w:bidi="ar"/>
              </w:rPr>
            </w:pPr>
            <w:r>
              <w:rPr>
                <w:rFonts w:hint="eastAsia" w:ascii="宋体" w:hAnsi="宋体" w:eastAsia="宋体" w:cs="宋体"/>
                <w:color w:val="auto"/>
                <w:kern w:val="0"/>
                <w:sz w:val="24"/>
                <w:highlight w:val="none"/>
                <w:lang w:val="en-US" w:eastAsia="zh-CN" w:bidi="ar"/>
              </w:rPr>
              <w:t>①</w:t>
            </w:r>
            <w:r>
              <w:rPr>
                <w:rFonts w:hint="eastAsia" w:ascii="宋体" w:hAnsi="宋体" w:eastAsia="宋体" w:cs="宋体"/>
                <w:color w:val="auto"/>
                <w:kern w:val="0"/>
                <w:sz w:val="24"/>
                <w:highlight w:val="none"/>
                <w:lang w:bidi="ar"/>
              </w:rPr>
              <w:t>定期对操作人员进行安全生产与安全知识培训，并制定严格的安全操作规程，切实加强生产过程中的温度控制，保证劳动安全，防止意外事故的发生。</w:t>
            </w:r>
          </w:p>
          <w:p>
            <w:pPr>
              <w:widowControl/>
              <w:spacing w:line="360" w:lineRule="auto"/>
              <w:ind w:firstLine="480" w:firstLineChars="200"/>
              <w:jc w:val="left"/>
              <w:rPr>
                <w:rFonts w:hint="eastAsia" w:ascii="宋体" w:hAnsi="宋体" w:eastAsia="宋体" w:cs="宋体"/>
                <w:color w:val="auto"/>
                <w:kern w:val="0"/>
                <w:sz w:val="24"/>
                <w:highlight w:val="none"/>
                <w:lang w:bidi="ar"/>
              </w:rPr>
            </w:pPr>
            <w:r>
              <w:rPr>
                <w:rFonts w:hint="eastAsia" w:ascii="宋体" w:hAnsi="宋体" w:eastAsia="宋体" w:cs="宋体"/>
                <w:color w:val="auto"/>
                <w:kern w:val="0"/>
                <w:sz w:val="24"/>
                <w:highlight w:val="none"/>
                <w:lang w:val="en-US" w:eastAsia="zh-CN" w:bidi="ar"/>
              </w:rPr>
              <w:t>②</w:t>
            </w:r>
            <w:r>
              <w:rPr>
                <w:rFonts w:hint="eastAsia" w:ascii="宋体" w:hAnsi="宋体" w:eastAsia="宋体" w:cs="宋体"/>
                <w:color w:val="auto"/>
                <w:kern w:val="0"/>
                <w:sz w:val="24"/>
                <w:highlight w:val="none"/>
                <w:lang w:bidi="ar"/>
              </w:rPr>
              <w:t>进一步加强职工的岗位操作培训，提高职工的安全意识和风险防范能力，规范操作，将安全隐患降到最低。</w:t>
            </w:r>
          </w:p>
          <w:p>
            <w:pPr>
              <w:widowControl/>
              <w:spacing w:line="360" w:lineRule="auto"/>
              <w:ind w:firstLine="480" w:firstLineChars="200"/>
              <w:jc w:val="left"/>
              <w:rPr>
                <w:rFonts w:hint="default" w:ascii="宋体" w:hAnsi="宋体" w:eastAsia="宋体" w:cs="宋体"/>
                <w:color w:val="auto"/>
                <w:kern w:val="0"/>
                <w:sz w:val="24"/>
                <w:highlight w:val="none"/>
                <w:lang w:eastAsia="zh-CN" w:bidi="ar"/>
              </w:rPr>
            </w:pPr>
            <w:r>
              <w:rPr>
                <w:rFonts w:hint="eastAsia" w:ascii="宋体" w:hAnsi="宋体" w:eastAsia="宋体" w:cs="宋体"/>
                <w:color w:val="auto"/>
                <w:kern w:val="0"/>
                <w:sz w:val="24"/>
                <w:highlight w:val="none"/>
                <w:lang w:val="en-US" w:eastAsia="zh-CN" w:bidi="ar"/>
              </w:rPr>
              <w:t>③</w:t>
            </w:r>
            <w:r>
              <w:rPr>
                <w:rFonts w:hint="default" w:ascii="宋体" w:hAnsi="宋体" w:eastAsia="宋体" w:cs="宋体"/>
                <w:color w:val="auto"/>
                <w:kern w:val="0"/>
                <w:sz w:val="24"/>
                <w:highlight w:val="none"/>
                <w:lang w:eastAsia="zh-CN" w:bidi="ar"/>
              </w:rPr>
              <w:t>操作人员必须经过专门培训，严格遵守操作规程，熟练掌握操作技能，具备应急处置知识。</w:t>
            </w:r>
          </w:p>
          <w:p>
            <w:pPr>
              <w:adjustRightInd w:val="0"/>
              <w:snapToGrid w:val="0"/>
              <w:spacing w:line="360" w:lineRule="auto"/>
              <w:ind w:firstLine="480" w:firstLineChars="200"/>
              <w:rPr>
                <w:color w:val="auto"/>
                <w:sz w:val="24"/>
              </w:rPr>
            </w:pPr>
            <w:r>
              <w:rPr>
                <w:rFonts w:hint="eastAsia"/>
                <w:color w:val="auto"/>
                <w:sz w:val="24"/>
                <w:lang w:eastAsia="zh-CN"/>
              </w:rPr>
              <w:t>④</w:t>
            </w:r>
            <w:r>
              <w:rPr>
                <w:color w:val="auto"/>
                <w:sz w:val="24"/>
              </w:rPr>
              <w:t>加强事故苗头监控，定期巡检、调节、保养、维修，及时发现有可能引起事故的异常运行苗头，消除事故隐；</w:t>
            </w:r>
          </w:p>
          <w:p>
            <w:pPr>
              <w:adjustRightInd w:val="0"/>
              <w:snapToGrid w:val="0"/>
              <w:spacing w:line="360" w:lineRule="auto"/>
              <w:ind w:firstLine="480" w:firstLineChars="200"/>
              <w:rPr>
                <w:color w:val="auto"/>
                <w:sz w:val="24"/>
              </w:rPr>
            </w:pPr>
            <w:r>
              <w:rPr>
                <w:rFonts w:hint="eastAsia"/>
                <w:color w:val="auto"/>
                <w:sz w:val="24"/>
                <w:lang w:eastAsia="zh-CN"/>
              </w:rPr>
              <w:t>⑤</w:t>
            </w:r>
            <w:r>
              <w:rPr>
                <w:color w:val="auto"/>
                <w:sz w:val="24"/>
              </w:rPr>
              <w:t>建立安全操作规程，在平时严格按规程办事，定期对</w:t>
            </w:r>
            <w:r>
              <w:rPr>
                <w:rFonts w:hint="eastAsia"/>
                <w:color w:val="auto"/>
                <w:sz w:val="24"/>
              </w:rPr>
              <w:t>厂区</w:t>
            </w:r>
            <w:r>
              <w:rPr>
                <w:color w:val="auto"/>
                <w:sz w:val="24"/>
              </w:rPr>
              <w:t>人员的</w:t>
            </w:r>
            <w:r>
              <w:rPr>
                <w:rFonts w:hint="eastAsia"/>
                <w:color w:val="auto"/>
                <w:sz w:val="24"/>
              </w:rPr>
              <w:t>安全知识</w:t>
            </w:r>
            <w:r>
              <w:rPr>
                <w:color w:val="auto"/>
                <w:sz w:val="24"/>
              </w:rPr>
              <w:t>进行培训和检查</w:t>
            </w:r>
            <w:r>
              <w:rPr>
                <w:rFonts w:hint="eastAsia"/>
                <w:color w:val="auto"/>
                <w:sz w:val="24"/>
              </w:rPr>
              <w:t>。</w:t>
            </w:r>
          </w:p>
          <w:p>
            <w:pPr>
              <w:widowControl/>
              <w:spacing w:line="360" w:lineRule="auto"/>
              <w:ind w:firstLine="480" w:firstLineChars="200"/>
              <w:jc w:val="left"/>
            </w:pPr>
            <w:r>
              <w:rPr>
                <w:rFonts w:hint="eastAsia" w:ascii="宋体" w:hAnsi="宋体" w:cs="宋体"/>
                <w:color w:val="auto"/>
                <w:kern w:val="0"/>
                <w:sz w:val="24"/>
                <w:highlight w:val="none"/>
                <w:lang w:val="en-US" w:eastAsia="zh-CN" w:bidi="ar"/>
              </w:rPr>
              <w:t>⑥编制突发环境事件应急预案。</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综上，建设单位做好防范措施，建立健全突发环境事故应急组织机构，以便采取更有效的措施来监测灾情及防止污染事故的进一步扩散。在采取以上措施的情况下，本项目风险事故发生概率很低，环境风险在可接受范围内。 </w:t>
            </w:r>
          </w:p>
          <w:p>
            <w:pPr>
              <w:keepNext w:val="0"/>
              <w:keepLines w:val="0"/>
              <w:widowControl/>
              <w:suppressLineNumbers w:val="0"/>
              <w:jc w:val="left"/>
            </w:pPr>
            <w:r>
              <w:rPr>
                <w:rFonts w:hint="eastAsia"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、分析结论</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项目运营过程中必须严格执行国家的技术规范和操作规程要求，落实各项预防措施。在认真落实工程拟采取的事故对策后，工程的事故对周围影响处于可接受水平。</w:t>
            </w:r>
          </w:p>
          <w:p>
            <w:pPr>
              <w:pStyle w:val="84"/>
              <w:rPr>
                <w:b/>
                <w:color w:val="auto"/>
                <w:highlight w:val="none"/>
                <w:u w:val="none" w:color="auto"/>
              </w:rPr>
            </w:pPr>
            <w:r>
              <w:rPr>
                <w:b/>
                <w:color w:val="auto"/>
                <w:highlight w:val="none"/>
                <w:u w:val="none" w:color="auto"/>
              </w:rPr>
              <w:t>表</w:t>
            </w:r>
            <w:r>
              <w:rPr>
                <w:rFonts w:hint="eastAsia"/>
                <w:b/>
                <w:color w:val="auto"/>
                <w:highlight w:val="none"/>
                <w:u w:val="none" w:color="auto"/>
                <w:lang w:val="en-US" w:eastAsia="zh-CN"/>
              </w:rPr>
              <w:t xml:space="preserve">4-25  </w:t>
            </w:r>
            <w:r>
              <w:rPr>
                <w:b/>
                <w:color w:val="auto"/>
                <w:highlight w:val="none"/>
                <w:u w:val="none" w:color="auto"/>
              </w:rPr>
              <w:t>建设项目环境风险简单分析内容表</w:t>
            </w:r>
          </w:p>
          <w:tbl>
            <w:tblPr>
              <w:tblStyle w:val="24"/>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1956"/>
              <w:gridCol w:w="2135"/>
              <w:gridCol w:w="944"/>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u w:val="none" w:color="auto"/>
                      <w:lang w:bidi="ar"/>
                    </w:rPr>
                  </w:pPr>
                  <w:r>
                    <w:rPr>
                      <w:rFonts w:hint="default" w:ascii="Times New Roman" w:hAnsi="Times New Roman" w:eastAsia="宋体" w:cs="Times New Roman"/>
                      <w:color w:val="auto"/>
                      <w:kern w:val="0"/>
                      <w:sz w:val="18"/>
                      <w:szCs w:val="18"/>
                      <w:highlight w:val="none"/>
                      <w:u w:val="none" w:color="auto"/>
                      <w:lang w:bidi="ar"/>
                    </w:rPr>
                    <w:t>建设项目名称</w:t>
                  </w:r>
                </w:p>
              </w:tc>
              <w:tc>
                <w:tcPr>
                  <w:tcW w:w="4030" w:type="pct"/>
                  <w:gridSpan w:val="4"/>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u w:val="none" w:color="auto"/>
                      <w:lang w:bidi="ar"/>
                    </w:rPr>
                  </w:pPr>
                  <w:r>
                    <w:rPr>
                      <w:rFonts w:hint="eastAsia" w:ascii="Times New Roman" w:hAnsi="Times New Roman" w:eastAsia="宋体" w:cs="Times New Roman"/>
                      <w:color w:val="auto"/>
                      <w:kern w:val="0"/>
                      <w:sz w:val="18"/>
                      <w:szCs w:val="18"/>
                      <w:highlight w:val="none"/>
                      <w:u w:val="none" w:color="auto"/>
                      <w:lang w:eastAsia="zh-CN" w:bidi="ar"/>
                    </w:rPr>
                    <w:t>湘阴县食用菌产业融合示范区建设项目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u w:val="none" w:color="auto"/>
                      <w:lang w:bidi="ar"/>
                    </w:rPr>
                  </w:pPr>
                  <w:r>
                    <w:rPr>
                      <w:rFonts w:hint="default" w:ascii="Times New Roman" w:hAnsi="Times New Roman" w:eastAsia="宋体" w:cs="Times New Roman"/>
                      <w:color w:val="auto"/>
                      <w:kern w:val="0"/>
                      <w:sz w:val="18"/>
                      <w:szCs w:val="18"/>
                      <w:highlight w:val="none"/>
                      <w:u w:val="none" w:color="auto"/>
                      <w:lang w:bidi="ar"/>
                    </w:rPr>
                    <w:t>建设地点</w:t>
                  </w:r>
                </w:p>
              </w:tc>
              <w:tc>
                <w:tcPr>
                  <w:tcW w:w="1141"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u w:val="none" w:color="auto"/>
                      <w:lang w:bidi="ar"/>
                    </w:rPr>
                  </w:pPr>
                  <w:r>
                    <w:rPr>
                      <w:rFonts w:hint="default" w:ascii="Times New Roman" w:hAnsi="Times New Roman" w:eastAsia="宋体" w:cs="Times New Roman"/>
                      <w:color w:val="auto"/>
                      <w:kern w:val="0"/>
                      <w:sz w:val="18"/>
                      <w:szCs w:val="18"/>
                      <w:highlight w:val="none"/>
                      <w:u w:val="none" w:color="auto"/>
                      <w:lang w:bidi="ar"/>
                    </w:rPr>
                    <w:t>湖南省</w:t>
                  </w:r>
                </w:p>
              </w:tc>
              <w:tc>
                <w:tcPr>
                  <w:tcW w:w="1246"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u w:val="none" w:color="auto"/>
                      <w:lang w:eastAsia="zh-CN" w:bidi="ar"/>
                    </w:rPr>
                  </w:pPr>
                  <w:r>
                    <w:rPr>
                      <w:rFonts w:hint="default" w:ascii="Times New Roman" w:hAnsi="Times New Roman" w:eastAsia="宋体" w:cs="Times New Roman"/>
                      <w:color w:val="auto"/>
                      <w:kern w:val="0"/>
                      <w:sz w:val="18"/>
                      <w:szCs w:val="18"/>
                      <w:highlight w:val="none"/>
                      <w:u w:val="none" w:color="auto"/>
                      <w:lang w:eastAsia="zh-CN" w:bidi="ar"/>
                    </w:rPr>
                    <w:t>岳阳市</w:t>
                  </w:r>
                </w:p>
              </w:tc>
              <w:tc>
                <w:tcPr>
                  <w:tcW w:w="551"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u w:val="none" w:color="auto"/>
                      <w:lang w:eastAsia="zh-CN" w:bidi="ar"/>
                    </w:rPr>
                  </w:pPr>
                  <w:r>
                    <w:rPr>
                      <w:rFonts w:hint="eastAsia" w:ascii="Times New Roman" w:hAnsi="Times New Roman" w:eastAsia="宋体" w:cs="Times New Roman"/>
                      <w:color w:val="auto"/>
                      <w:kern w:val="0"/>
                      <w:sz w:val="18"/>
                      <w:szCs w:val="18"/>
                      <w:highlight w:val="none"/>
                      <w:u w:val="none" w:color="auto"/>
                      <w:lang w:eastAsia="zh-CN" w:bidi="ar"/>
                    </w:rPr>
                    <w:t>湘阴县</w:t>
                  </w:r>
                </w:p>
              </w:tc>
              <w:tc>
                <w:tcPr>
                  <w:tcW w:w="1091"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u w:val="none" w:color="auto"/>
                      <w:lang w:eastAsia="zh-CN" w:bidi="ar"/>
                    </w:rPr>
                  </w:pPr>
                  <w:r>
                    <w:rPr>
                      <w:rFonts w:hint="eastAsia" w:ascii="Times New Roman" w:hAnsi="Times New Roman" w:eastAsia="宋体" w:cs="Times New Roman"/>
                      <w:color w:val="auto"/>
                      <w:kern w:val="0"/>
                      <w:sz w:val="18"/>
                      <w:szCs w:val="18"/>
                      <w:highlight w:val="none"/>
                      <w:u w:val="none" w:color="auto"/>
                      <w:lang w:eastAsia="zh-CN" w:bidi="ar"/>
                    </w:rPr>
                    <w:t>杨林寨乡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u w:val="none" w:color="auto"/>
                      <w:lang w:bidi="ar"/>
                    </w:rPr>
                  </w:pPr>
                  <w:r>
                    <w:rPr>
                      <w:rFonts w:hint="default" w:ascii="Times New Roman" w:hAnsi="Times New Roman" w:eastAsia="宋体" w:cs="Times New Roman"/>
                      <w:color w:val="auto"/>
                      <w:kern w:val="0"/>
                      <w:sz w:val="18"/>
                      <w:szCs w:val="18"/>
                      <w:highlight w:val="none"/>
                      <w:u w:val="none" w:color="auto"/>
                      <w:lang w:bidi="ar"/>
                    </w:rPr>
                    <w:t>地理坐标</w:t>
                  </w:r>
                </w:p>
              </w:tc>
              <w:tc>
                <w:tcPr>
                  <w:tcW w:w="1141"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u w:val="none" w:color="auto"/>
                      <w:lang w:bidi="ar"/>
                    </w:rPr>
                  </w:pPr>
                  <w:r>
                    <w:rPr>
                      <w:rFonts w:hint="default" w:ascii="Times New Roman" w:hAnsi="Times New Roman" w:eastAsia="宋体" w:cs="Times New Roman"/>
                      <w:color w:val="auto"/>
                      <w:kern w:val="0"/>
                      <w:sz w:val="18"/>
                      <w:szCs w:val="18"/>
                      <w:highlight w:val="none"/>
                      <w:u w:val="none" w:color="auto"/>
                      <w:lang w:bidi="ar"/>
                    </w:rPr>
                    <w:t>经度</w:t>
                  </w:r>
                </w:p>
              </w:tc>
              <w:tc>
                <w:tcPr>
                  <w:tcW w:w="1246"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u w:val="none" w:color="auto"/>
                      <w:lang w:eastAsia="zh-CN" w:bidi="ar"/>
                    </w:rPr>
                  </w:pPr>
                  <w:r>
                    <w:rPr>
                      <w:rFonts w:hint="eastAsia" w:ascii="Times New Roman" w:hAnsi="Times New Roman" w:eastAsia="宋体" w:cs="Times New Roman"/>
                      <w:color w:val="auto"/>
                      <w:kern w:val="0"/>
                      <w:sz w:val="18"/>
                      <w:szCs w:val="18"/>
                      <w:highlight w:val="none"/>
                      <w:u w:val="none" w:color="auto"/>
                      <w:lang w:eastAsia="zh-CN" w:bidi="ar"/>
                    </w:rPr>
                    <w:t>112.765538254</w:t>
                  </w:r>
                </w:p>
              </w:tc>
              <w:tc>
                <w:tcPr>
                  <w:tcW w:w="551"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u w:val="none" w:color="auto"/>
                      <w:lang w:eastAsia="zh-CN" w:bidi="ar"/>
                    </w:rPr>
                  </w:pPr>
                  <w:r>
                    <w:rPr>
                      <w:rFonts w:hint="default" w:ascii="Times New Roman" w:hAnsi="Times New Roman" w:eastAsia="宋体" w:cs="Times New Roman"/>
                      <w:color w:val="auto"/>
                      <w:kern w:val="0"/>
                      <w:sz w:val="18"/>
                      <w:szCs w:val="18"/>
                      <w:highlight w:val="none"/>
                      <w:u w:val="none" w:color="auto"/>
                      <w:lang w:eastAsia="zh-CN" w:bidi="ar"/>
                    </w:rPr>
                    <w:t>纬度</w:t>
                  </w:r>
                </w:p>
              </w:tc>
              <w:tc>
                <w:tcPr>
                  <w:tcW w:w="1091"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u w:val="none" w:color="auto"/>
                      <w:lang w:eastAsia="zh-CN" w:bidi="ar"/>
                    </w:rPr>
                  </w:pPr>
                  <w:r>
                    <w:rPr>
                      <w:rFonts w:hint="eastAsia" w:ascii="Times New Roman" w:hAnsi="Times New Roman" w:eastAsia="宋体" w:cs="Times New Roman"/>
                      <w:color w:val="auto"/>
                      <w:kern w:val="0"/>
                      <w:sz w:val="18"/>
                      <w:szCs w:val="18"/>
                      <w:highlight w:val="none"/>
                      <w:u w:val="none" w:color="auto"/>
                      <w:lang w:eastAsia="zh-CN" w:bidi="ar"/>
                    </w:rPr>
                    <w:t>28.725126928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u w:val="none" w:color="auto"/>
                      <w:lang w:bidi="ar"/>
                    </w:rPr>
                  </w:pPr>
                  <w:r>
                    <w:rPr>
                      <w:rFonts w:hint="default" w:ascii="Times New Roman" w:hAnsi="Times New Roman" w:eastAsia="宋体" w:cs="Times New Roman"/>
                      <w:color w:val="auto"/>
                      <w:kern w:val="0"/>
                      <w:sz w:val="18"/>
                      <w:szCs w:val="18"/>
                      <w:highlight w:val="none"/>
                      <w:u w:val="none" w:color="auto"/>
                      <w:lang w:bidi="ar"/>
                    </w:rPr>
                    <w:t>主要危险物质及分布</w:t>
                  </w:r>
                </w:p>
              </w:tc>
              <w:tc>
                <w:tcPr>
                  <w:tcW w:w="4030" w:type="pct"/>
                  <w:gridSpan w:val="4"/>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u w:val="none" w:color="auto"/>
                      <w:lang w:eastAsia="zh-CN" w:bidi="ar"/>
                    </w:rPr>
                  </w:pPr>
                  <w:r>
                    <w:rPr>
                      <w:rFonts w:hint="eastAsia" w:cs="Times New Roman"/>
                      <w:color w:val="auto"/>
                      <w:kern w:val="0"/>
                      <w:sz w:val="18"/>
                      <w:szCs w:val="18"/>
                      <w:highlight w:val="none"/>
                      <w:u w:val="none" w:color="auto"/>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u w:val="none" w:color="auto"/>
                      <w:lang w:bidi="ar"/>
                    </w:rPr>
                  </w:pPr>
                  <w:r>
                    <w:rPr>
                      <w:rFonts w:hint="default" w:ascii="Times New Roman" w:hAnsi="Times New Roman" w:eastAsia="宋体" w:cs="Times New Roman"/>
                      <w:color w:val="auto"/>
                      <w:kern w:val="0"/>
                      <w:sz w:val="18"/>
                      <w:szCs w:val="18"/>
                      <w:highlight w:val="none"/>
                      <w:u w:val="none" w:color="auto"/>
                      <w:lang w:bidi="ar"/>
                    </w:rPr>
                    <w:t>环境影响途径及危害后果</w:t>
                  </w:r>
                </w:p>
              </w:tc>
              <w:tc>
                <w:tcPr>
                  <w:tcW w:w="4030" w:type="pct"/>
                  <w:gridSpan w:val="4"/>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18"/>
                      <w:szCs w:val="18"/>
                      <w:highlight w:val="none"/>
                      <w:u w:val="none" w:color="auto"/>
                      <w:lang w:bidi="ar"/>
                    </w:rPr>
                  </w:pPr>
                  <w:r>
                    <w:rPr>
                      <w:rFonts w:hint="eastAsia" w:ascii="Times New Roman" w:hAnsi="Times New Roman" w:eastAsia="宋体" w:cs="Times New Roman"/>
                      <w:color w:val="auto"/>
                      <w:kern w:val="0"/>
                      <w:sz w:val="18"/>
                      <w:szCs w:val="18"/>
                      <w:highlight w:val="none"/>
                      <w:u w:val="none" w:color="auto"/>
                      <w:lang w:val="en-US" w:eastAsia="zh-CN" w:bidi="ar"/>
                    </w:rPr>
                    <w:t>（</w:t>
                  </w:r>
                  <w:r>
                    <w:rPr>
                      <w:rFonts w:hint="default" w:ascii="Times New Roman" w:hAnsi="Times New Roman" w:eastAsia="宋体" w:cs="Times New Roman"/>
                      <w:color w:val="auto"/>
                      <w:kern w:val="0"/>
                      <w:sz w:val="18"/>
                      <w:szCs w:val="18"/>
                      <w:highlight w:val="none"/>
                      <w:u w:val="none" w:color="auto"/>
                      <w:lang w:val="en-US" w:eastAsia="zh-CN" w:bidi="ar"/>
                    </w:rPr>
                    <w:t>1</w:t>
                  </w:r>
                  <w:r>
                    <w:rPr>
                      <w:rFonts w:hint="eastAsia" w:ascii="Times New Roman" w:hAnsi="Times New Roman" w:eastAsia="宋体" w:cs="Times New Roman"/>
                      <w:color w:val="auto"/>
                      <w:kern w:val="0"/>
                      <w:sz w:val="18"/>
                      <w:szCs w:val="18"/>
                      <w:highlight w:val="none"/>
                      <w:u w:val="none" w:color="auto"/>
                      <w:lang w:val="en-US" w:eastAsia="zh-CN" w:bidi="ar"/>
                    </w:rPr>
                    <w:t>）锅炉爆炸、生物质</w:t>
                  </w:r>
                  <w:r>
                    <w:rPr>
                      <w:rFonts w:hint="eastAsia" w:cs="Times New Roman"/>
                      <w:color w:val="auto"/>
                      <w:kern w:val="0"/>
                      <w:sz w:val="18"/>
                      <w:szCs w:val="18"/>
                      <w:highlight w:val="none"/>
                      <w:u w:val="none" w:color="auto"/>
                      <w:lang w:val="en-US" w:eastAsia="zh-CN" w:bidi="ar"/>
                    </w:rPr>
                    <w:t>燃料、废机油</w:t>
                  </w:r>
                  <w:r>
                    <w:rPr>
                      <w:rFonts w:hint="eastAsia" w:ascii="Times New Roman" w:hAnsi="Times New Roman" w:eastAsia="宋体" w:cs="Times New Roman"/>
                      <w:color w:val="auto"/>
                      <w:kern w:val="0"/>
                      <w:sz w:val="18"/>
                      <w:szCs w:val="18"/>
                      <w:highlight w:val="none"/>
                      <w:u w:val="none" w:color="auto"/>
                      <w:lang w:val="en-US" w:eastAsia="zh-CN" w:bidi="ar"/>
                    </w:rPr>
                    <w:t xml:space="preserve">燃烧引发火灾风险事故会污染周边大气环境。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18"/>
                      <w:szCs w:val="18"/>
                      <w:highlight w:val="none"/>
                      <w:u w:val="none" w:color="auto"/>
                      <w:lang w:eastAsia="zh-CN" w:bidi="ar"/>
                    </w:rPr>
                  </w:pPr>
                  <w:r>
                    <w:rPr>
                      <w:rFonts w:hint="eastAsia" w:ascii="Times New Roman" w:hAnsi="Times New Roman" w:eastAsia="宋体" w:cs="Times New Roman"/>
                      <w:color w:val="auto"/>
                      <w:kern w:val="0"/>
                      <w:sz w:val="18"/>
                      <w:szCs w:val="18"/>
                      <w:highlight w:val="none"/>
                      <w:u w:val="none" w:color="auto"/>
                      <w:lang w:val="en-US" w:eastAsia="zh-CN" w:bidi="ar"/>
                    </w:rPr>
                    <w:t>（</w:t>
                  </w:r>
                  <w:r>
                    <w:rPr>
                      <w:rFonts w:hint="default" w:ascii="Times New Roman" w:hAnsi="Times New Roman" w:eastAsia="宋体" w:cs="Times New Roman"/>
                      <w:color w:val="auto"/>
                      <w:kern w:val="0"/>
                      <w:sz w:val="18"/>
                      <w:szCs w:val="18"/>
                      <w:highlight w:val="none"/>
                      <w:u w:val="none" w:color="auto"/>
                      <w:lang w:val="en-US" w:eastAsia="zh-CN" w:bidi="ar"/>
                    </w:rPr>
                    <w:t>2</w:t>
                  </w:r>
                  <w:r>
                    <w:rPr>
                      <w:rFonts w:hint="eastAsia" w:ascii="Times New Roman" w:hAnsi="Times New Roman" w:eastAsia="宋体" w:cs="Times New Roman"/>
                      <w:color w:val="auto"/>
                      <w:kern w:val="0"/>
                      <w:sz w:val="18"/>
                      <w:szCs w:val="18"/>
                      <w:highlight w:val="none"/>
                      <w:u w:val="none" w:color="auto"/>
                      <w:lang w:val="en-US" w:eastAsia="zh-CN" w:bidi="ar"/>
                    </w:rPr>
                    <w:t>）废气事故排放会污染大气环境。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u w:val="none" w:color="auto"/>
                      <w:lang w:bidi="ar"/>
                    </w:rPr>
                  </w:pPr>
                  <w:r>
                    <w:rPr>
                      <w:rFonts w:hint="default" w:ascii="Times New Roman" w:hAnsi="Times New Roman" w:eastAsia="宋体" w:cs="Times New Roman"/>
                      <w:color w:val="auto"/>
                      <w:kern w:val="0"/>
                      <w:sz w:val="18"/>
                      <w:szCs w:val="18"/>
                      <w:highlight w:val="none"/>
                      <w:u w:val="none" w:color="auto"/>
                      <w:lang w:bidi="ar"/>
                    </w:rPr>
                    <w:t>风险防范措施要求</w:t>
                  </w:r>
                </w:p>
              </w:tc>
              <w:tc>
                <w:tcPr>
                  <w:tcW w:w="4030" w:type="pct"/>
                  <w:gridSpan w:val="4"/>
                  <w:tcBorders>
                    <w:tl2br w:val="nil"/>
                    <w:tr2bl w:val="nil"/>
                  </w:tcBorders>
                  <w:noWrap w:val="0"/>
                  <w:vAlign w:val="center"/>
                </w:tcPr>
                <w:p>
                  <w:pPr>
                    <w:pStyle w:val="93"/>
                    <w:jc w:val="left"/>
                    <w:rPr>
                      <w:rFonts w:hint="eastAsia" w:ascii="Times New Roman" w:hAnsi="Times New Roman" w:eastAsia="宋体" w:cs="Times New Roman"/>
                      <w:bCs w:val="0"/>
                      <w:color w:val="auto"/>
                      <w:kern w:val="0"/>
                      <w:sz w:val="18"/>
                      <w:szCs w:val="18"/>
                      <w:highlight w:val="none"/>
                      <w:u w:val="none" w:color="auto"/>
                      <w:lang w:val="en-US" w:eastAsia="zh-CN" w:bidi="ar"/>
                    </w:rPr>
                  </w:pPr>
                  <w:r>
                    <w:rPr>
                      <w:rFonts w:hint="eastAsia" w:ascii="Times New Roman" w:hAnsi="Times New Roman" w:eastAsia="宋体" w:cs="Times New Roman"/>
                      <w:bCs w:val="0"/>
                      <w:color w:val="auto"/>
                      <w:kern w:val="0"/>
                      <w:sz w:val="18"/>
                      <w:szCs w:val="18"/>
                      <w:highlight w:val="none"/>
                      <w:u w:val="none" w:color="auto"/>
                      <w:lang w:val="en-US" w:eastAsia="zh-CN" w:bidi="ar"/>
                    </w:rPr>
                    <w:t>①定期对操作人员进行安全生产与安全知识培训，并制定严格的安全操作规程，切实加强生产过程中的温度控制，保证劳动安全，防止意外事故的发生。</w:t>
                  </w:r>
                </w:p>
                <w:p>
                  <w:pPr>
                    <w:pStyle w:val="93"/>
                    <w:jc w:val="left"/>
                    <w:rPr>
                      <w:rFonts w:hint="eastAsia" w:ascii="Times New Roman" w:hAnsi="Times New Roman" w:eastAsia="宋体" w:cs="Times New Roman"/>
                      <w:bCs w:val="0"/>
                      <w:color w:val="auto"/>
                      <w:kern w:val="0"/>
                      <w:sz w:val="18"/>
                      <w:szCs w:val="18"/>
                      <w:highlight w:val="none"/>
                      <w:u w:val="none" w:color="auto"/>
                      <w:lang w:val="en-US" w:eastAsia="zh-CN" w:bidi="ar"/>
                    </w:rPr>
                  </w:pPr>
                  <w:r>
                    <w:rPr>
                      <w:rFonts w:hint="eastAsia" w:ascii="Times New Roman" w:hAnsi="Times New Roman" w:eastAsia="宋体" w:cs="Times New Roman"/>
                      <w:bCs w:val="0"/>
                      <w:color w:val="auto"/>
                      <w:kern w:val="0"/>
                      <w:sz w:val="18"/>
                      <w:szCs w:val="18"/>
                      <w:highlight w:val="none"/>
                      <w:u w:val="none" w:color="auto"/>
                      <w:lang w:val="en-US" w:eastAsia="zh-CN" w:bidi="ar"/>
                    </w:rPr>
                    <w:t>②进一步加强职工的岗位操作培训，提高职工的安全意识和风险防范能力，规范操作，将安全隐患降到最低。</w:t>
                  </w:r>
                </w:p>
                <w:p>
                  <w:pPr>
                    <w:pStyle w:val="93"/>
                    <w:jc w:val="left"/>
                    <w:rPr>
                      <w:rFonts w:hint="default" w:ascii="Times New Roman" w:hAnsi="Times New Roman" w:eastAsia="宋体" w:cs="Times New Roman"/>
                      <w:bCs w:val="0"/>
                      <w:color w:val="auto"/>
                      <w:kern w:val="0"/>
                      <w:sz w:val="18"/>
                      <w:szCs w:val="18"/>
                      <w:highlight w:val="none"/>
                      <w:u w:val="none" w:color="auto"/>
                      <w:lang w:val="en-US" w:eastAsia="zh-CN" w:bidi="ar"/>
                    </w:rPr>
                  </w:pPr>
                  <w:r>
                    <w:rPr>
                      <w:rFonts w:hint="eastAsia" w:ascii="Times New Roman" w:hAnsi="Times New Roman" w:eastAsia="宋体" w:cs="Times New Roman"/>
                      <w:bCs w:val="0"/>
                      <w:color w:val="auto"/>
                      <w:kern w:val="0"/>
                      <w:sz w:val="18"/>
                      <w:szCs w:val="18"/>
                      <w:highlight w:val="none"/>
                      <w:u w:val="none" w:color="auto"/>
                      <w:lang w:val="en-US" w:eastAsia="zh-CN" w:bidi="ar"/>
                    </w:rPr>
                    <w:t>③</w:t>
                  </w:r>
                  <w:r>
                    <w:rPr>
                      <w:rFonts w:hint="default" w:ascii="Times New Roman" w:hAnsi="Times New Roman" w:eastAsia="宋体" w:cs="Times New Roman"/>
                      <w:bCs w:val="0"/>
                      <w:color w:val="auto"/>
                      <w:kern w:val="0"/>
                      <w:sz w:val="18"/>
                      <w:szCs w:val="18"/>
                      <w:highlight w:val="none"/>
                      <w:u w:val="none" w:color="auto"/>
                      <w:lang w:val="en-US" w:eastAsia="zh-CN" w:bidi="ar"/>
                    </w:rPr>
                    <w:t>操作人员必须经过专门培训，严格遵守操作规程，熟练掌握操作技能，具备应急处置知识。</w:t>
                  </w:r>
                </w:p>
                <w:p>
                  <w:pPr>
                    <w:pStyle w:val="93"/>
                    <w:jc w:val="left"/>
                    <w:rPr>
                      <w:rFonts w:hint="eastAsia" w:ascii="Times New Roman" w:hAnsi="Times New Roman" w:eastAsia="宋体" w:cs="Times New Roman"/>
                      <w:bCs w:val="0"/>
                      <w:color w:val="auto"/>
                      <w:kern w:val="0"/>
                      <w:sz w:val="18"/>
                      <w:szCs w:val="18"/>
                      <w:highlight w:val="none"/>
                      <w:u w:val="none" w:color="auto"/>
                      <w:lang w:val="en-US" w:eastAsia="zh-CN" w:bidi="ar"/>
                    </w:rPr>
                  </w:pPr>
                  <w:r>
                    <w:rPr>
                      <w:rFonts w:hint="eastAsia" w:ascii="Times New Roman" w:hAnsi="Times New Roman" w:eastAsia="宋体" w:cs="Times New Roman"/>
                      <w:bCs w:val="0"/>
                      <w:color w:val="auto"/>
                      <w:kern w:val="0"/>
                      <w:sz w:val="18"/>
                      <w:szCs w:val="18"/>
                      <w:highlight w:val="none"/>
                      <w:u w:val="none" w:color="auto"/>
                      <w:lang w:val="en-US" w:eastAsia="zh-CN" w:bidi="ar"/>
                    </w:rPr>
                    <w:t>④加强事故苗头监控，定期巡检、调节、保养、维修，及时发现有可能引起事故的异常运行苗头，消除事故隐；</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val="0"/>
                      <w:color w:val="auto"/>
                      <w:kern w:val="0"/>
                      <w:sz w:val="18"/>
                      <w:szCs w:val="18"/>
                      <w:highlight w:val="none"/>
                      <w:u w:val="none" w:color="auto"/>
                      <w:lang w:val="en-US" w:eastAsia="zh-CN" w:bidi="ar"/>
                    </w:rPr>
                  </w:pPr>
                  <w:r>
                    <w:rPr>
                      <w:rFonts w:hint="eastAsia" w:ascii="Times New Roman" w:hAnsi="Times New Roman" w:eastAsia="宋体" w:cs="Times New Roman"/>
                      <w:bCs w:val="0"/>
                      <w:color w:val="auto"/>
                      <w:kern w:val="0"/>
                      <w:sz w:val="18"/>
                      <w:szCs w:val="18"/>
                      <w:highlight w:val="none"/>
                      <w:u w:val="none" w:color="auto"/>
                      <w:lang w:val="en-US" w:eastAsia="zh-CN" w:bidi="ar"/>
                    </w:rPr>
                    <w:t>⑤建立安全操作规程，在平时严格按规程办事，定期对厂区人员的安全知识进行培训和检查。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auto"/>
                      <w:kern w:val="0"/>
                      <w:sz w:val="18"/>
                      <w:szCs w:val="18"/>
                      <w:highlight w:val="none"/>
                      <w:u w:val="none" w:color="auto"/>
                      <w:lang w:eastAsia="zh-CN" w:bidi="ar"/>
                    </w:rPr>
                  </w:pPr>
                  <w:r>
                    <w:rPr>
                      <w:rFonts w:hint="default" w:ascii="Times New Roman" w:hAnsi="Times New Roman" w:eastAsia="宋体" w:cs="Times New Roman"/>
                      <w:color w:val="auto"/>
                      <w:kern w:val="0"/>
                      <w:sz w:val="18"/>
                      <w:szCs w:val="18"/>
                      <w:highlight w:val="none"/>
                      <w:u w:val="none" w:color="auto"/>
                      <w:lang w:val="en-US" w:eastAsia="zh-CN" w:bidi="ar"/>
                    </w:rPr>
                    <w:t>填表说明（列出项目相关信息及评价说明）</w:t>
                  </w:r>
                  <w:r>
                    <w:rPr>
                      <w:rFonts w:hint="eastAsia" w:ascii="Times New Roman" w:hAnsi="Times New Roman" w:eastAsia="宋体" w:cs="Times New Roman"/>
                      <w:color w:val="auto"/>
                      <w:kern w:val="0"/>
                      <w:sz w:val="18"/>
                      <w:szCs w:val="18"/>
                      <w:highlight w:val="none"/>
                      <w:u w:val="none" w:color="auto"/>
                      <w:lang w:val="en-US" w:eastAsia="zh-CN" w:bidi="ar"/>
                    </w:rPr>
                    <w:t xml:space="preserve">：本项目环境风险潜势为 </w:t>
                  </w:r>
                  <w:r>
                    <w:rPr>
                      <w:rFonts w:hint="default" w:ascii="Times New Roman" w:hAnsi="Times New Roman" w:eastAsia="宋体" w:cs="Times New Roman"/>
                      <w:color w:val="auto"/>
                      <w:kern w:val="0"/>
                      <w:sz w:val="18"/>
                      <w:szCs w:val="18"/>
                      <w:highlight w:val="none"/>
                      <w:u w:val="none" w:color="auto"/>
                      <w:lang w:val="en-US" w:eastAsia="zh-CN" w:bidi="ar"/>
                    </w:rPr>
                    <w:t>I</w:t>
                  </w:r>
                  <w:r>
                    <w:rPr>
                      <w:rFonts w:hint="eastAsia" w:ascii="Times New Roman" w:hAnsi="Times New Roman" w:eastAsia="宋体" w:cs="Times New Roman"/>
                      <w:color w:val="auto"/>
                      <w:kern w:val="0"/>
                      <w:sz w:val="18"/>
                      <w:szCs w:val="18"/>
                      <w:highlight w:val="none"/>
                      <w:u w:val="none" w:color="auto"/>
                      <w:lang w:val="en-US" w:eastAsia="zh-CN" w:bidi="ar"/>
                    </w:rPr>
                    <w:t>，通过采取相应的风险防范措施，项目的环境风险可控。一旦发生事故，建设单位应立即采取合理的事故应急处理措施，将事故影响降到最低限度。</w:t>
                  </w:r>
                </w:p>
              </w:tc>
            </w:tr>
          </w:tbl>
          <w:p>
            <w:pPr>
              <w:ind w:firstLine="482"/>
              <w:rPr>
                <w:b/>
                <w:bCs/>
                <w:u w:val="single"/>
              </w:rPr>
            </w:pPr>
            <w:r>
              <w:rPr>
                <w:rFonts w:hint="eastAsia"/>
                <w:b/>
                <w:bCs/>
                <w:u w:val="single"/>
              </w:rPr>
              <w:t>7、环境保护投资估算</w:t>
            </w:r>
          </w:p>
          <w:p>
            <w:pPr>
              <w:ind w:firstLine="480"/>
              <w:rPr>
                <w:u w:val="single"/>
              </w:rPr>
            </w:pPr>
            <w:r>
              <w:rPr>
                <w:u w:val="single"/>
              </w:rPr>
              <w:t>本项目总投资</w:t>
            </w:r>
            <w:r>
              <w:rPr>
                <w:rFonts w:hint="eastAsia"/>
                <w:u w:val="single"/>
                <w:lang w:eastAsia="zh-CN"/>
              </w:rPr>
              <w:t>19675.46</w:t>
            </w:r>
            <w:r>
              <w:rPr>
                <w:u w:val="single"/>
              </w:rPr>
              <w:t>万元，环保方面的</w:t>
            </w:r>
            <w:r>
              <w:rPr>
                <w:rFonts w:hint="eastAsia"/>
                <w:u w:val="single"/>
              </w:rPr>
              <w:t>拟</w:t>
            </w:r>
            <w:r>
              <w:rPr>
                <w:u w:val="single"/>
              </w:rPr>
              <w:t>投资约</w:t>
            </w:r>
            <w:r>
              <w:rPr>
                <w:rFonts w:hint="eastAsia"/>
                <w:u w:val="single"/>
                <w:lang w:val="en-US" w:eastAsia="zh-CN"/>
              </w:rPr>
              <w:t>24</w:t>
            </w:r>
            <w:r>
              <w:rPr>
                <w:u w:val="single"/>
              </w:rPr>
              <w:t>万元，环保投资占工程总投资的0.12</w:t>
            </w:r>
            <w:r>
              <w:rPr>
                <w:rFonts w:hint="eastAsia"/>
                <w:u w:val="single"/>
              </w:rPr>
              <w:t>%</w:t>
            </w:r>
            <w:r>
              <w:rPr>
                <w:u w:val="single"/>
              </w:rPr>
              <w:t>。</w:t>
            </w:r>
          </w:p>
          <w:p>
            <w:pPr>
              <w:pStyle w:val="7"/>
              <w:rPr>
                <w:kern w:val="0"/>
                <w:sz w:val="21"/>
                <w:u w:val="single"/>
              </w:rPr>
            </w:pPr>
          </w:p>
          <w:p>
            <w:pPr>
              <w:pStyle w:val="7"/>
              <w:rPr>
                <w:kern w:val="0"/>
                <w:sz w:val="21"/>
                <w:u w:val="single"/>
              </w:rPr>
            </w:pPr>
          </w:p>
          <w:p>
            <w:pPr>
              <w:pStyle w:val="7"/>
              <w:rPr>
                <w:kern w:val="0"/>
                <w:sz w:val="21"/>
                <w:u w:val="single"/>
              </w:rPr>
            </w:pPr>
          </w:p>
          <w:p>
            <w:pPr>
              <w:pStyle w:val="7"/>
              <w:rPr>
                <w:kern w:val="0"/>
                <w:sz w:val="21"/>
                <w:u w:val="single"/>
              </w:rPr>
            </w:pPr>
          </w:p>
          <w:p>
            <w:pPr>
              <w:pStyle w:val="7"/>
              <w:rPr>
                <w:kern w:val="0"/>
                <w:sz w:val="21"/>
                <w:u w:val="single"/>
              </w:rPr>
            </w:pPr>
          </w:p>
          <w:p>
            <w:pPr>
              <w:pStyle w:val="7"/>
              <w:rPr>
                <w:kern w:val="0"/>
                <w:sz w:val="21"/>
                <w:u w:val="single"/>
              </w:rPr>
            </w:pPr>
            <w:r>
              <w:rPr>
                <w:kern w:val="0"/>
                <w:sz w:val="21"/>
                <w:u w:val="single"/>
              </w:rPr>
              <w:t>表4-</w:t>
            </w:r>
            <w:r>
              <w:rPr>
                <w:rFonts w:hint="eastAsia"/>
                <w:kern w:val="0"/>
                <w:sz w:val="21"/>
                <w:u w:val="single"/>
                <w:lang w:val="en-US" w:eastAsia="zh-CN"/>
              </w:rPr>
              <w:t>26</w:t>
            </w:r>
            <w:r>
              <w:rPr>
                <w:rFonts w:hint="eastAsia"/>
                <w:kern w:val="0"/>
                <w:sz w:val="21"/>
                <w:u w:val="single"/>
              </w:rPr>
              <w:t>环境保护专项投资估算表</w:t>
            </w:r>
          </w:p>
          <w:tbl>
            <w:tblPr>
              <w:tblStyle w:val="24"/>
              <w:tblW w:w="8624" w:type="dxa"/>
              <w:jc w:val="center"/>
              <w:tblLayout w:type="fixed"/>
              <w:tblCellMar>
                <w:top w:w="0" w:type="dxa"/>
                <w:left w:w="108" w:type="dxa"/>
                <w:bottom w:w="0" w:type="dxa"/>
                <w:right w:w="108" w:type="dxa"/>
              </w:tblCellMar>
            </w:tblPr>
            <w:tblGrid>
              <w:gridCol w:w="1396"/>
              <w:gridCol w:w="880"/>
              <w:gridCol w:w="1437"/>
              <w:gridCol w:w="3167"/>
              <w:gridCol w:w="1744"/>
            </w:tblGrid>
            <w:tr>
              <w:tblPrEx>
                <w:tblCellMar>
                  <w:top w:w="0" w:type="dxa"/>
                  <w:left w:w="108" w:type="dxa"/>
                  <w:bottom w:w="0" w:type="dxa"/>
                  <w:right w:w="108" w:type="dxa"/>
                </w:tblCellMar>
              </w:tblPrEx>
              <w:trPr>
                <w:trHeight w:val="576"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rPr>
                      <w:u w:val="single"/>
                    </w:rPr>
                  </w:pPr>
                  <w:r>
                    <w:rPr>
                      <w:rFonts w:hint="eastAsia"/>
                      <w:u w:val="single"/>
                    </w:rPr>
                    <w:t>序号</w:t>
                  </w:r>
                </w:p>
              </w:tc>
              <w:tc>
                <w:tcPr>
                  <w:tcW w:w="134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rPr>
                      <w:u w:val="single"/>
                    </w:rPr>
                  </w:pPr>
                  <w:r>
                    <w:rPr>
                      <w:rFonts w:hint="eastAsia"/>
                      <w:u w:val="single"/>
                    </w:rPr>
                    <w:t>类别</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rPr>
                      <w:u w:val="single"/>
                    </w:rPr>
                  </w:pPr>
                  <w:r>
                    <w:rPr>
                      <w:rFonts w:hint="eastAsia"/>
                      <w:u w:val="single"/>
                    </w:rPr>
                    <w:t>环保措施</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rPr>
                      <w:u w:val="single"/>
                    </w:rPr>
                  </w:pPr>
                  <w:r>
                    <w:rPr>
                      <w:rFonts w:hint="eastAsia"/>
                      <w:u w:val="single"/>
                    </w:rPr>
                    <w:t>投资金额（万元）</w:t>
                  </w:r>
                </w:p>
              </w:tc>
            </w:tr>
            <w:tr>
              <w:tblPrEx>
                <w:tblCellMar>
                  <w:top w:w="0" w:type="dxa"/>
                  <w:left w:w="108" w:type="dxa"/>
                  <w:bottom w:w="0" w:type="dxa"/>
                  <w:right w:w="108" w:type="dxa"/>
                </w:tblCellMar>
              </w:tblPrEx>
              <w:trPr>
                <w:trHeight w:val="27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rPr>
                      <w:u w:val="single"/>
                    </w:rPr>
                  </w:pPr>
                  <w:r>
                    <w:rPr>
                      <w:u w:val="single"/>
                    </w:rPr>
                    <w:t>1</w:t>
                  </w:r>
                </w:p>
              </w:tc>
              <w:tc>
                <w:tcPr>
                  <w:tcW w:w="134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rPr>
                      <w:u w:val="single"/>
                    </w:rPr>
                  </w:pPr>
                  <w:r>
                    <w:rPr>
                      <w:rFonts w:hint="eastAsia"/>
                      <w:u w:val="single"/>
                    </w:rPr>
                    <w:t>噪声处理措施</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rPr>
                      <w:u w:val="single"/>
                    </w:rPr>
                  </w:pPr>
                  <w:r>
                    <w:rPr>
                      <w:rFonts w:hint="eastAsia"/>
                      <w:u w:val="single"/>
                    </w:rPr>
                    <w:t>距离衰减、基础减震</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rPr>
                      <w:u w:val="single"/>
                    </w:rPr>
                  </w:pPr>
                  <w:r>
                    <w:rPr>
                      <w:u w:val="single"/>
                    </w:rPr>
                    <w:t>0.5</w:t>
                  </w:r>
                </w:p>
              </w:tc>
            </w:tr>
            <w:tr>
              <w:tblPrEx>
                <w:tblCellMar>
                  <w:top w:w="0" w:type="dxa"/>
                  <w:left w:w="108" w:type="dxa"/>
                  <w:bottom w:w="0" w:type="dxa"/>
                  <w:right w:w="108" w:type="dxa"/>
                </w:tblCellMar>
              </w:tblPrEx>
              <w:trPr>
                <w:trHeight w:val="206" w:hRule="atLeast"/>
                <w:jc w:val="center"/>
              </w:trPr>
              <w:tc>
                <w:tcPr>
                  <w:tcW w:w="809" w:type="pct"/>
                  <w:tcBorders>
                    <w:top w:val="single" w:color="000000" w:sz="4" w:space="0"/>
                    <w:left w:val="single" w:color="000000" w:sz="4" w:space="0"/>
                    <w:right w:val="single" w:color="000000" w:sz="4" w:space="0"/>
                  </w:tcBorders>
                  <w:shd w:val="clear" w:color="auto" w:fill="auto"/>
                  <w:vAlign w:val="center"/>
                </w:tcPr>
                <w:p>
                  <w:pPr>
                    <w:pStyle w:val="47"/>
                    <w:rPr>
                      <w:u w:val="single"/>
                    </w:rPr>
                  </w:pPr>
                  <w:r>
                    <w:rPr>
                      <w:u w:val="single"/>
                    </w:rPr>
                    <w:t>2</w:t>
                  </w:r>
                </w:p>
              </w:tc>
              <w:tc>
                <w:tcPr>
                  <w:tcW w:w="1343" w:type="pct"/>
                  <w:gridSpan w:val="2"/>
                  <w:tcBorders>
                    <w:top w:val="single" w:color="000000" w:sz="4" w:space="0"/>
                    <w:left w:val="single" w:color="000000" w:sz="4" w:space="0"/>
                    <w:right w:val="single" w:color="000000" w:sz="4" w:space="0"/>
                  </w:tcBorders>
                  <w:shd w:val="clear" w:color="auto" w:fill="auto"/>
                  <w:vAlign w:val="center"/>
                </w:tcPr>
                <w:p>
                  <w:pPr>
                    <w:pStyle w:val="47"/>
                    <w:rPr>
                      <w:rFonts w:hint="eastAsia" w:ascii="Times New Roman" w:hAnsi="Times New Roman" w:eastAsia="宋体" w:cs="Times New Roman"/>
                      <w:u w:val="single"/>
                    </w:rPr>
                  </w:pPr>
                  <w:r>
                    <w:rPr>
                      <w:rFonts w:hint="eastAsia" w:ascii="Times New Roman" w:hAnsi="Times New Roman" w:eastAsia="宋体" w:cs="Times New Roman"/>
                      <w:u w:val="single"/>
                    </w:rPr>
                    <w:t>固体废物</w:t>
                  </w:r>
                </w:p>
              </w:tc>
              <w:tc>
                <w:tcPr>
                  <w:tcW w:w="183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rPr>
                      <w:rFonts w:hint="eastAsia"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生活垃圾经收集后由环卫部门统一清运处理；</w:t>
                  </w:r>
                </w:p>
                <w:p>
                  <w:pPr>
                    <w:pStyle w:val="47"/>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除尘器收集粉尘、废包装材料、废离子交换树脂、废塑料膜、废基料暂存于一般工业固体废物暂存间，定期外售。</w:t>
                  </w:r>
                  <w:r>
                    <w:rPr>
                      <w:rFonts w:hint="eastAsia" w:cs="Times New Roman"/>
                      <w:u w:val="single"/>
                      <w:lang w:val="en-US" w:eastAsia="zh-CN"/>
                    </w:rPr>
                    <w:t>沉淀池污泥</w:t>
                  </w:r>
                  <w:r>
                    <w:rPr>
                      <w:rFonts w:hint="default" w:ascii="Times New Roman" w:hAnsi="Times New Roman" w:eastAsia="宋体" w:cs="Times New Roman"/>
                      <w:b w:val="0"/>
                      <w:bCs w:val="0"/>
                      <w:color w:val="auto"/>
                      <w:sz w:val="21"/>
                      <w:szCs w:val="21"/>
                      <w:highlight w:val="none"/>
                      <w:u w:val="single"/>
                      <w:lang w:val="en-US" w:eastAsia="zh-CN"/>
                    </w:rPr>
                    <w:t>交由具有相应处理能力或经营范围的单位利用或处置</w:t>
                  </w:r>
                  <w:r>
                    <w:rPr>
                      <w:rFonts w:hint="eastAsia" w:ascii="Times New Roman" w:hAnsi="Times New Roman" w:eastAsia="宋体" w:cs="Times New Roman"/>
                      <w:b w:val="0"/>
                      <w:bCs w:val="0"/>
                      <w:color w:val="auto"/>
                      <w:sz w:val="21"/>
                      <w:szCs w:val="21"/>
                      <w:highlight w:val="none"/>
                      <w:u w:val="single"/>
                      <w:lang w:val="en-US" w:eastAsia="zh-CN"/>
                    </w:rPr>
                    <w:t>。</w:t>
                  </w:r>
                </w:p>
                <w:p>
                  <w:pPr>
                    <w:pStyle w:val="47"/>
                    <w:rPr>
                      <w:rFonts w:hint="default" w:ascii="Times New Roman" w:hAnsi="Times New Roman" w:eastAsia="宋体" w:cs="Times New Roman"/>
                      <w:u w:val="single"/>
                      <w:lang w:val="en-US" w:eastAsia="zh-CN"/>
                    </w:rPr>
                  </w:pPr>
                  <w:r>
                    <w:rPr>
                      <w:rFonts w:hint="eastAsia" w:cs="Times New Roman"/>
                      <w:u w:val="single"/>
                      <w:lang w:val="en-US" w:eastAsia="zh-CN"/>
                    </w:rPr>
                    <w:t>废机油、废含油抹布手套</w:t>
                  </w:r>
                  <w:r>
                    <w:rPr>
                      <w:rFonts w:hint="default" w:ascii="Times New Roman" w:hAnsi="Times New Roman" w:cs="Times New Roman"/>
                      <w:b w:val="0"/>
                      <w:bCs w:val="0"/>
                      <w:color w:val="auto"/>
                      <w:sz w:val="21"/>
                      <w:szCs w:val="21"/>
                      <w:u w:val="single"/>
                      <w:lang w:val="en-US" w:eastAsia="zh-CN"/>
                    </w:rPr>
                    <w:t>暂存在危险废物暂存间，定期交于有相关危险废物处理资质单位处置</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rPr>
                      <w:rFonts w:hint="default" w:eastAsia="宋体"/>
                      <w:u w:val="single"/>
                      <w:lang w:val="en-US" w:eastAsia="zh-CN"/>
                    </w:rPr>
                  </w:pPr>
                  <w:r>
                    <w:rPr>
                      <w:rFonts w:hint="eastAsia"/>
                      <w:u w:val="single"/>
                      <w:lang w:val="en-US" w:eastAsia="zh-CN"/>
                    </w:rPr>
                    <w:t>2.5</w:t>
                  </w:r>
                </w:p>
              </w:tc>
            </w:tr>
            <w:tr>
              <w:trPr>
                <w:trHeight w:val="801" w:hRule="atLeast"/>
                <w:jc w:val="center"/>
              </w:trPr>
              <w:tc>
                <w:tcPr>
                  <w:tcW w:w="809" w:type="pct"/>
                  <w:tcBorders>
                    <w:top w:val="single" w:color="000000" w:sz="4" w:space="0"/>
                    <w:left w:val="single" w:color="000000" w:sz="4" w:space="0"/>
                    <w:right w:val="single" w:color="auto" w:sz="4" w:space="0"/>
                  </w:tcBorders>
                  <w:shd w:val="clear" w:color="auto" w:fill="auto"/>
                  <w:vAlign w:val="center"/>
                </w:tcPr>
                <w:p>
                  <w:pPr>
                    <w:pStyle w:val="47"/>
                    <w:rPr>
                      <w:u w:val="single"/>
                    </w:rPr>
                  </w:pPr>
                  <w:r>
                    <w:rPr>
                      <w:u w:val="single"/>
                    </w:rPr>
                    <w:t>3</w:t>
                  </w:r>
                </w:p>
              </w:tc>
              <w:tc>
                <w:tcPr>
                  <w:tcW w:w="510" w:type="pct"/>
                  <w:tcBorders>
                    <w:top w:val="single" w:color="auto" w:sz="4" w:space="0"/>
                    <w:left w:val="single" w:color="auto" w:sz="4" w:space="0"/>
                    <w:right w:val="single" w:color="auto" w:sz="4" w:space="0"/>
                  </w:tcBorders>
                  <w:shd w:val="clear" w:color="auto" w:fill="auto"/>
                  <w:vAlign w:val="center"/>
                </w:tcPr>
                <w:p>
                  <w:pPr>
                    <w:pStyle w:val="47"/>
                    <w:rPr>
                      <w:u w:val="single"/>
                    </w:rPr>
                  </w:pPr>
                  <w:r>
                    <w:rPr>
                      <w:rFonts w:hint="eastAsia"/>
                      <w:u w:val="single"/>
                    </w:rPr>
                    <w:t>废气处理设施</w:t>
                  </w:r>
                </w:p>
              </w:tc>
              <w:tc>
                <w:tcPr>
                  <w:tcW w:w="83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7"/>
                    <w:rPr>
                      <w:u w:val="single"/>
                    </w:rPr>
                  </w:pPr>
                  <w:r>
                    <w:rPr>
                      <w:rFonts w:hint="eastAsia"/>
                      <w:u w:val="single"/>
                    </w:rPr>
                    <w:t>燃烧废气处理措施</w:t>
                  </w:r>
                </w:p>
              </w:tc>
              <w:tc>
                <w:tcPr>
                  <w:tcW w:w="1836" w:type="pct"/>
                  <w:tcBorders>
                    <w:top w:val="single" w:color="000000" w:sz="4" w:space="0"/>
                    <w:left w:val="single" w:color="auto" w:sz="4" w:space="0"/>
                    <w:bottom w:val="single" w:color="000000" w:sz="4" w:space="0"/>
                    <w:right w:val="single" w:color="000000" w:sz="4" w:space="0"/>
                  </w:tcBorders>
                  <w:shd w:val="clear" w:color="auto" w:fill="auto"/>
                  <w:vAlign w:val="center"/>
                </w:tcPr>
                <w:p>
                  <w:pPr>
                    <w:pStyle w:val="47"/>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 xml:space="preserve">1 </w:t>
                  </w:r>
                  <w:r>
                    <w:rPr>
                      <w:rFonts w:hint="eastAsia" w:ascii="Times New Roman" w:hAnsi="Times New Roman" w:eastAsia="宋体" w:cs="Times New Roman"/>
                      <w:u w:val="single"/>
                      <w:lang w:val="en-US" w:eastAsia="zh-CN"/>
                    </w:rPr>
                    <w:t>套</w:t>
                  </w:r>
                  <w:r>
                    <w:rPr>
                      <w:rFonts w:hint="eastAsia" w:cs="Times New Roman"/>
                      <w:u w:val="single"/>
                      <w:lang w:val="en-US" w:eastAsia="zh-CN"/>
                    </w:rPr>
                    <w:t>多管</w:t>
                  </w:r>
                  <w:r>
                    <w:rPr>
                      <w:rFonts w:hint="eastAsia" w:ascii="Times New Roman" w:hAnsi="Times New Roman" w:eastAsia="宋体" w:cs="Times New Roman"/>
                      <w:u w:val="single"/>
                      <w:lang w:val="en-US" w:eastAsia="zh-CN"/>
                    </w:rPr>
                    <w:t>除尘器</w:t>
                  </w:r>
                  <w:r>
                    <w:rPr>
                      <w:rFonts w:hint="default" w:ascii="Times New Roman" w:hAnsi="Times New Roman" w:eastAsia="宋体" w:cs="Times New Roman"/>
                      <w:u w:val="single"/>
                      <w:lang w:val="en-US" w:eastAsia="zh-CN"/>
                    </w:rPr>
                    <w:t>+</w:t>
                  </w:r>
                  <w:r>
                    <w:rPr>
                      <w:rFonts w:hint="eastAsia" w:ascii="Times New Roman" w:hAnsi="Times New Roman" w:eastAsia="宋体" w:cs="Times New Roman"/>
                      <w:u w:val="single"/>
                      <w:lang w:val="en-US" w:eastAsia="zh-CN"/>
                    </w:rPr>
                    <w:t>布袋除尘器</w:t>
                  </w:r>
                  <w:r>
                    <w:rPr>
                      <w:rFonts w:hint="eastAsia" w:cs="Times New Roman"/>
                      <w:u w:val="single"/>
                      <w:lang w:val="en-US" w:eastAsia="zh-CN"/>
                    </w:rPr>
                    <w:t>+35m排气筒</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rPr>
                      <w:rFonts w:hint="default" w:eastAsia="宋体"/>
                      <w:u w:val="single"/>
                      <w:lang w:val="en-US" w:eastAsia="zh-CN"/>
                    </w:rPr>
                  </w:pPr>
                  <w:r>
                    <w:rPr>
                      <w:rFonts w:hint="eastAsia"/>
                      <w:u w:val="single"/>
                      <w:lang w:val="en-US" w:eastAsia="zh-CN"/>
                    </w:rPr>
                    <w:t>8</w:t>
                  </w:r>
                </w:p>
              </w:tc>
            </w:tr>
            <w:tr>
              <w:tblPrEx>
                <w:tblCellMar>
                  <w:top w:w="0" w:type="dxa"/>
                  <w:left w:w="108" w:type="dxa"/>
                  <w:bottom w:w="0" w:type="dxa"/>
                  <w:right w:w="108" w:type="dxa"/>
                </w:tblCellMar>
              </w:tblPrEx>
              <w:trPr>
                <w:trHeight w:val="806" w:hRule="atLeast"/>
                <w:jc w:val="center"/>
              </w:trPr>
              <w:tc>
                <w:tcPr>
                  <w:tcW w:w="809" w:type="pct"/>
                  <w:tcBorders>
                    <w:top w:val="single" w:color="000000" w:sz="4" w:space="0"/>
                    <w:left w:val="single" w:color="000000" w:sz="4" w:space="0"/>
                    <w:right w:val="single" w:color="auto" w:sz="4" w:space="0"/>
                  </w:tcBorders>
                  <w:shd w:val="clear" w:color="auto" w:fill="auto"/>
                  <w:vAlign w:val="center"/>
                </w:tcPr>
                <w:p>
                  <w:pPr>
                    <w:pStyle w:val="47"/>
                    <w:rPr>
                      <w:u w:val="single"/>
                    </w:rPr>
                  </w:pPr>
                  <w:r>
                    <w:rPr>
                      <w:rFonts w:hint="eastAsia"/>
                      <w:u w:val="single"/>
                    </w:rPr>
                    <w:t>4</w:t>
                  </w:r>
                </w:p>
              </w:tc>
              <w:tc>
                <w:tcPr>
                  <w:tcW w:w="510" w:type="pct"/>
                  <w:tcBorders>
                    <w:top w:val="single" w:color="auto" w:sz="4" w:space="0"/>
                    <w:left w:val="single" w:color="auto" w:sz="4" w:space="0"/>
                    <w:right w:val="single" w:color="auto" w:sz="4" w:space="0"/>
                  </w:tcBorders>
                  <w:shd w:val="clear" w:color="auto" w:fill="auto"/>
                  <w:vAlign w:val="center"/>
                </w:tcPr>
                <w:p>
                  <w:pPr>
                    <w:pStyle w:val="47"/>
                    <w:rPr>
                      <w:u w:val="single"/>
                    </w:rPr>
                  </w:pPr>
                  <w:r>
                    <w:rPr>
                      <w:rFonts w:hint="eastAsia"/>
                      <w:u w:val="single"/>
                    </w:rPr>
                    <w:t>废水处理设施</w:t>
                  </w:r>
                </w:p>
              </w:tc>
              <w:tc>
                <w:tcPr>
                  <w:tcW w:w="83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7"/>
                    <w:rPr>
                      <w:rFonts w:hint="default" w:eastAsia="宋体"/>
                      <w:u w:val="single"/>
                      <w:lang w:val="en-US" w:eastAsia="zh-CN"/>
                    </w:rPr>
                  </w:pPr>
                  <w:r>
                    <w:rPr>
                      <w:rFonts w:hint="eastAsia"/>
                      <w:u w:val="single"/>
                    </w:rPr>
                    <w:t>锅炉排</w:t>
                  </w:r>
                  <w:r>
                    <w:rPr>
                      <w:rFonts w:hint="eastAsia"/>
                      <w:u w:val="single"/>
                      <w:lang w:val="en-US" w:eastAsia="zh-CN"/>
                    </w:rPr>
                    <w:t>污</w:t>
                  </w:r>
                  <w:r>
                    <w:rPr>
                      <w:rFonts w:hint="eastAsia"/>
                      <w:u w:val="single"/>
                    </w:rPr>
                    <w:t>水及软化废水</w:t>
                  </w:r>
                  <w:r>
                    <w:rPr>
                      <w:rFonts w:hint="eastAsia"/>
                      <w:u w:val="single"/>
                      <w:lang w:eastAsia="zh-CN"/>
                    </w:rPr>
                    <w:t>、</w:t>
                  </w:r>
                  <w:r>
                    <w:rPr>
                      <w:rFonts w:hint="eastAsia"/>
                      <w:u w:val="single"/>
                      <w:lang w:val="en-US" w:eastAsia="zh-CN"/>
                    </w:rPr>
                    <w:t>生活污水</w:t>
                  </w:r>
                </w:p>
              </w:tc>
              <w:tc>
                <w:tcPr>
                  <w:tcW w:w="1836" w:type="pct"/>
                  <w:tcBorders>
                    <w:top w:val="single" w:color="000000" w:sz="4" w:space="0"/>
                    <w:left w:val="single" w:color="auto" w:sz="4" w:space="0"/>
                    <w:bottom w:val="single" w:color="000000" w:sz="4" w:space="0"/>
                    <w:right w:val="single" w:color="000000" w:sz="4" w:space="0"/>
                  </w:tcBorders>
                  <w:shd w:val="clear" w:color="auto" w:fill="auto"/>
                  <w:vAlign w:val="center"/>
                </w:tcPr>
                <w:p>
                  <w:pPr>
                    <w:pStyle w:val="47"/>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沉淀池、化粪池、隔油池</w:t>
                  </w:r>
                  <w:r>
                    <w:rPr>
                      <w:rFonts w:hint="eastAsia" w:cs="Times New Roman"/>
                      <w:u w:val="single"/>
                      <w:lang w:val="en-US" w:eastAsia="zh-CN"/>
                    </w:rPr>
                    <w:t>、12t/d一体化污水处理设施</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rPr>
                      <w:rFonts w:hint="eastAsia" w:eastAsia="宋体"/>
                      <w:u w:val="single"/>
                      <w:lang w:eastAsia="zh-CN"/>
                    </w:rPr>
                  </w:pPr>
                  <w:r>
                    <w:rPr>
                      <w:rFonts w:hint="eastAsia"/>
                      <w:u w:val="single"/>
                      <w:lang w:val="en-US" w:eastAsia="zh-CN"/>
                    </w:rPr>
                    <w:t>13</w:t>
                  </w:r>
                </w:p>
              </w:tc>
            </w:tr>
            <w:tr>
              <w:tblPrEx>
                <w:tblCellMar>
                  <w:top w:w="0" w:type="dxa"/>
                  <w:left w:w="108" w:type="dxa"/>
                  <w:bottom w:w="0" w:type="dxa"/>
                  <w:right w:w="108" w:type="dxa"/>
                </w:tblCellMar>
              </w:tblPrEx>
              <w:trPr>
                <w:trHeight w:val="288" w:hRule="atLeast"/>
                <w:jc w:val="center"/>
              </w:trPr>
              <w:tc>
                <w:tcPr>
                  <w:tcW w:w="398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rPr>
                      <w:u w:val="single"/>
                    </w:rPr>
                  </w:pPr>
                  <w:r>
                    <w:rPr>
                      <w:rFonts w:hint="eastAsia"/>
                      <w:u w:val="single"/>
                    </w:rPr>
                    <w:t>合计</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rPr>
                      <w:rFonts w:hint="default" w:eastAsia="宋体"/>
                      <w:u w:val="single"/>
                      <w:lang w:val="en-US" w:eastAsia="zh-CN"/>
                    </w:rPr>
                  </w:pPr>
                  <w:r>
                    <w:rPr>
                      <w:rFonts w:hint="eastAsia"/>
                      <w:u w:val="single"/>
                      <w:lang w:val="en-US" w:eastAsia="zh-CN"/>
                    </w:rPr>
                    <w:t>24</w:t>
                  </w:r>
                </w:p>
              </w:tc>
            </w:tr>
          </w:tbl>
          <w:p>
            <w:pPr>
              <w:ind w:firstLine="480"/>
              <w:rPr>
                <w:u w:val="none"/>
              </w:rPr>
            </w:pPr>
          </w:p>
        </w:tc>
      </w:tr>
    </w:tbl>
    <w:p>
      <w:pPr>
        <w:pStyle w:val="32"/>
        <w:rPr>
          <w:rFonts w:ascii="宋体" w:cs="宋体"/>
          <w:b/>
          <w:kern w:val="0"/>
          <w:sz w:val="28"/>
          <w:szCs w:val="28"/>
        </w:rPr>
      </w:pPr>
    </w:p>
    <w:p>
      <w:pPr>
        <w:pStyle w:val="32"/>
        <w:rPr>
          <w:rFonts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19"/>
        <w:spacing w:line="240" w:lineRule="auto"/>
        <w:ind w:firstLine="0" w:firstLineChars="0"/>
        <w:jc w:val="center"/>
        <w:outlineLvl w:val="0"/>
        <w:rPr>
          <w:rFonts w:ascii="黑体" w:hAnsi="黑体" w:eastAsia="黑体"/>
          <w:snapToGrid w:val="0"/>
          <w:sz w:val="30"/>
          <w:szCs w:val="30"/>
        </w:rPr>
      </w:pPr>
      <w:bookmarkStart w:id="26" w:name="_Toc19804"/>
      <w:bookmarkStart w:id="27" w:name="_Toc29682"/>
      <w:bookmarkStart w:id="28" w:name="_Toc16090"/>
      <w:r>
        <w:rPr>
          <w:rFonts w:hint="eastAsia" w:ascii="黑体" w:hAnsi="黑体" w:eastAsia="黑体"/>
          <w:snapToGrid w:val="0"/>
          <w:sz w:val="30"/>
          <w:szCs w:val="30"/>
        </w:rPr>
        <w:t>五、</w:t>
      </w:r>
      <w:bookmarkStart w:id="29" w:name="_Hlk54167917"/>
      <w:r>
        <w:rPr>
          <w:rFonts w:hint="eastAsia" w:ascii="黑体" w:hAnsi="黑体" w:eastAsia="黑体"/>
          <w:snapToGrid w:val="0"/>
          <w:sz w:val="30"/>
          <w:szCs w:val="30"/>
        </w:rPr>
        <w:t>环境保护措施监督检查清单</w:t>
      </w:r>
      <w:bookmarkEnd w:id="26"/>
      <w:bookmarkEnd w:id="27"/>
      <w:bookmarkEnd w:id="28"/>
      <w:bookmarkEnd w:id="29"/>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1838"/>
        <w:gridCol w:w="1417"/>
        <w:gridCol w:w="1983"/>
        <w:gridCol w:w="21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tcBorders>
              <w:tl2br w:val="single" w:color="auto" w:sz="4" w:space="0"/>
            </w:tcBorders>
          </w:tcPr>
          <w:p>
            <w:pPr>
              <w:pStyle w:val="47"/>
              <w:rPr>
                <w:rFonts w:hint="eastAsia" w:ascii="宋体" w:hAnsi="宋体" w:eastAsia="宋体" w:cs="宋体"/>
                <w:u w:val="none"/>
              </w:rPr>
            </w:pPr>
            <w:r>
              <w:rPr>
                <w:rFonts w:hint="eastAsia" w:ascii="宋体" w:hAnsi="宋体" w:eastAsia="宋体" w:cs="宋体"/>
                <w:u w:val="none"/>
              </w:rPr>
              <w:t>内容</w:t>
            </w:r>
          </w:p>
          <w:p>
            <w:pPr>
              <w:pStyle w:val="47"/>
              <w:rPr>
                <w:rFonts w:hint="eastAsia" w:ascii="宋体" w:hAnsi="宋体" w:eastAsia="宋体" w:cs="宋体"/>
                <w:u w:val="none"/>
              </w:rPr>
            </w:pPr>
            <w:r>
              <w:rPr>
                <w:rFonts w:hint="eastAsia" w:ascii="宋体" w:hAnsi="宋体" w:eastAsia="宋体" w:cs="宋体"/>
                <w:u w:val="none"/>
              </w:rPr>
              <w:t>要素</w:t>
            </w:r>
          </w:p>
        </w:tc>
        <w:tc>
          <w:tcPr>
            <w:tcW w:w="1838" w:type="dxa"/>
            <w:vAlign w:val="center"/>
          </w:tcPr>
          <w:p>
            <w:pPr>
              <w:pStyle w:val="47"/>
              <w:rPr>
                <w:rFonts w:hint="eastAsia" w:ascii="宋体" w:hAnsi="宋体" w:eastAsia="宋体" w:cs="宋体"/>
                <w:u w:val="none"/>
              </w:rPr>
            </w:pPr>
            <w:r>
              <w:rPr>
                <w:rFonts w:hint="eastAsia" w:ascii="宋体" w:hAnsi="宋体" w:eastAsia="宋体" w:cs="宋体"/>
                <w:u w:val="none"/>
              </w:rPr>
              <w:t>排放口(编号、</w:t>
            </w:r>
          </w:p>
          <w:p>
            <w:pPr>
              <w:pStyle w:val="47"/>
              <w:rPr>
                <w:rFonts w:hint="eastAsia" w:ascii="宋体" w:hAnsi="宋体" w:eastAsia="宋体" w:cs="宋体"/>
                <w:u w:val="none"/>
              </w:rPr>
            </w:pPr>
            <w:r>
              <w:rPr>
                <w:rFonts w:hint="eastAsia" w:ascii="宋体" w:hAnsi="宋体" w:eastAsia="宋体" w:cs="宋体"/>
                <w:u w:val="none"/>
              </w:rPr>
              <w:t>名称)/污染源</w:t>
            </w:r>
          </w:p>
        </w:tc>
        <w:tc>
          <w:tcPr>
            <w:tcW w:w="1417" w:type="dxa"/>
            <w:vAlign w:val="center"/>
          </w:tcPr>
          <w:p>
            <w:pPr>
              <w:pStyle w:val="47"/>
              <w:rPr>
                <w:rFonts w:hint="eastAsia" w:ascii="宋体" w:hAnsi="宋体" w:eastAsia="宋体" w:cs="宋体"/>
                <w:u w:val="none"/>
              </w:rPr>
            </w:pPr>
            <w:r>
              <w:rPr>
                <w:rFonts w:hint="eastAsia" w:ascii="宋体" w:hAnsi="宋体" w:eastAsia="宋体" w:cs="宋体"/>
                <w:u w:val="none"/>
              </w:rPr>
              <w:t>污染物项目</w:t>
            </w:r>
          </w:p>
        </w:tc>
        <w:tc>
          <w:tcPr>
            <w:tcW w:w="1983" w:type="dxa"/>
            <w:vAlign w:val="center"/>
          </w:tcPr>
          <w:p>
            <w:pPr>
              <w:pStyle w:val="47"/>
              <w:rPr>
                <w:rFonts w:hint="eastAsia" w:ascii="宋体" w:hAnsi="宋体" w:eastAsia="宋体" w:cs="宋体"/>
                <w:u w:val="none"/>
              </w:rPr>
            </w:pPr>
            <w:r>
              <w:rPr>
                <w:rFonts w:hint="eastAsia" w:ascii="宋体" w:hAnsi="宋体" w:eastAsia="宋体" w:cs="宋体"/>
                <w:u w:val="none"/>
              </w:rPr>
              <w:t>环境保护措施</w:t>
            </w:r>
          </w:p>
        </w:tc>
        <w:tc>
          <w:tcPr>
            <w:tcW w:w="2166" w:type="dxa"/>
            <w:vAlign w:val="center"/>
          </w:tcPr>
          <w:p>
            <w:pPr>
              <w:pStyle w:val="47"/>
              <w:rPr>
                <w:rFonts w:hint="eastAsia" w:ascii="宋体" w:hAnsi="宋体" w:eastAsia="宋体" w:cs="宋体"/>
                <w:u w:val="none"/>
              </w:rPr>
            </w:pPr>
            <w:r>
              <w:rPr>
                <w:rFonts w:hint="eastAsia" w:ascii="宋体" w:hAnsi="宋体" w:eastAsia="宋体" w:cs="宋体"/>
                <w:u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396" w:type="dxa"/>
            <w:vMerge w:val="restart"/>
            <w:vAlign w:val="center"/>
          </w:tcPr>
          <w:p>
            <w:pPr>
              <w:pStyle w:val="47"/>
              <w:rPr>
                <w:rFonts w:hint="eastAsia" w:ascii="宋体" w:hAnsi="宋体" w:eastAsia="宋体" w:cs="宋体"/>
                <w:u w:val="none"/>
              </w:rPr>
            </w:pPr>
            <w:r>
              <w:rPr>
                <w:rFonts w:hint="eastAsia" w:ascii="宋体" w:hAnsi="宋体" w:eastAsia="宋体" w:cs="宋体"/>
                <w:u w:val="none"/>
              </w:rPr>
              <w:t>大气环境</w:t>
            </w:r>
          </w:p>
        </w:tc>
        <w:tc>
          <w:tcPr>
            <w:tcW w:w="1838" w:type="dxa"/>
            <w:vAlign w:val="center"/>
          </w:tcPr>
          <w:p>
            <w:pPr>
              <w:pStyle w:val="47"/>
              <w:jc w:val="both"/>
              <w:rPr>
                <w:rFonts w:hint="default" w:ascii="宋体" w:hAnsi="宋体" w:eastAsia="宋体" w:cs="宋体"/>
                <w:u w:val="none"/>
                <w:lang w:val="en-US" w:eastAsia="zh-CN"/>
              </w:rPr>
            </w:pPr>
            <w:r>
              <w:rPr>
                <w:rFonts w:hint="eastAsia" w:ascii="宋体" w:hAnsi="宋体" w:cs="宋体"/>
                <w:u w:val="none"/>
                <w:lang w:val="en-US" w:eastAsia="zh-CN"/>
              </w:rPr>
              <w:t>DA001生物质锅炉</w:t>
            </w:r>
          </w:p>
        </w:tc>
        <w:tc>
          <w:tcPr>
            <w:tcW w:w="1417" w:type="dxa"/>
            <w:vAlign w:val="center"/>
          </w:tcPr>
          <w:p>
            <w:pPr>
              <w:pStyle w:val="47"/>
              <w:rPr>
                <w:rFonts w:hint="eastAsia" w:ascii="宋体" w:hAnsi="宋体" w:eastAsia="宋体" w:cs="宋体"/>
                <w:u w:val="none"/>
              </w:rPr>
            </w:pPr>
            <w:r>
              <w:rPr>
                <w:rFonts w:hint="eastAsia" w:ascii="宋体" w:hAnsi="宋体" w:eastAsia="宋体" w:cs="宋体"/>
                <w:u w:val="none"/>
              </w:rPr>
              <w:t>颗粒物、氮氧化物、二氧化硫、烟气黑度</w:t>
            </w:r>
          </w:p>
        </w:tc>
        <w:tc>
          <w:tcPr>
            <w:tcW w:w="1983" w:type="dxa"/>
            <w:vAlign w:val="center"/>
          </w:tcPr>
          <w:p>
            <w:pPr>
              <w:pStyle w:val="47"/>
              <w:rPr>
                <w:rFonts w:hint="eastAsia" w:ascii="宋体" w:hAnsi="宋体" w:eastAsia="宋体" w:cs="宋体"/>
                <w:u w:val="none"/>
                <w:lang w:val="en-US" w:eastAsia="zh-CN"/>
              </w:rPr>
            </w:pPr>
            <w:r>
              <w:rPr>
                <w:rFonts w:hint="eastAsia" w:ascii="宋体" w:hAnsi="宋体" w:cs="宋体"/>
                <w:u w:val="none"/>
                <w:lang w:val="en-US" w:eastAsia="zh-CN"/>
              </w:rPr>
              <w:t>多管</w:t>
            </w:r>
            <w:r>
              <w:rPr>
                <w:rFonts w:hint="eastAsia" w:ascii="宋体" w:hAnsi="宋体" w:eastAsia="宋体" w:cs="宋体"/>
                <w:u w:val="none"/>
                <w:lang w:val="en-US" w:eastAsia="zh-CN"/>
              </w:rPr>
              <w:t>除尘+布袋除尘器</w:t>
            </w:r>
          </w:p>
        </w:tc>
        <w:tc>
          <w:tcPr>
            <w:tcW w:w="2166" w:type="dxa"/>
            <w:vAlign w:val="center"/>
          </w:tcPr>
          <w:p>
            <w:pPr>
              <w:pStyle w:val="47"/>
              <w:rPr>
                <w:rFonts w:hint="eastAsia" w:ascii="宋体" w:hAnsi="宋体" w:eastAsia="宋体" w:cs="宋体"/>
                <w:u w:val="none"/>
              </w:rPr>
            </w:pPr>
            <w:r>
              <w:rPr>
                <w:rFonts w:hint="eastAsia" w:ascii="宋体" w:hAnsi="宋体" w:eastAsia="宋体" w:cs="宋体"/>
                <w:u w:val="none"/>
              </w:rPr>
              <w:t>《锅炉大气污染物排放标准》（GB13271-2014）中表3特别排放限值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396" w:type="dxa"/>
            <w:vMerge w:val="continue"/>
            <w:vAlign w:val="center"/>
          </w:tcPr>
          <w:p>
            <w:pPr>
              <w:pStyle w:val="47"/>
              <w:rPr>
                <w:rFonts w:hint="eastAsia" w:ascii="宋体" w:hAnsi="宋体" w:eastAsia="宋体" w:cs="宋体"/>
                <w:u w:val="none"/>
              </w:rPr>
            </w:pPr>
          </w:p>
        </w:tc>
        <w:tc>
          <w:tcPr>
            <w:tcW w:w="1838" w:type="dxa"/>
            <w:vAlign w:val="center"/>
          </w:tcPr>
          <w:p>
            <w:pPr>
              <w:pStyle w:val="47"/>
              <w:rPr>
                <w:rFonts w:hint="eastAsia" w:ascii="宋体" w:hAnsi="宋体" w:eastAsia="宋体" w:cs="宋体"/>
                <w:u w:val="none"/>
                <w:lang w:eastAsia="zh-CN"/>
              </w:rPr>
            </w:pPr>
            <w:r>
              <w:rPr>
                <w:rFonts w:hint="eastAsia" w:ascii="宋体" w:hAnsi="宋体" w:eastAsia="宋体" w:cs="宋体"/>
                <w:u w:val="none"/>
                <w:lang w:val="en-US" w:eastAsia="zh-CN"/>
              </w:rPr>
              <w:t>食堂</w:t>
            </w:r>
          </w:p>
        </w:tc>
        <w:tc>
          <w:tcPr>
            <w:tcW w:w="1417" w:type="dxa"/>
            <w:vAlign w:val="center"/>
          </w:tcPr>
          <w:p>
            <w:pPr>
              <w:pStyle w:val="47"/>
              <w:rPr>
                <w:rFonts w:hint="eastAsia" w:ascii="宋体" w:hAnsi="宋体" w:eastAsia="宋体" w:cs="宋体"/>
                <w:u w:val="none"/>
              </w:rPr>
            </w:pPr>
            <w:r>
              <w:rPr>
                <w:rFonts w:hint="eastAsia" w:ascii="宋体" w:hAnsi="宋体" w:eastAsia="宋体" w:cs="宋体"/>
                <w:u w:val="none"/>
              </w:rPr>
              <w:t>油烟</w:t>
            </w:r>
          </w:p>
        </w:tc>
        <w:tc>
          <w:tcPr>
            <w:tcW w:w="1983" w:type="dxa"/>
            <w:vAlign w:val="center"/>
          </w:tcPr>
          <w:p>
            <w:pPr>
              <w:pStyle w:val="47"/>
              <w:rPr>
                <w:rFonts w:hint="eastAsia" w:ascii="宋体" w:hAnsi="宋体" w:eastAsia="宋体" w:cs="宋体"/>
                <w:u w:val="none"/>
              </w:rPr>
            </w:pPr>
            <w:r>
              <w:rPr>
                <w:rFonts w:hint="eastAsia" w:ascii="宋体" w:hAnsi="宋体" w:eastAsia="宋体" w:cs="宋体"/>
                <w:u w:val="none"/>
              </w:rPr>
              <w:t>油烟净化器</w:t>
            </w:r>
          </w:p>
        </w:tc>
        <w:tc>
          <w:tcPr>
            <w:tcW w:w="2166" w:type="dxa"/>
            <w:vAlign w:val="center"/>
          </w:tcPr>
          <w:p>
            <w:pPr>
              <w:pStyle w:val="47"/>
              <w:rPr>
                <w:rFonts w:hint="eastAsia" w:ascii="宋体" w:hAnsi="宋体" w:eastAsia="宋体" w:cs="宋体"/>
                <w:u w:val="none"/>
              </w:rPr>
            </w:pPr>
            <w:r>
              <w:rPr>
                <w:rFonts w:hint="eastAsia" w:ascii="宋体" w:hAnsi="宋体" w:eastAsia="宋体" w:cs="宋体"/>
                <w:u w:val="none"/>
              </w:rPr>
              <w:t>《饮食业油烟排放标准（试行）》中的“小型规模”限值要求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396" w:type="dxa"/>
            <w:vMerge w:val="continue"/>
            <w:vAlign w:val="center"/>
          </w:tcPr>
          <w:p>
            <w:pPr>
              <w:pStyle w:val="47"/>
              <w:rPr>
                <w:rFonts w:hint="eastAsia" w:ascii="宋体" w:hAnsi="宋体" w:eastAsia="宋体" w:cs="宋体"/>
                <w:u w:val="none"/>
              </w:rPr>
            </w:pPr>
          </w:p>
        </w:tc>
        <w:tc>
          <w:tcPr>
            <w:tcW w:w="1838" w:type="dxa"/>
            <w:vAlign w:val="center"/>
          </w:tcPr>
          <w:p>
            <w:pPr>
              <w:pStyle w:val="47"/>
              <w:rPr>
                <w:rFonts w:hint="eastAsia" w:ascii="宋体" w:hAnsi="宋体" w:eastAsia="宋体" w:cs="宋体"/>
                <w:u w:val="none"/>
              </w:rPr>
            </w:pPr>
            <w:r>
              <w:rPr>
                <w:rFonts w:hint="eastAsia" w:ascii="宋体" w:hAnsi="宋体" w:eastAsia="宋体" w:cs="宋体"/>
                <w:color w:val="000000" w:themeColor="text1"/>
                <w:u w:val="none"/>
                <w14:textFill>
                  <w14:solidFill>
                    <w14:schemeClr w14:val="tx1"/>
                  </w14:solidFill>
                </w14:textFill>
              </w:rPr>
              <w:t>拌料装瓶车间</w:t>
            </w:r>
          </w:p>
        </w:tc>
        <w:tc>
          <w:tcPr>
            <w:tcW w:w="1417" w:type="dxa"/>
            <w:vAlign w:val="center"/>
          </w:tcPr>
          <w:p>
            <w:pPr>
              <w:pStyle w:val="47"/>
              <w:rPr>
                <w:rFonts w:hint="eastAsia" w:ascii="宋体" w:hAnsi="宋体" w:eastAsia="宋体" w:cs="宋体"/>
                <w:u w:val="none"/>
              </w:rPr>
            </w:pPr>
            <w:r>
              <w:rPr>
                <w:rFonts w:hint="eastAsia" w:ascii="宋体" w:hAnsi="宋体" w:eastAsia="宋体" w:cs="宋体"/>
                <w:u w:val="none"/>
              </w:rPr>
              <w:t>颗粒物</w:t>
            </w:r>
          </w:p>
        </w:tc>
        <w:tc>
          <w:tcPr>
            <w:tcW w:w="1983" w:type="dxa"/>
            <w:vAlign w:val="center"/>
          </w:tcPr>
          <w:p>
            <w:pPr>
              <w:pStyle w:val="47"/>
              <w:rPr>
                <w:rFonts w:hint="eastAsia" w:ascii="宋体" w:hAnsi="宋体" w:eastAsia="宋体" w:cs="宋体"/>
                <w:u w:val="none"/>
              </w:rPr>
            </w:pPr>
            <w:r>
              <w:rPr>
                <w:rFonts w:hint="eastAsia" w:ascii="宋体" w:hAnsi="宋体" w:eastAsia="宋体" w:cs="宋体"/>
                <w:color w:val="000000" w:themeColor="text1"/>
                <w:u w:val="none"/>
                <w:shd w:val="clear" w:color="auto" w:fill="FFFFFF"/>
                <w14:textFill>
                  <w14:solidFill>
                    <w14:schemeClr w14:val="tx1"/>
                  </w14:solidFill>
                </w14:textFill>
              </w:rPr>
              <w:t>车间内加强通风</w:t>
            </w:r>
          </w:p>
        </w:tc>
        <w:tc>
          <w:tcPr>
            <w:tcW w:w="2166" w:type="dxa"/>
            <w:vAlign w:val="center"/>
          </w:tcPr>
          <w:p>
            <w:pPr>
              <w:pStyle w:val="47"/>
              <w:rPr>
                <w:rFonts w:hint="eastAsia" w:ascii="宋体" w:hAnsi="宋体" w:eastAsia="宋体" w:cs="宋体"/>
                <w:u w:val="none"/>
              </w:rPr>
            </w:pPr>
            <w:r>
              <w:rPr>
                <w:rFonts w:hint="eastAsia" w:ascii="宋体" w:hAnsi="宋体" w:eastAsia="宋体" w:cs="宋体"/>
                <w:color w:val="000000" w:themeColor="text1"/>
                <w:u w:val="none"/>
                <w:shd w:val="clear" w:color="auto" w:fill="FFFFFF"/>
                <w14:textFill>
                  <w14:solidFill>
                    <w14:schemeClr w14:val="tx1"/>
                  </w14:solidFill>
                </w14:textFill>
              </w:rPr>
              <w:t>《大气污染物综合排放标准》（GB16297-1996）无组织排放限值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396" w:type="dxa"/>
            <w:vMerge w:val="continue"/>
            <w:vAlign w:val="center"/>
          </w:tcPr>
          <w:p>
            <w:pPr>
              <w:pStyle w:val="47"/>
              <w:rPr>
                <w:rFonts w:hint="eastAsia" w:ascii="宋体" w:hAnsi="宋体" w:eastAsia="宋体" w:cs="宋体"/>
                <w:u w:val="none"/>
              </w:rPr>
            </w:pPr>
          </w:p>
        </w:tc>
        <w:tc>
          <w:tcPr>
            <w:tcW w:w="1838" w:type="dxa"/>
            <w:vAlign w:val="center"/>
          </w:tcPr>
          <w:p>
            <w:pPr>
              <w:pStyle w:val="47"/>
              <w:rPr>
                <w:rFonts w:hint="eastAsia" w:ascii="宋体" w:hAnsi="宋体" w:eastAsia="宋体" w:cs="宋体"/>
                <w:u w:val="none"/>
              </w:rPr>
            </w:pPr>
            <w:r>
              <w:rPr>
                <w:rFonts w:hint="eastAsia" w:ascii="宋体" w:hAnsi="宋体" w:eastAsia="宋体" w:cs="宋体"/>
                <w:u w:val="none"/>
                <w:lang w:eastAsia="zh-CN"/>
              </w:rPr>
              <w:t>采收</w:t>
            </w:r>
            <w:r>
              <w:rPr>
                <w:rFonts w:hint="eastAsia" w:ascii="宋体" w:hAnsi="宋体" w:eastAsia="宋体" w:cs="宋体"/>
                <w:u w:val="none"/>
              </w:rPr>
              <w:t>车间</w:t>
            </w:r>
          </w:p>
        </w:tc>
        <w:tc>
          <w:tcPr>
            <w:tcW w:w="1417" w:type="dxa"/>
            <w:vAlign w:val="center"/>
          </w:tcPr>
          <w:p>
            <w:pPr>
              <w:pStyle w:val="47"/>
              <w:rPr>
                <w:rFonts w:hint="eastAsia" w:ascii="宋体" w:hAnsi="宋体" w:eastAsia="宋体" w:cs="宋体"/>
                <w:u w:val="none"/>
              </w:rPr>
            </w:pPr>
            <w:r>
              <w:rPr>
                <w:rFonts w:hint="eastAsia" w:ascii="宋体" w:hAnsi="宋体" w:eastAsia="宋体" w:cs="宋体"/>
                <w:u w:val="none"/>
              </w:rPr>
              <w:t>臭气浓度</w:t>
            </w:r>
          </w:p>
        </w:tc>
        <w:tc>
          <w:tcPr>
            <w:tcW w:w="1983" w:type="dxa"/>
            <w:vAlign w:val="center"/>
          </w:tcPr>
          <w:p>
            <w:pPr>
              <w:pStyle w:val="47"/>
              <w:rPr>
                <w:rFonts w:hint="eastAsia" w:ascii="宋体" w:hAnsi="宋体" w:eastAsia="宋体" w:cs="宋体"/>
                <w:u w:val="none"/>
              </w:rPr>
            </w:pPr>
            <w:r>
              <w:rPr>
                <w:rFonts w:hint="eastAsia" w:ascii="宋体" w:hAnsi="宋体" w:eastAsia="宋体" w:cs="宋体"/>
                <w:color w:val="000000" w:themeColor="text1"/>
                <w:u w:val="none"/>
                <w:shd w:val="clear" w:color="auto" w:fill="FFFFFF"/>
                <w14:textFill>
                  <w14:solidFill>
                    <w14:schemeClr w14:val="tx1"/>
                  </w14:solidFill>
                </w14:textFill>
              </w:rPr>
              <w:t>车间内加强通风</w:t>
            </w:r>
          </w:p>
        </w:tc>
        <w:tc>
          <w:tcPr>
            <w:tcW w:w="2166" w:type="dxa"/>
            <w:vAlign w:val="center"/>
          </w:tcPr>
          <w:p>
            <w:pPr>
              <w:pStyle w:val="47"/>
              <w:rPr>
                <w:rFonts w:hint="eastAsia" w:ascii="宋体" w:hAnsi="宋体" w:eastAsia="宋体" w:cs="宋体"/>
                <w:u w:val="none"/>
              </w:rPr>
            </w:pPr>
            <w:r>
              <w:rPr>
                <w:rFonts w:hint="eastAsia" w:ascii="宋体" w:hAnsi="宋体" w:eastAsia="宋体" w:cs="宋体"/>
                <w:color w:val="000000" w:themeColor="text1"/>
                <w:u w:val="none"/>
                <w:shd w:val="clear" w:color="auto" w:fill="FFFFFF"/>
                <w14:textFill>
                  <w14:solidFill>
                    <w14:schemeClr w14:val="tx1"/>
                  </w14:solidFill>
                </w14:textFill>
              </w:rPr>
              <w:t>《恶臭污染物排放标准》（GB14554-93）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96" w:type="dxa"/>
            <w:vMerge w:val="restart"/>
            <w:vAlign w:val="center"/>
          </w:tcPr>
          <w:p>
            <w:pPr>
              <w:pStyle w:val="47"/>
              <w:rPr>
                <w:rFonts w:hint="eastAsia" w:ascii="宋体" w:hAnsi="宋体" w:eastAsia="宋体" w:cs="宋体"/>
                <w:u w:val="none"/>
              </w:rPr>
            </w:pPr>
            <w:r>
              <w:rPr>
                <w:rFonts w:hint="eastAsia" w:ascii="宋体" w:hAnsi="宋体" w:eastAsia="宋体" w:cs="宋体"/>
                <w:u w:val="none"/>
              </w:rPr>
              <w:t>水环境</w:t>
            </w:r>
          </w:p>
        </w:tc>
        <w:tc>
          <w:tcPr>
            <w:tcW w:w="1838" w:type="dxa"/>
            <w:vAlign w:val="center"/>
          </w:tcPr>
          <w:p>
            <w:pPr>
              <w:pStyle w:val="47"/>
              <w:rPr>
                <w:rFonts w:hint="eastAsia" w:ascii="宋体" w:hAnsi="宋体" w:eastAsia="宋体" w:cs="宋体"/>
                <w:u w:val="none"/>
              </w:rPr>
            </w:pPr>
            <w:r>
              <w:rPr>
                <w:rFonts w:hint="eastAsia" w:ascii="宋体" w:hAnsi="宋体" w:eastAsia="宋体" w:cs="宋体"/>
                <w:u w:val="none"/>
              </w:rPr>
              <w:t>生活废水</w:t>
            </w:r>
          </w:p>
        </w:tc>
        <w:tc>
          <w:tcPr>
            <w:tcW w:w="1417" w:type="dxa"/>
            <w:vAlign w:val="center"/>
          </w:tcPr>
          <w:p>
            <w:pPr>
              <w:pStyle w:val="47"/>
              <w:rPr>
                <w:rFonts w:hint="eastAsia" w:ascii="宋体" w:hAnsi="宋体" w:eastAsia="宋体" w:cs="宋体"/>
                <w:u w:val="none"/>
              </w:rPr>
            </w:pPr>
            <w:r>
              <w:rPr>
                <w:rFonts w:hint="eastAsia" w:ascii="宋体" w:hAnsi="宋体" w:eastAsia="宋体" w:cs="宋体"/>
                <w:u w:val="none"/>
              </w:rPr>
              <w:t>COD、氨氮等</w:t>
            </w:r>
          </w:p>
        </w:tc>
        <w:tc>
          <w:tcPr>
            <w:tcW w:w="1983" w:type="dxa"/>
            <w:vAlign w:val="center"/>
          </w:tcPr>
          <w:p>
            <w:pPr>
              <w:pStyle w:val="47"/>
              <w:rPr>
                <w:rFonts w:hint="default" w:ascii="宋体" w:hAnsi="宋体" w:eastAsia="宋体" w:cs="宋体"/>
                <w:u w:val="none"/>
                <w:lang w:val="en-US" w:eastAsia="zh-CN"/>
              </w:rPr>
            </w:pPr>
            <w:r>
              <w:rPr>
                <w:rFonts w:hint="eastAsia" w:ascii="宋体" w:hAnsi="宋体" w:eastAsia="宋体" w:cs="宋体"/>
                <w:u w:val="none"/>
              </w:rPr>
              <w:t>化粪池</w:t>
            </w:r>
            <w:r>
              <w:rPr>
                <w:rFonts w:hint="eastAsia" w:ascii="宋体" w:hAnsi="宋体" w:eastAsia="宋体" w:cs="宋体"/>
                <w:u w:val="none"/>
                <w:lang w:eastAsia="zh-CN"/>
              </w:rPr>
              <w:t>、</w:t>
            </w:r>
            <w:r>
              <w:rPr>
                <w:rFonts w:hint="eastAsia" w:ascii="宋体" w:hAnsi="宋体" w:eastAsia="宋体" w:cs="宋体"/>
                <w:u w:val="none"/>
                <w:lang w:val="en-US" w:eastAsia="zh-CN"/>
              </w:rPr>
              <w:t>隔油池</w:t>
            </w:r>
            <w:r>
              <w:rPr>
                <w:rFonts w:hint="eastAsia" w:ascii="宋体" w:hAnsi="宋体" w:eastAsia="宋体" w:cs="宋体"/>
                <w:u w:val="none"/>
              </w:rPr>
              <w:t>处理</w:t>
            </w:r>
            <w:r>
              <w:rPr>
                <w:rFonts w:hint="eastAsia" w:ascii="宋体" w:hAnsi="宋体" w:eastAsia="宋体" w:cs="宋体"/>
                <w:u w:val="none"/>
                <w:lang w:val="en-US" w:eastAsia="zh-CN"/>
              </w:rPr>
              <w:t>由</w:t>
            </w:r>
            <w:r>
              <w:rPr>
                <w:rFonts w:hint="eastAsia" w:ascii="宋体" w:hAnsi="宋体" w:cs="宋体"/>
                <w:u w:val="none"/>
                <w:lang w:val="en-US" w:eastAsia="zh-CN"/>
              </w:rPr>
              <w:t>一体化污水处理设施处理后做农田灌溉用水</w:t>
            </w:r>
          </w:p>
        </w:tc>
        <w:tc>
          <w:tcPr>
            <w:tcW w:w="2166" w:type="dxa"/>
            <w:vAlign w:val="center"/>
          </w:tcPr>
          <w:p>
            <w:pPr>
              <w:pStyle w:val="47"/>
              <w:rPr>
                <w:rFonts w:hint="default" w:ascii="宋体" w:hAnsi="宋体" w:eastAsia="宋体" w:cs="宋体"/>
                <w:color w:val="000000" w:themeColor="text1"/>
                <w:u w:val="none"/>
                <w:shd w:val="clear" w:color="auto" w:fill="FFFFFF"/>
                <w:lang w:val="en-US"/>
                <w14:textFill>
                  <w14:solidFill>
                    <w14:schemeClr w14:val="tx1"/>
                  </w14:solidFill>
                </w14:textFill>
              </w:rPr>
            </w:pPr>
            <w:r>
              <w:rPr>
                <w:rFonts w:hint="eastAsia" w:ascii="宋体" w:hAnsi="宋体" w:eastAsia="宋体" w:cs="宋体"/>
                <w:color w:val="000000" w:themeColor="text1"/>
                <w:u w:val="none"/>
                <w:shd w:val="clear" w:color="auto" w:fill="FFFFFF"/>
                <w:lang w:val="en-US" w:eastAsia="zh-CN"/>
                <w14:textFill>
                  <w14:solidFill>
                    <w14:schemeClr w14:val="tx1"/>
                  </w14:solidFill>
                </w14:textFill>
              </w:rPr>
              <w:t>执行《</w:t>
            </w:r>
            <w:r>
              <w:rPr>
                <w:rFonts w:hint="eastAsia" w:ascii="宋体" w:hAnsi="宋体" w:cs="宋体"/>
                <w:color w:val="000000" w:themeColor="text1"/>
                <w:u w:val="none"/>
                <w:shd w:val="clear" w:color="auto" w:fill="FFFFFF"/>
                <w:lang w:val="en-US" w:eastAsia="zh-CN"/>
                <w14:textFill>
                  <w14:solidFill>
                    <w14:schemeClr w14:val="tx1"/>
                  </w14:solidFill>
                </w14:textFill>
              </w:rPr>
              <w:t>农田灌溉水质标准</w:t>
            </w:r>
            <w:r>
              <w:rPr>
                <w:rFonts w:hint="eastAsia" w:ascii="宋体" w:hAnsi="宋体" w:eastAsia="宋体" w:cs="宋体"/>
                <w:color w:val="000000" w:themeColor="text1"/>
                <w:u w:val="none"/>
                <w:shd w:val="clear" w:color="auto" w:fill="FFFFFF"/>
                <w:lang w:val="en-US" w:eastAsia="zh-CN"/>
                <w14:textFill>
                  <w14:solidFill>
                    <w14:schemeClr w14:val="tx1"/>
                  </w14:solidFill>
                </w14:textFill>
              </w:rPr>
              <w:t>》（</w:t>
            </w:r>
            <w:r>
              <w:rPr>
                <w:rFonts w:hint="eastAsia" w:ascii="宋体" w:hAnsi="宋体" w:cs="宋体"/>
                <w:color w:val="000000" w:themeColor="text1"/>
                <w:u w:val="none"/>
                <w:shd w:val="clear" w:color="auto" w:fill="FFFFFF"/>
                <w:lang w:val="en-US" w:eastAsia="zh-CN"/>
                <w14:textFill>
                  <w14:solidFill>
                    <w14:schemeClr w14:val="tx1"/>
                  </w14:solidFill>
                </w14:textFill>
              </w:rPr>
              <w:t>GB5084-2021</w:t>
            </w:r>
            <w:r>
              <w:rPr>
                <w:rFonts w:hint="eastAsia" w:ascii="宋体" w:hAnsi="宋体" w:eastAsia="宋体" w:cs="宋体"/>
                <w:color w:val="000000" w:themeColor="text1"/>
                <w:u w:val="none"/>
                <w:shd w:val="clear" w:color="auto" w:fill="FFFFFF"/>
                <w:lang w:val="en-US" w:eastAsia="zh-CN"/>
                <w14:textFill>
                  <w14:solidFill>
                    <w14:schemeClr w14:val="tx1"/>
                  </w14:solidFill>
                </w14:textFill>
              </w:rPr>
              <w:t>）</w:t>
            </w:r>
            <w:r>
              <w:rPr>
                <w:rFonts w:hint="eastAsia" w:ascii="宋体" w:hAnsi="宋体" w:cs="宋体"/>
                <w:color w:val="000000" w:themeColor="text1"/>
                <w:u w:val="none"/>
                <w:shd w:val="clear" w:color="auto" w:fill="FFFFFF"/>
                <w:lang w:val="en-US" w:eastAsia="zh-CN"/>
                <w14:textFill>
                  <w14:solidFill>
                    <w14:schemeClr w14:val="tx1"/>
                  </w14:solidFill>
                </w14:textFill>
              </w:rPr>
              <w:t>蔬菜作物标准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96" w:type="dxa"/>
            <w:vMerge w:val="continue"/>
            <w:vAlign w:val="center"/>
          </w:tcPr>
          <w:p>
            <w:pPr>
              <w:pStyle w:val="47"/>
              <w:rPr>
                <w:rFonts w:hint="eastAsia" w:ascii="宋体" w:hAnsi="宋体" w:eastAsia="宋体" w:cs="宋体"/>
                <w:u w:val="none"/>
              </w:rPr>
            </w:pPr>
          </w:p>
        </w:tc>
        <w:tc>
          <w:tcPr>
            <w:tcW w:w="1838" w:type="dxa"/>
            <w:vAlign w:val="center"/>
          </w:tcPr>
          <w:p>
            <w:pPr>
              <w:pStyle w:val="47"/>
              <w:rPr>
                <w:rFonts w:hint="eastAsia" w:ascii="宋体" w:hAnsi="宋体" w:eastAsia="宋体" w:cs="宋体"/>
                <w:u w:val="none"/>
                <w:lang w:eastAsia="zh-CN"/>
              </w:rPr>
            </w:pPr>
            <w:r>
              <w:rPr>
                <w:rFonts w:hint="eastAsia" w:ascii="宋体" w:hAnsi="宋体" w:cs="宋体"/>
                <w:u w:val="none"/>
                <w:lang w:eastAsia="zh-CN"/>
              </w:rPr>
              <w:t>锅炉排污水</w:t>
            </w:r>
          </w:p>
          <w:p>
            <w:pPr>
              <w:pStyle w:val="47"/>
              <w:rPr>
                <w:rFonts w:hint="eastAsia" w:ascii="宋体" w:hAnsi="宋体" w:eastAsia="宋体" w:cs="宋体"/>
                <w:u w:val="none"/>
                <w:lang w:val="en-US" w:eastAsia="zh-CN"/>
              </w:rPr>
            </w:pPr>
            <w:r>
              <w:rPr>
                <w:rFonts w:hint="eastAsia" w:ascii="宋体" w:hAnsi="宋体" w:eastAsia="宋体" w:cs="宋体"/>
                <w:u w:val="none"/>
                <w:lang w:val="en-US" w:eastAsia="zh-CN"/>
              </w:rPr>
              <w:t>软水制备废水</w:t>
            </w:r>
          </w:p>
        </w:tc>
        <w:tc>
          <w:tcPr>
            <w:tcW w:w="1417" w:type="dxa"/>
            <w:vAlign w:val="center"/>
          </w:tcPr>
          <w:p>
            <w:pPr>
              <w:pStyle w:val="47"/>
              <w:rPr>
                <w:rFonts w:hint="eastAsia" w:ascii="宋体" w:hAnsi="宋体" w:eastAsia="宋体" w:cs="宋体"/>
                <w:u w:val="none"/>
              </w:rPr>
            </w:pPr>
            <w:r>
              <w:rPr>
                <w:rFonts w:hint="eastAsia" w:ascii="宋体" w:hAnsi="宋体" w:eastAsia="宋体" w:cs="宋体"/>
                <w:u w:val="none"/>
              </w:rPr>
              <w:t>SS</w:t>
            </w:r>
          </w:p>
        </w:tc>
        <w:tc>
          <w:tcPr>
            <w:tcW w:w="1983" w:type="dxa"/>
            <w:vAlign w:val="center"/>
          </w:tcPr>
          <w:p>
            <w:pPr>
              <w:pStyle w:val="47"/>
              <w:rPr>
                <w:rFonts w:hint="eastAsia" w:ascii="宋体" w:hAnsi="宋体" w:eastAsia="宋体" w:cs="宋体"/>
                <w:u w:val="none"/>
                <w:lang w:val="en-US" w:eastAsia="zh-CN"/>
              </w:rPr>
            </w:pPr>
            <w:r>
              <w:rPr>
                <w:rFonts w:hint="eastAsia" w:ascii="宋体" w:hAnsi="宋体" w:eastAsia="宋体" w:cs="宋体"/>
                <w:u w:val="none"/>
              </w:rPr>
              <w:t>沉淀池处理后厂内</w:t>
            </w:r>
            <w:r>
              <w:rPr>
                <w:rFonts w:hint="eastAsia" w:ascii="宋体" w:hAnsi="宋体" w:eastAsia="宋体" w:cs="宋体"/>
                <w:u w:val="none"/>
                <w:lang w:val="en-US" w:eastAsia="zh-CN"/>
              </w:rPr>
              <w:t>生产工序</w:t>
            </w:r>
          </w:p>
        </w:tc>
        <w:tc>
          <w:tcPr>
            <w:tcW w:w="2166" w:type="dxa"/>
            <w:vAlign w:val="center"/>
          </w:tcPr>
          <w:p>
            <w:pPr>
              <w:pStyle w:val="47"/>
              <w:rPr>
                <w:rFonts w:hint="eastAsia" w:ascii="宋体" w:hAnsi="宋体" w:eastAsia="宋体" w:cs="宋体"/>
                <w:u w:val="none"/>
              </w:rPr>
            </w:pPr>
            <w:r>
              <w:rPr>
                <w:rFonts w:hint="eastAsia" w:ascii="宋体" w:hAnsi="宋体" w:eastAsia="宋体" w:cs="宋体"/>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1396" w:type="dxa"/>
            <w:vAlign w:val="center"/>
          </w:tcPr>
          <w:p>
            <w:pPr>
              <w:pStyle w:val="47"/>
              <w:rPr>
                <w:rFonts w:hint="eastAsia" w:ascii="宋体" w:hAnsi="宋体" w:eastAsia="宋体" w:cs="宋体"/>
                <w:u w:val="none"/>
              </w:rPr>
            </w:pPr>
            <w:r>
              <w:rPr>
                <w:rFonts w:hint="eastAsia" w:ascii="宋体" w:hAnsi="宋体" w:eastAsia="宋体" w:cs="宋体"/>
                <w:u w:val="none"/>
              </w:rPr>
              <w:t>声环境</w:t>
            </w:r>
          </w:p>
        </w:tc>
        <w:tc>
          <w:tcPr>
            <w:tcW w:w="1838" w:type="dxa"/>
            <w:vAlign w:val="center"/>
          </w:tcPr>
          <w:p>
            <w:pPr>
              <w:pStyle w:val="47"/>
              <w:rPr>
                <w:rFonts w:hint="eastAsia" w:ascii="宋体" w:hAnsi="宋体" w:eastAsia="宋体" w:cs="宋体"/>
                <w:u w:val="none"/>
              </w:rPr>
            </w:pPr>
            <w:r>
              <w:rPr>
                <w:rFonts w:hint="eastAsia" w:ascii="宋体" w:hAnsi="宋体" w:eastAsia="宋体" w:cs="宋体"/>
                <w:u w:val="none"/>
              </w:rPr>
              <w:t>厂界四周</w:t>
            </w:r>
          </w:p>
        </w:tc>
        <w:tc>
          <w:tcPr>
            <w:tcW w:w="1417" w:type="dxa"/>
            <w:vAlign w:val="center"/>
          </w:tcPr>
          <w:p>
            <w:pPr>
              <w:pStyle w:val="47"/>
              <w:rPr>
                <w:rFonts w:hint="eastAsia" w:ascii="宋体" w:hAnsi="宋体" w:eastAsia="宋体" w:cs="宋体"/>
                <w:u w:val="none"/>
              </w:rPr>
            </w:pPr>
            <w:r>
              <w:rPr>
                <w:rFonts w:hint="eastAsia" w:ascii="宋体" w:hAnsi="宋体" w:eastAsia="宋体" w:cs="宋体"/>
                <w:u w:val="none"/>
              </w:rPr>
              <w:t>连续等效A声级</w:t>
            </w:r>
          </w:p>
        </w:tc>
        <w:tc>
          <w:tcPr>
            <w:tcW w:w="1983" w:type="dxa"/>
            <w:vAlign w:val="center"/>
          </w:tcPr>
          <w:p>
            <w:pPr>
              <w:pStyle w:val="47"/>
              <w:rPr>
                <w:rFonts w:hint="eastAsia" w:ascii="宋体" w:hAnsi="宋体" w:eastAsia="宋体" w:cs="宋体"/>
                <w:u w:val="none"/>
              </w:rPr>
            </w:pPr>
            <w:r>
              <w:rPr>
                <w:rFonts w:hint="eastAsia" w:ascii="宋体" w:hAnsi="宋体" w:eastAsia="宋体" w:cs="宋体"/>
                <w:u w:val="none"/>
              </w:rPr>
              <w:t>合理布局、基础减震、厂房隔声</w:t>
            </w:r>
          </w:p>
        </w:tc>
        <w:tc>
          <w:tcPr>
            <w:tcW w:w="2166" w:type="dxa"/>
            <w:vAlign w:val="center"/>
          </w:tcPr>
          <w:p>
            <w:pPr>
              <w:pStyle w:val="47"/>
              <w:rPr>
                <w:rFonts w:hint="eastAsia" w:ascii="宋体" w:hAnsi="宋体" w:eastAsia="宋体" w:cs="宋体"/>
                <w:u w:val="none"/>
              </w:rPr>
            </w:pPr>
            <w:r>
              <w:rPr>
                <w:rFonts w:hint="eastAsia" w:ascii="宋体" w:hAnsi="宋体" w:eastAsia="宋体" w:cs="宋体"/>
                <w:u w:val="none"/>
              </w:rPr>
              <w:t>《工业企业厂界环境噪声排放标准》（GB12348-2008）表1中2类标准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396" w:type="dxa"/>
            <w:vAlign w:val="center"/>
          </w:tcPr>
          <w:p>
            <w:pPr>
              <w:pStyle w:val="47"/>
              <w:rPr>
                <w:rFonts w:hint="eastAsia" w:ascii="宋体" w:hAnsi="宋体" w:eastAsia="宋体" w:cs="宋体"/>
                <w:u w:val="none"/>
              </w:rPr>
            </w:pPr>
            <w:r>
              <w:rPr>
                <w:rFonts w:hint="eastAsia" w:ascii="宋体" w:hAnsi="宋体" w:eastAsia="宋体" w:cs="宋体"/>
                <w:u w:val="none"/>
              </w:rPr>
              <w:t>电磁辐射</w:t>
            </w:r>
          </w:p>
        </w:tc>
        <w:tc>
          <w:tcPr>
            <w:tcW w:w="7404" w:type="dxa"/>
            <w:gridSpan w:val="4"/>
            <w:vAlign w:val="center"/>
          </w:tcPr>
          <w:p>
            <w:pPr>
              <w:pStyle w:val="47"/>
              <w:rPr>
                <w:rFonts w:hint="eastAsia" w:ascii="宋体" w:hAnsi="宋体" w:eastAsia="宋体" w:cs="宋体"/>
                <w:u w:val="none"/>
              </w:rPr>
            </w:pPr>
            <w:r>
              <w:rPr>
                <w:rFonts w:hint="eastAsia" w:ascii="宋体" w:hAnsi="宋体" w:eastAsia="宋体" w:cs="宋体"/>
                <w:u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33" w:hRule="atLeast"/>
          <w:jc w:val="center"/>
        </w:trPr>
        <w:tc>
          <w:tcPr>
            <w:tcW w:w="1396" w:type="dxa"/>
            <w:vMerge w:val="restart"/>
            <w:vAlign w:val="center"/>
          </w:tcPr>
          <w:p>
            <w:pPr>
              <w:pStyle w:val="47"/>
              <w:rPr>
                <w:rFonts w:hint="eastAsia" w:ascii="宋体" w:hAnsi="宋体" w:eastAsia="宋体" w:cs="宋体"/>
                <w:u w:val="none"/>
              </w:rPr>
            </w:pPr>
            <w:r>
              <w:rPr>
                <w:rFonts w:hint="eastAsia" w:ascii="宋体" w:hAnsi="宋体" w:eastAsia="宋体" w:cs="宋体"/>
                <w:u w:val="none"/>
              </w:rPr>
              <w:t>固体废物</w:t>
            </w:r>
          </w:p>
        </w:tc>
        <w:tc>
          <w:tcPr>
            <w:tcW w:w="3255" w:type="dxa"/>
            <w:gridSpan w:val="2"/>
            <w:vAlign w:val="center"/>
          </w:tcPr>
          <w:p>
            <w:pPr>
              <w:pStyle w:val="47"/>
              <w:ind w:firstLine="0" w:firstLineChars="0"/>
              <w:rPr>
                <w:rFonts w:hint="eastAsia" w:ascii="宋体" w:hAnsi="宋体" w:eastAsia="宋体" w:cs="宋体"/>
                <w:u w:val="none"/>
              </w:rPr>
            </w:pPr>
            <w:r>
              <w:rPr>
                <w:rFonts w:hint="eastAsia" w:ascii="宋体" w:hAnsi="宋体" w:eastAsia="宋体" w:cs="宋体"/>
                <w:color w:val="000000" w:themeColor="text1"/>
                <w:u w:val="none"/>
                <w14:textFill>
                  <w14:solidFill>
                    <w14:schemeClr w14:val="tx1"/>
                  </w14:solidFill>
                </w14:textFill>
              </w:rPr>
              <w:t>生活垃圾</w:t>
            </w:r>
          </w:p>
        </w:tc>
        <w:tc>
          <w:tcPr>
            <w:tcW w:w="1983" w:type="dxa"/>
            <w:vAlign w:val="center"/>
          </w:tcPr>
          <w:p>
            <w:pPr>
              <w:pStyle w:val="47"/>
              <w:ind w:firstLine="0" w:firstLineChars="0"/>
              <w:rPr>
                <w:rFonts w:hint="eastAsia" w:ascii="宋体" w:hAnsi="宋体" w:eastAsia="宋体" w:cs="宋体"/>
                <w:u w:val="none"/>
              </w:rPr>
            </w:pPr>
            <w:r>
              <w:rPr>
                <w:rFonts w:hint="eastAsia" w:ascii="宋体" w:hAnsi="宋体" w:eastAsia="宋体" w:cs="宋体"/>
                <w:color w:val="000000" w:themeColor="text1"/>
                <w:u w:val="none"/>
                <w14:textFill>
                  <w14:solidFill>
                    <w14:schemeClr w14:val="tx1"/>
                  </w14:solidFill>
                </w14:textFill>
              </w:rPr>
              <w:t>由环卫部门收集后处理</w:t>
            </w:r>
          </w:p>
        </w:tc>
        <w:tc>
          <w:tcPr>
            <w:tcW w:w="2166" w:type="dxa"/>
            <w:vAlign w:val="center"/>
          </w:tcPr>
          <w:p>
            <w:pPr>
              <w:pStyle w:val="47"/>
              <w:rPr>
                <w:rFonts w:hint="eastAsia" w:ascii="宋体" w:hAnsi="宋体" w:eastAsia="宋体" w:cs="宋体"/>
                <w:u w:val="none"/>
              </w:rPr>
            </w:pPr>
            <w:r>
              <w:rPr>
                <w:rFonts w:hint="eastAsia" w:ascii="宋体" w:hAnsi="宋体" w:eastAsia="宋体" w:cs="宋体"/>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396" w:type="dxa"/>
            <w:vMerge w:val="continue"/>
            <w:vAlign w:val="center"/>
          </w:tcPr>
          <w:p>
            <w:pPr>
              <w:pStyle w:val="47"/>
              <w:jc w:val="both"/>
              <w:rPr>
                <w:rFonts w:hint="eastAsia" w:ascii="宋体" w:hAnsi="宋体" w:eastAsia="宋体" w:cs="宋体"/>
                <w:u w:val="none"/>
              </w:rPr>
            </w:pPr>
          </w:p>
        </w:tc>
        <w:tc>
          <w:tcPr>
            <w:tcW w:w="3255" w:type="dxa"/>
            <w:gridSpan w:val="2"/>
            <w:vAlign w:val="center"/>
          </w:tcPr>
          <w:p>
            <w:pPr>
              <w:pStyle w:val="47"/>
              <w:ind w:firstLine="0" w:firstLineChars="0"/>
              <w:rPr>
                <w:rFonts w:hint="eastAsia" w:ascii="宋体" w:hAnsi="宋体" w:eastAsia="宋体" w:cs="宋体"/>
                <w:u w:val="none"/>
              </w:rPr>
            </w:pPr>
            <w:r>
              <w:rPr>
                <w:rFonts w:hint="eastAsia" w:ascii="宋体" w:hAnsi="宋体" w:eastAsia="宋体" w:cs="宋体"/>
                <w:color w:val="000000" w:themeColor="text1"/>
                <w:u w:val="none"/>
                <w:lang w:val="en-US" w:eastAsia="zh-CN"/>
                <w14:textFill>
                  <w14:solidFill>
                    <w14:schemeClr w14:val="tx1"/>
                  </w14:solidFill>
                </w14:textFill>
              </w:rPr>
              <w:t>废包装材料</w:t>
            </w:r>
          </w:p>
        </w:tc>
        <w:tc>
          <w:tcPr>
            <w:tcW w:w="1983" w:type="dxa"/>
            <w:vAlign w:val="center"/>
          </w:tcPr>
          <w:p>
            <w:pPr>
              <w:spacing w:line="240" w:lineRule="auto"/>
              <w:ind w:firstLine="0" w:firstLineChars="0"/>
              <w:jc w:val="center"/>
              <w:rPr>
                <w:rFonts w:hint="eastAsia" w:ascii="宋体" w:hAnsi="宋体" w:eastAsia="宋体" w:cs="宋体"/>
                <w:u w:val="none"/>
              </w:rPr>
            </w:pPr>
            <w:r>
              <w:rPr>
                <w:rFonts w:hint="eastAsia" w:ascii="宋体" w:hAnsi="宋体" w:eastAsia="宋体" w:cs="宋体"/>
                <w:color w:val="000000" w:themeColor="text1"/>
                <w:sz w:val="21"/>
                <w:u w:val="none"/>
                <w14:textFill>
                  <w14:solidFill>
                    <w14:schemeClr w14:val="tx1"/>
                  </w14:solidFill>
                </w14:textFill>
              </w:rPr>
              <w:t>统一外售</w:t>
            </w:r>
          </w:p>
        </w:tc>
        <w:tc>
          <w:tcPr>
            <w:tcW w:w="2166" w:type="dxa"/>
            <w:vAlign w:val="center"/>
          </w:tcPr>
          <w:p>
            <w:pPr>
              <w:pStyle w:val="47"/>
              <w:rPr>
                <w:rFonts w:hint="eastAsia" w:ascii="宋体" w:hAnsi="宋体" w:eastAsia="宋体" w:cs="宋体"/>
                <w:u w:val="none"/>
              </w:rPr>
            </w:pPr>
            <w:r>
              <w:rPr>
                <w:rFonts w:hint="eastAsia" w:ascii="宋体" w:hAnsi="宋体" w:eastAsia="宋体" w:cs="宋体"/>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33" w:hRule="atLeast"/>
          <w:jc w:val="center"/>
        </w:trPr>
        <w:tc>
          <w:tcPr>
            <w:tcW w:w="1396" w:type="dxa"/>
            <w:vMerge w:val="continue"/>
            <w:vAlign w:val="center"/>
          </w:tcPr>
          <w:p>
            <w:pPr>
              <w:pStyle w:val="47"/>
              <w:rPr>
                <w:rFonts w:hint="eastAsia" w:ascii="宋体" w:hAnsi="宋体" w:eastAsia="宋体" w:cs="宋体"/>
                <w:u w:val="none"/>
              </w:rPr>
            </w:pPr>
          </w:p>
        </w:tc>
        <w:tc>
          <w:tcPr>
            <w:tcW w:w="3255" w:type="dxa"/>
            <w:gridSpan w:val="2"/>
            <w:vAlign w:val="center"/>
          </w:tcPr>
          <w:p>
            <w:pPr>
              <w:pStyle w:val="47"/>
              <w:ind w:firstLine="0" w:firstLineChars="0"/>
              <w:rPr>
                <w:rFonts w:hint="eastAsia" w:ascii="宋体" w:hAnsi="宋体" w:eastAsia="宋体" w:cs="宋体"/>
                <w:u w:val="none"/>
              </w:rPr>
            </w:pPr>
            <w:r>
              <w:rPr>
                <w:rFonts w:hint="eastAsia" w:ascii="宋体" w:hAnsi="宋体" w:eastAsia="宋体" w:cs="宋体"/>
                <w:color w:val="000000" w:themeColor="text1"/>
                <w:u w:val="none"/>
                <w:lang w:val="en-US" w:eastAsia="zh-CN"/>
                <w14:textFill>
                  <w14:solidFill>
                    <w14:schemeClr w14:val="tx1"/>
                  </w14:solidFill>
                </w14:textFill>
              </w:rPr>
              <w:t>除尘器收集粉尘</w:t>
            </w:r>
          </w:p>
        </w:tc>
        <w:tc>
          <w:tcPr>
            <w:tcW w:w="1983" w:type="dxa"/>
            <w:vAlign w:val="center"/>
          </w:tcPr>
          <w:p>
            <w:pPr>
              <w:spacing w:line="240" w:lineRule="auto"/>
              <w:ind w:firstLine="0" w:firstLineChars="0"/>
              <w:jc w:val="center"/>
              <w:rPr>
                <w:rFonts w:hint="eastAsia" w:ascii="宋体" w:hAnsi="宋体" w:eastAsia="宋体" w:cs="宋体"/>
                <w:u w:val="none"/>
              </w:rPr>
            </w:pPr>
            <w:r>
              <w:rPr>
                <w:rFonts w:hint="eastAsia" w:ascii="宋体" w:hAnsi="宋体" w:eastAsia="宋体" w:cs="宋体"/>
                <w:color w:val="000000" w:themeColor="text1"/>
                <w:sz w:val="21"/>
                <w:u w:val="none"/>
                <w14:textFill>
                  <w14:solidFill>
                    <w14:schemeClr w14:val="tx1"/>
                  </w14:solidFill>
                </w14:textFill>
              </w:rPr>
              <w:t>统一外售</w:t>
            </w:r>
          </w:p>
        </w:tc>
        <w:tc>
          <w:tcPr>
            <w:tcW w:w="2166" w:type="dxa"/>
            <w:vAlign w:val="center"/>
          </w:tcPr>
          <w:p>
            <w:pPr>
              <w:pStyle w:val="47"/>
              <w:rPr>
                <w:rFonts w:hint="eastAsia" w:ascii="宋体" w:hAnsi="宋体" w:eastAsia="宋体" w:cs="宋体"/>
                <w:u w:val="none"/>
              </w:rPr>
            </w:pPr>
            <w:r>
              <w:rPr>
                <w:rFonts w:hint="eastAsia" w:ascii="宋体" w:hAnsi="宋体" w:eastAsia="宋体" w:cs="宋体"/>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396" w:type="dxa"/>
            <w:vMerge w:val="continue"/>
            <w:vAlign w:val="center"/>
          </w:tcPr>
          <w:p>
            <w:pPr>
              <w:pStyle w:val="47"/>
              <w:rPr>
                <w:rFonts w:hint="eastAsia" w:ascii="宋体" w:hAnsi="宋体" w:eastAsia="宋体" w:cs="宋体"/>
                <w:u w:val="none"/>
              </w:rPr>
            </w:pPr>
          </w:p>
        </w:tc>
        <w:tc>
          <w:tcPr>
            <w:tcW w:w="3255" w:type="dxa"/>
            <w:gridSpan w:val="2"/>
            <w:vAlign w:val="center"/>
          </w:tcPr>
          <w:p>
            <w:pPr>
              <w:pStyle w:val="47"/>
              <w:ind w:firstLine="0" w:firstLineChars="0"/>
              <w:rPr>
                <w:rFonts w:hint="eastAsia" w:ascii="宋体" w:hAnsi="宋体" w:eastAsia="宋体" w:cs="宋体"/>
                <w:u w:val="none"/>
              </w:rPr>
            </w:pPr>
            <w:r>
              <w:rPr>
                <w:rFonts w:hint="eastAsia" w:ascii="宋体" w:hAnsi="宋体" w:eastAsia="宋体" w:cs="宋体"/>
                <w:color w:val="000000" w:themeColor="text1"/>
                <w:u w:val="none"/>
                <w:lang w:val="en-US" w:eastAsia="zh-CN"/>
                <w14:textFill>
                  <w14:solidFill>
                    <w14:schemeClr w14:val="tx1"/>
                  </w14:solidFill>
                </w14:textFill>
              </w:rPr>
              <w:t>废离子交换树脂</w:t>
            </w:r>
          </w:p>
        </w:tc>
        <w:tc>
          <w:tcPr>
            <w:tcW w:w="1983" w:type="dxa"/>
            <w:vAlign w:val="center"/>
          </w:tcPr>
          <w:p>
            <w:pPr>
              <w:spacing w:line="240" w:lineRule="auto"/>
              <w:ind w:firstLine="0" w:firstLineChars="0"/>
              <w:jc w:val="center"/>
              <w:rPr>
                <w:rFonts w:hint="eastAsia" w:ascii="宋体" w:hAnsi="宋体" w:eastAsia="宋体" w:cs="宋体"/>
                <w:u w:val="none"/>
              </w:rPr>
            </w:pPr>
            <w:r>
              <w:rPr>
                <w:rFonts w:hint="eastAsia" w:ascii="宋体" w:hAnsi="宋体" w:eastAsia="宋体" w:cs="宋体"/>
                <w:color w:val="000000" w:themeColor="text1"/>
                <w:sz w:val="21"/>
                <w:u w:val="none"/>
                <w:lang w:val="en-US" w:eastAsia="zh-CN"/>
                <w14:textFill>
                  <w14:solidFill>
                    <w14:schemeClr w14:val="tx1"/>
                  </w14:solidFill>
                </w14:textFill>
              </w:rPr>
              <w:t>厂家回收</w:t>
            </w:r>
          </w:p>
        </w:tc>
        <w:tc>
          <w:tcPr>
            <w:tcW w:w="2166" w:type="dxa"/>
            <w:vAlign w:val="center"/>
          </w:tcPr>
          <w:p>
            <w:pPr>
              <w:pStyle w:val="47"/>
              <w:rPr>
                <w:rFonts w:hint="eastAsia" w:ascii="宋体" w:hAnsi="宋体" w:eastAsia="宋体" w:cs="宋体"/>
                <w:u w:val="none"/>
              </w:rPr>
            </w:pPr>
            <w:r>
              <w:rPr>
                <w:rFonts w:hint="eastAsia" w:ascii="宋体" w:hAnsi="宋体" w:eastAsia="宋体" w:cs="宋体"/>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396" w:type="dxa"/>
            <w:vMerge w:val="continue"/>
            <w:vAlign w:val="center"/>
          </w:tcPr>
          <w:p>
            <w:pPr>
              <w:pStyle w:val="47"/>
              <w:rPr>
                <w:rFonts w:hint="eastAsia" w:ascii="宋体" w:hAnsi="宋体" w:eastAsia="宋体" w:cs="宋体"/>
                <w:u w:val="none"/>
              </w:rPr>
            </w:pPr>
          </w:p>
        </w:tc>
        <w:tc>
          <w:tcPr>
            <w:tcW w:w="3255" w:type="dxa"/>
            <w:gridSpan w:val="2"/>
            <w:vAlign w:val="center"/>
          </w:tcPr>
          <w:p>
            <w:pPr>
              <w:pStyle w:val="47"/>
              <w:ind w:firstLine="0" w:firstLineChars="0"/>
              <w:rPr>
                <w:rFonts w:hint="eastAsia" w:ascii="宋体" w:hAnsi="宋体" w:eastAsia="宋体" w:cs="宋体"/>
                <w:u w:val="none"/>
              </w:rPr>
            </w:pPr>
            <w:r>
              <w:rPr>
                <w:rFonts w:hint="eastAsia" w:ascii="宋体" w:hAnsi="宋体" w:eastAsia="宋体" w:cs="宋体"/>
                <w:color w:val="000000" w:themeColor="text1"/>
                <w:u w:val="none"/>
                <w:lang w:val="en-US" w:eastAsia="zh-CN"/>
                <w14:textFill>
                  <w14:solidFill>
                    <w14:schemeClr w14:val="tx1"/>
                  </w14:solidFill>
                </w14:textFill>
              </w:rPr>
              <w:t>废塑料膜</w:t>
            </w:r>
          </w:p>
        </w:tc>
        <w:tc>
          <w:tcPr>
            <w:tcW w:w="1983" w:type="dxa"/>
            <w:vAlign w:val="center"/>
          </w:tcPr>
          <w:p>
            <w:pPr>
              <w:spacing w:line="240" w:lineRule="auto"/>
              <w:ind w:firstLine="0" w:firstLineChars="0"/>
              <w:jc w:val="center"/>
              <w:rPr>
                <w:rFonts w:hint="eastAsia" w:ascii="宋体" w:hAnsi="宋体" w:eastAsia="宋体" w:cs="宋体"/>
                <w:u w:val="none"/>
              </w:rPr>
            </w:pPr>
            <w:r>
              <w:rPr>
                <w:rFonts w:hint="eastAsia" w:ascii="宋体" w:hAnsi="宋体" w:eastAsia="宋体" w:cs="宋体"/>
                <w:color w:val="000000" w:themeColor="text1"/>
                <w:sz w:val="21"/>
                <w:u w:val="none"/>
                <w14:textFill>
                  <w14:solidFill>
                    <w14:schemeClr w14:val="tx1"/>
                  </w14:solidFill>
                </w14:textFill>
              </w:rPr>
              <w:t>统一外售</w:t>
            </w:r>
          </w:p>
        </w:tc>
        <w:tc>
          <w:tcPr>
            <w:tcW w:w="2166" w:type="dxa"/>
            <w:vAlign w:val="center"/>
          </w:tcPr>
          <w:p>
            <w:pPr>
              <w:pStyle w:val="47"/>
              <w:rPr>
                <w:rFonts w:hint="eastAsia" w:ascii="宋体" w:hAnsi="宋体" w:eastAsia="宋体" w:cs="宋体"/>
                <w:u w:val="none"/>
              </w:rPr>
            </w:pPr>
            <w:r>
              <w:rPr>
                <w:rFonts w:hint="eastAsia" w:ascii="宋体" w:hAnsi="宋体" w:eastAsia="宋体" w:cs="宋体"/>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396" w:type="dxa"/>
            <w:vMerge w:val="continue"/>
            <w:vAlign w:val="center"/>
          </w:tcPr>
          <w:p>
            <w:pPr>
              <w:pStyle w:val="47"/>
              <w:rPr>
                <w:rFonts w:hint="eastAsia" w:ascii="宋体" w:hAnsi="宋体" w:eastAsia="宋体" w:cs="宋体"/>
                <w:u w:val="none"/>
              </w:rPr>
            </w:pPr>
          </w:p>
        </w:tc>
        <w:tc>
          <w:tcPr>
            <w:tcW w:w="3255" w:type="dxa"/>
            <w:gridSpan w:val="2"/>
            <w:vAlign w:val="center"/>
          </w:tcPr>
          <w:p>
            <w:pPr>
              <w:pStyle w:val="47"/>
              <w:ind w:firstLine="0" w:firstLineChars="0"/>
              <w:rPr>
                <w:rFonts w:hint="eastAsia" w:ascii="宋体" w:hAnsi="宋体" w:eastAsia="宋体" w:cs="宋体"/>
                <w:u w:val="none"/>
              </w:rPr>
            </w:pPr>
            <w:r>
              <w:rPr>
                <w:rFonts w:hint="eastAsia" w:ascii="宋体" w:hAnsi="宋体" w:eastAsia="宋体" w:cs="宋体"/>
                <w:color w:val="000000" w:themeColor="text1"/>
                <w:u w:val="none"/>
                <w:lang w:val="en-US" w:eastAsia="zh-CN"/>
                <w14:textFill>
                  <w14:solidFill>
                    <w14:schemeClr w14:val="tx1"/>
                  </w14:solidFill>
                </w14:textFill>
              </w:rPr>
              <w:t>废基料</w:t>
            </w:r>
          </w:p>
        </w:tc>
        <w:tc>
          <w:tcPr>
            <w:tcW w:w="1983" w:type="dxa"/>
            <w:vAlign w:val="center"/>
          </w:tcPr>
          <w:p>
            <w:pPr>
              <w:spacing w:line="240" w:lineRule="auto"/>
              <w:ind w:firstLine="0" w:firstLineChars="0"/>
              <w:jc w:val="center"/>
              <w:rPr>
                <w:rFonts w:hint="eastAsia" w:ascii="宋体" w:hAnsi="宋体" w:eastAsia="宋体" w:cs="宋体"/>
                <w:u w:val="none"/>
              </w:rPr>
            </w:pPr>
            <w:r>
              <w:rPr>
                <w:rFonts w:hint="eastAsia" w:ascii="宋体" w:hAnsi="宋体" w:eastAsia="宋体" w:cs="宋体"/>
                <w:color w:val="000000" w:themeColor="text1"/>
                <w:sz w:val="21"/>
                <w:u w:val="none"/>
                <w14:textFill>
                  <w14:solidFill>
                    <w14:schemeClr w14:val="tx1"/>
                  </w14:solidFill>
                </w14:textFill>
              </w:rPr>
              <w:t>统一外售</w:t>
            </w:r>
          </w:p>
        </w:tc>
        <w:tc>
          <w:tcPr>
            <w:tcW w:w="2166" w:type="dxa"/>
            <w:vAlign w:val="center"/>
          </w:tcPr>
          <w:p>
            <w:pPr>
              <w:pStyle w:val="47"/>
              <w:rPr>
                <w:rFonts w:hint="eastAsia" w:ascii="宋体" w:hAnsi="宋体" w:eastAsia="宋体" w:cs="宋体"/>
                <w:u w:val="none"/>
              </w:rPr>
            </w:pPr>
            <w:r>
              <w:rPr>
                <w:rFonts w:hint="eastAsia" w:ascii="宋体" w:hAnsi="宋体" w:eastAsia="宋体" w:cs="宋体"/>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396" w:type="dxa"/>
            <w:vMerge w:val="continue"/>
            <w:vAlign w:val="center"/>
          </w:tcPr>
          <w:p>
            <w:pPr>
              <w:pStyle w:val="47"/>
              <w:rPr>
                <w:rFonts w:hint="eastAsia" w:ascii="宋体" w:hAnsi="宋体" w:eastAsia="宋体" w:cs="宋体"/>
                <w:u w:val="none"/>
              </w:rPr>
            </w:pPr>
          </w:p>
        </w:tc>
        <w:tc>
          <w:tcPr>
            <w:tcW w:w="3255" w:type="dxa"/>
            <w:gridSpan w:val="2"/>
            <w:vAlign w:val="center"/>
          </w:tcPr>
          <w:p>
            <w:pPr>
              <w:pStyle w:val="47"/>
              <w:ind w:firstLine="0" w:firstLineChars="0"/>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沉淀池污泥</w:t>
            </w:r>
          </w:p>
        </w:tc>
        <w:tc>
          <w:tcPr>
            <w:tcW w:w="1983" w:type="dxa"/>
            <w:vAlign w:val="center"/>
          </w:tcPr>
          <w:p>
            <w:pPr>
              <w:spacing w:line="240" w:lineRule="auto"/>
              <w:ind w:firstLine="0" w:firstLineChars="0"/>
              <w:jc w:val="center"/>
              <w:rPr>
                <w:rFonts w:hint="eastAsia" w:ascii="宋体" w:hAnsi="宋体" w:eastAsia="宋体" w:cs="宋体"/>
                <w:color w:val="000000" w:themeColor="text1"/>
                <w:sz w:val="21"/>
                <w:u w:val="none"/>
                <w14:textFill>
                  <w14:solidFill>
                    <w14:schemeClr w14:val="tx1"/>
                  </w14:solidFill>
                </w14:textFill>
              </w:rPr>
            </w:pPr>
            <w:r>
              <w:rPr>
                <w:rFonts w:hint="default" w:ascii="Times New Roman" w:hAnsi="Times New Roman" w:eastAsia="宋体" w:cs="Times New Roman"/>
                <w:b w:val="0"/>
                <w:bCs w:val="0"/>
                <w:color w:val="auto"/>
                <w:sz w:val="21"/>
                <w:szCs w:val="21"/>
                <w:highlight w:val="none"/>
                <w:lang w:val="en-US" w:eastAsia="zh-CN"/>
              </w:rPr>
              <w:t>交由具有相应处理能力或经营范围的单位利用或处置</w:t>
            </w:r>
          </w:p>
        </w:tc>
        <w:tc>
          <w:tcPr>
            <w:tcW w:w="2166" w:type="dxa"/>
            <w:vAlign w:val="center"/>
          </w:tcPr>
          <w:p>
            <w:pPr>
              <w:pStyle w:val="47"/>
              <w:rPr>
                <w:rFonts w:hint="eastAsia" w:ascii="宋体" w:hAnsi="宋体" w:eastAsia="宋体" w:cs="宋体"/>
                <w:u w:val="none"/>
                <w:lang w:val="en-US" w:eastAsia="zh-CN"/>
              </w:rPr>
            </w:pPr>
            <w:r>
              <w:rPr>
                <w:rFonts w:hint="eastAsia" w:ascii="宋体" w:hAnsi="宋体" w:cs="宋体"/>
                <w:u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396" w:type="dxa"/>
            <w:vMerge w:val="continue"/>
            <w:vAlign w:val="center"/>
          </w:tcPr>
          <w:p>
            <w:pPr>
              <w:pStyle w:val="47"/>
              <w:rPr>
                <w:rFonts w:hint="eastAsia" w:ascii="宋体" w:hAnsi="宋体" w:eastAsia="宋体" w:cs="宋体"/>
                <w:u w:val="none"/>
              </w:rPr>
            </w:pPr>
          </w:p>
        </w:tc>
        <w:tc>
          <w:tcPr>
            <w:tcW w:w="3255" w:type="dxa"/>
            <w:gridSpan w:val="2"/>
            <w:vAlign w:val="center"/>
          </w:tcPr>
          <w:p>
            <w:pPr>
              <w:pStyle w:val="22"/>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000000" w:themeColor="text1"/>
                <w:u w:val="none"/>
                <w:lang w:val="en-US" w:eastAsia="zh-CN"/>
                <w14:textFill>
                  <w14:solidFill>
                    <w14:schemeClr w14:val="tx1"/>
                  </w14:solidFill>
                </w14:textFill>
              </w:rPr>
            </w:pPr>
            <w:r>
              <w:rPr>
                <w:rFonts w:hint="default" w:ascii="Times New Roman" w:hAnsi="Times New Roman" w:cs="Times New Roman"/>
                <w:b w:val="0"/>
                <w:bCs w:val="0"/>
                <w:color w:val="auto"/>
                <w:sz w:val="21"/>
                <w:szCs w:val="21"/>
                <w:u w:val="none"/>
                <w:lang w:val="en-US" w:eastAsia="zh-CN"/>
              </w:rPr>
              <w:t>废机油及含油废物</w:t>
            </w:r>
          </w:p>
        </w:tc>
        <w:tc>
          <w:tcPr>
            <w:tcW w:w="1983" w:type="dxa"/>
            <w:vMerge w:val="restart"/>
            <w:vAlign w:val="center"/>
          </w:tcPr>
          <w:p>
            <w:pPr>
              <w:spacing w:line="240" w:lineRule="auto"/>
              <w:ind w:firstLine="0" w:firstLineChars="0"/>
              <w:jc w:val="center"/>
              <w:rPr>
                <w:rFonts w:hint="eastAsia" w:ascii="宋体" w:hAnsi="宋体" w:eastAsia="宋体" w:cs="宋体"/>
                <w:color w:val="000000" w:themeColor="text1"/>
                <w:sz w:val="21"/>
                <w:u w:val="none"/>
                <w14:textFill>
                  <w14:solidFill>
                    <w14:schemeClr w14:val="tx1"/>
                  </w14:solidFill>
                </w14:textFill>
              </w:rPr>
            </w:pPr>
            <w:r>
              <w:rPr>
                <w:rFonts w:hint="default" w:ascii="Times New Roman" w:hAnsi="Times New Roman" w:cs="Times New Roman"/>
                <w:b w:val="0"/>
                <w:bCs w:val="0"/>
                <w:color w:val="auto"/>
                <w:sz w:val="21"/>
                <w:szCs w:val="21"/>
                <w:u w:val="none"/>
                <w:lang w:val="en-US" w:eastAsia="zh-CN"/>
              </w:rPr>
              <w:t>暂存在危险废物暂存间，定期交于有相关危险废物处理资质单位处置</w:t>
            </w:r>
          </w:p>
        </w:tc>
        <w:tc>
          <w:tcPr>
            <w:tcW w:w="2166" w:type="dxa"/>
            <w:vAlign w:val="center"/>
          </w:tcPr>
          <w:p>
            <w:pPr>
              <w:pStyle w:val="47"/>
              <w:rPr>
                <w:rFonts w:hint="eastAsia" w:ascii="宋体" w:hAnsi="宋体" w:eastAsia="宋体" w:cs="宋体"/>
                <w:u w:val="none"/>
              </w:rPr>
            </w:pPr>
            <w:r>
              <w:rPr>
                <w:rFonts w:hint="eastAsia" w:ascii="宋体" w:hAnsi="宋体" w:eastAsia="宋体" w:cs="宋体"/>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396" w:type="dxa"/>
            <w:vMerge w:val="continue"/>
            <w:vAlign w:val="center"/>
          </w:tcPr>
          <w:p>
            <w:pPr>
              <w:pStyle w:val="47"/>
              <w:rPr>
                <w:rFonts w:hint="eastAsia" w:ascii="宋体" w:hAnsi="宋体" w:eastAsia="宋体" w:cs="宋体"/>
                <w:u w:val="none"/>
              </w:rPr>
            </w:pPr>
          </w:p>
        </w:tc>
        <w:tc>
          <w:tcPr>
            <w:tcW w:w="3255" w:type="dxa"/>
            <w:gridSpan w:val="2"/>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color w:val="000000" w:themeColor="text1"/>
                <w:u w:val="none"/>
                <w:lang w:val="en-US" w:eastAsia="zh-CN"/>
                <w14:textFill>
                  <w14:solidFill>
                    <w14:schemeClr w14:val="tx1"/>
                  </w14:solidFill>
                </w14:textFill>
              </w:rPr>
            </w:pPr>
            <w:r>
              <w:rPr>
                <w:rFonts w:hint="default" w:ascii="Times New Roman" w:hAnsi="Times New Roman" w:cs="Times New Roman"/>
                <w:b w:val="0"/>
                <w:bCs w:val="0"/>
                <w:color w:val="auto"/>
                <w:sz w:val="21"/>
                <w:szCs w:val="21"/>
                <w:u w:val="none"/>
                <w:lang w:val="en-US" w:eastAsia="zh-CN"/>
              </w:rPr>
              <w:t>含油抹布和手套</w:t>
            </w:r>
          </w:p>
        </w:tc>
        <w:tc>
          <w:tcPr>
            <w:tcW w:w="1983" w:type="dxa"/>
            <w:vMerge w:val="continue"/>
            <w:vAlign w:val="center"/>
          </w:tcPr>
          <w:p>
            <w:pPr>
              <w:spacing w:line="240" w:lineRule="auto"/>
              <w:ind w:firstLine="0" w:firstLineChars="0"/>
              <w:jc w:val="center"/>
              <w:rPr>
                <w:rFonts w:hint="eastAsia" w:ascii="宋体" w:hAnsi="宋体" w:eastAsia="宋体" w:cs="宋体"/>
                <w:color w:val="000000" w:themeColor="text1"/>
                <w:sz w:val="21"/>
                <w:u w:val="none"/>
                <w14:textFill>
                  <w14:solidFill>
                    <w14:schemeClr w14:val="tx1"/>
                  </w14:solidFill>
                </w14:textFill>
              </w:rPr>
            </w:pPr>
          </w:p>
        </w:tc>
        <w:tc>
          <w:tcPr>
            <w:tcW w:w="2166" w:type="dxa"/>
            <w:vAlign w:val="center"/>
          </w:tcPr>
          <w:p>
            <w:pPr>
              <w:pStyle w:val="47"/>
              <w:rPr>
                <w:rFonts w:hint="eastAsia" w:ascii="宋体" w:hAnsi="宋体" w:eastAsia="宋体" w:cs="宋体"/>
                <w:u w:val="none"/>
              </w:rPr>
            </w:pPr>
            <w:r>
              <w:rPr>
                <w:rFonts w:hint="eastAsia" w:ascii="宋体" w:hAnsi="宋体" w:eastAsia="宋体" w:cs="宋体"/>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96" w:type="dxa"/>
            <w:vAlign w:val="center"/>
          </w:tcPr>
          <w:p>
            <w:pPr>
              <w:pStyle w:val="47"/>
              <w:rPr>
                <w:rFonts w:hint="eastAsia" w:ascii="宋体" w:hAnsi="宋体" w:eastAsia="宋体" w:cs="宋体"/>
                <w:u w:val="none"/>
              </w:rPr>
            </w:pPr>
            <w:r>
              <w:rPr>
                <w:rFonts w:hint="eastAsia" w:ascii="宋体" w:hAnsi="宋体" w:eastAsia="宋体" w:cs="宋体"/>
                <w:u w:val="none"/>
              </w:rPr>
              <w:t>土壤及地下水</w:t>
            </w:r>
          </w:p>
          <w:p>
            <w:pPr>
              <w:pStyle w:val="47"/>
              <w:rPr>
                <w:rFonts w:hint="eastAsia" w:ascii="宋体" w:hAnsi="宋体" w:eastAsia="宋体" w:cs="宋体"/>
                <w:u w:val="none"/>
              </w:rPr>
            </w:pPr>
            <w:r>
              <w:rPr>
                <w:rFonts w:hint="eastAsia" w:ascii="宋体" w:hAnsi="宋体" w:eastAsia="宋体" w:cs="宋体"/>
                <w:u w:val="none"/>
              </w:rPr>
              <w:t>污染防治措施</w:t>
            </w:r>
          </w:p>
        </w:tc>
        <w:tc>
          <w:tcPr>
            <w:tcW w:w="7404" w:type="dxa"/>
            <w:gridSpan w:val="4"/>
            <w:vAlign w:val="center"/>
          </w:tcPr>
          <w:p>
            <w:pPr>
              <w:pStyle w:val="47"/>
              <w:jc w:val="left"/>
              <w:rPr>
                <w:rFonts w:hint="eastAsia" w:ascii="宋体" w:hAnsi="宋体" w:eastAsia="宋体" w:cs="宋体"/>
                <w:u w:val="none"/>
              </w:rPr>
            </w:pPr>
            <w:r>
              <w:rPr>
                <w:rFonts w:hint="eastAsia" w:ascii="宋体" w:hAnsi="宋体" w:eastAsia="宋体" w:cs="宋体"/>
                <w:u w:val="none"/>
              </w:rPr>
              <w:t>为防止项目建成运营后对周围地下水、土壤环境造成污染，企业应加强对生产设施的管理和维护；制定环境管理制度，强化风险防范意识，加强环境保护工作。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396" w:type="dxa"/>
            <w:vAlign w:val="center"/>
          </w:tcPr>
          <w:p>
            <w:pPr>
              <w:pStyle w:val="47"/>
              <w:rPr>
                <w:rFonts w:hint="eastAsia" w:ascii="宋体" w:hAnsi="宋体" w:eastAsia="宋体" w:cs="宋体"/>
                <w:u w:val="none"/>
              </w:rPr>
            </w:pPr>
            <w:r>
              <w:rPr>
                <w:rFonts w:hint="eastAsia" w:ascii="宋体" w:hAnsi="宋体" w:eastAsia="宋体" w:cs="宋体"/>
                <w:u w:val="none"/>
              </w:rPr>
              <w:t>生态保护措施</w:t>
            </w:r>
          </w:p>
        </w:tc>
        <w:tc>
          <w:tcPr>
            <w:tcW w:w="7404" w:type="dxa"/>
            <w:gridSpan w:val="4"/>
            <w:vAlign w:val="center"/>
          </w:tcPr>
          <w:p>
            <w:pPr>
              <w:pStyle w:val="47"/>
              <w:rPr>
                <w:rFonts w:hint="eastAsia" w:ascii="宋体" w:hAnsi="宋体" w:eastAsia="宋体" w:cs="宋体"/>
                <w:u w:val="none"/>
              </w:rPr>
            </w:pPr>
            <w:r>
              <w:rPr>
                <w:rFonts w:hint="eastAsia" w:ascii="宋体" w:hAnsi="宋体" w:eastAsia="宋体" w:cs="宋体"/>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96" w:type="dxa"/>
            <w:vAlign w:val="center"/>
          </w:tcPr>
          <w:p>
            <w:pPr>
              <w:pStyle w:val="47"/>
              <w:rPr>
                <w:rFonts w:hint="eastAsia" w:ascii="宋体" w:hAnsi="宋体" w:eastAsia="宋体" w:cs="宋体"/>
                <w:u w:val="none"/>
              </w:rPr>
            </w:pPr>
            <w:r>
              <w:rPr>
                <w:rFonts w:hint="eastAsia" w:ascii="宋体" w:hAnsi="宋体" w:eastAsia="宋体" w:cs="宋体"/>
                <w:u w:val="none"/>
              </w:rPr>
              <w:t>环境风险</w:t>
            </w:r>
          </w:p>
          <w:p>
            <w:pPr>
              <w:pStyle w:val="47"/>
              <w:rPr>
                <w:rFonts w:hint="eastAsia" w:ascii="宋体" w:hAnsi="宋体" w:eastAsia="宋体" w:cs="宋体"/>
                <w:u w:val="none"/>
              </w:rPr>
            </w:pPr>
            <w:r>
              <w:rPr>
                <w:rFonts w:hint="eastAsia" w:ascii="宋体" w:hAnsi="宋体" w:eastAsia="宋体" w:cs="宋体"/>
                <w:u w:val="none"/>
              </w:rPr>
              <w:t>防范措施</w:t>
            </w:r>
          </w:p>
        </w:tc>
        <w:tc>
          <w:tcPr>
            <w:tcW w:w="7404" w:type="dxa"/>
            <w:gridSpan w:val="4"/>
            <w:vAlign w:val="center"/>
          </w:tcPr>
          <w:p>
            <w:pPr>
              <w:pStyle w:val="47"/>
              <w:jc w:val="left"/>
              <w:rPr>
                <w:rFonts w:hint="eastAsia" w:ascii="宋体" w:hAnsi="宋体" w:eastAsia="宋体" w:cs="宋体"/>
                <w:u w:val="none"/>
              </w:rPr>
            </w:pPr>
            <w:r>
              <w:rPr>
                <w:rFonts w:hint="eastAsia" w:ascii="宋体" w:hAnsi="宋体" w:eastAsia="宋体" w:cs="宋体"/>
                <w:u w:val="none"/>
              </w:rPr>
              <w:t>1）配备消防设备和消防器材，一切消防器材不得随意占用，并要定期检查。</w:t>
            </w:r>
          </w:p>
          <w:p>
            <w:pPr>
              <w:pStyle w:val="47"/>
              <w:jc w:val="left"/>
              <w:rPr>
                <w:rFonts w:hint="eastAsia" w:ascii="宋体" w:hAnsi="宋体" w:eastAsia="宋体" w:cs="宋体"/>
                <w:u w:val="none"/>
              </w:rPr>
            </w:pPr>
            <w:r>
              <w:rPr>
                <w:rFonts w:hint="eastAsia" w:ascii="宋体" w:hAnsi="宋体" w:eastAsia="宋体" w:cs="宋体"/>
                <w:u w:val="none"/>
              </w:rPr>
              <w:t>2）各种设备要做到定员、定岗、定机管理，对有特殊要求的设备，操作人员必须经过岗</w:t>
            </w:r>
            <w:r>
              <w:rPr>
                <w:rFonts w:hint="eastAsia" w:ascii="宋体" w:hAnsi="宋体" w:cs="宋体"/>
                <w:u w:val="none"/>
                <w:lang w:eastAsia="zh-CN"/>
              </w:rPr>
              <w:t>位培</w:t>
            </w:r>
            <w:r>
              <w:rPr>
                <w:rFonts w:hint="eastAsia" w:ascii="宋体" w:hAnsi="宋体" w:eastAsia="宋体" w:cs="宋体"/>
                <w:u w:val="none"/>
              </w:rPr>
              <w:t>训，并持有操作证方可上岗。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396" w:type="dxa"/>
            <w:vAlign w:val="center"/>
          </w:tcPr>
          <w:p>
            <w:pPr>
              <w:pStyle w:val="47"/>
              <w:rPr>
                <w:rFonts w:hint="eastAsia" w:ascii="宋体" w:hAnsi="宋体" w:eastAsia="宋体" w:cs="宋体"/>
                <w:u w:val="none"/>
              </w:rPr>
            </w:pPr>
            <w:r>
              <w:rPr>
                <w:rFonts w:hint="eastAsia" w:ascii="宋体" w:hAnsi="宋体" w:eastAsia="宋体" w:cs="宋体"/>
                <w:u w:val="none"/>
              </w:rPr>
              <w:t>其他环境</w:t>
            </w:r>
          </w:p>
          <w:p>
            <w:pPr>
              <w:pStyle w:val="47"/>
              <w:rPr>
                <w:rFonts w:hint="eastAsia" w:ascii="宋体" w:hAnsi="宋体" w:eastAsia="宋体" w:cs="宋体"/>
                <w:u w:val="none"/>
              </w:rPr>
            </w:pPr>
            <w:r>
              <w:rPr>
                <w:rFonts w:hint="eastAsia" w:ascii="宋体" w:hAnsi="宋体" w:eastAsia="宋体" w:cs="宋体"/>
                <w:u w:val="none"/>
              </w:rPr>
              <w:t>管理要求</w:t>
            </w:r>
          </w:p>
        </w:tc>
        <w:tc>
          <w:tcPr>
            <w:tcW w:w="7404" w:type="dxa"/>
            <w:gridSpan w:val="4"/>
            <w:vAlign w:val="center"/>
          </w:tcPr>
          <w:p>
            <w:pPr>
              <w:pStyle w:val="47"/>
              <w:jc w:val="left"/>
              <w:rPr>
                <w:rFonts w:hint="eastAsia" w:ascii="宋体" w:hAnsi="宋体" w:eastAsia="宋体" w:cs="宋体"/>
                <w:u w:val="none"/>
              </w:rPr>
            </w:pPr>
            <w:r>
              <w:rPr>
                <w:rFonts w:hint="eastAsia" w:ascii="宋体" w:hAnsi="宋体" w:eastAsia="宋体" w:cs="宋体"/>
                <w:u w:val="none"/>
              </w:rPr>
              <w:t>①环境保护管理体系为做好环境管理工作，公司应建立环境管理体系，将环境管理工作自上而下的贯穿到公司的生产管理中。</w:t>
            </w:r>
          </w:p>
          <w:p>
            <w:pPr>
              <w:pStyle w:val="47"/>
              <w:jc w:val="left"/>
              <w:rPr>
                <w:rFonts w:hint="eastAsia" w:ascii="宋体" w:hAnsi="宋体" w:eastAsia="宋体" w:cs="宋体"/>
                <w:u w:val="none"/>
              </w:rPr>
            </w:pPr>
            <w:r>
              <w:rPr>
                <w:rFonts w:hint="eastAsia" w:ascii="宋体" w:hAnsi="宋体" w:eastAsia="宋体" w:cs="宋体"/>
                <w:u w:val="none"/>
              </w:rPr>
              <w:t>②环境管理规章制度建立和完善环境管理制度，是公司环境管理体系的重要组成部分，需建立的环境管理制度。</w:t>
            </w:r>
          </w:p>
          <w:p>
            <w:pPr>
              <w:pStyle w:val="47"/>
              <w:jc w:val="left"/>
              <w:rPr>
                <w:rFonts w:hint="eastAsia" w:ascii="宋体" w:hAnsi="宋体" w:eastAsia="宋体" w:cs="宋体"/>
                <w:u w:val="none"/>
              </w:rPr>
            </w:pPr>
            <w:r>
              <w:rPr>
                <w:rFonts w:hint="eastAsia" w:ascii="宋体" w:hAnsi="宋体" w:eastAsia="宋体" w:cs="宋体"/>
                <w:u w:val="none"/>
              </w:rPr>
              <w:t>③设置环境保护标识企业应制定环境管理文件及实施细则，按照《排污口规范化整治技术要求（试行）》、《关于开展排放口规范化整治工作的通知》等文件中有关规定设置与管理废气、噪声与固废排放。</w:t>
            </w:r>
          </w:p>
          <w:p>
            <w:pPr>
              <w:pStyle w:val="47"/>
              <w:jc w:val="left"/>
              <w:rPr>
                <w:rFonts w:hint="eastAsia" w:ascii="宋体" w:hAnsi="宋体" w:eastAsia="宋体" w:cs="宋体"/>
                <w:u w:val="none"/>
              </w:rPr>
            </w:pPr>
            <w:r>
              <w:rPr>
                <w:rFonts w:hint="eastAsia" w:ascii="宋体" w:hAnsi="宋体" w:eastAsia="宋体" w:cs="宋体"/>
                <w:u w:val="none"/>
              </w:rPr>
              <w:t>④建设项目竣工环境保护验收根据《建设项目环境保护管理条例》要求，编制环境影响报告表的建设项目竣工后，建设单位应当按照国务院环境保护行政主管部门规定的标准和程序，对配套建设的环境保护设施进行验收，编制验收一览表。</w:t>
            </w:r>
          </w:p>
          <w:p>
            <w:pPr>
              <w:pStyle w:val="47"/>
              <w:jc w:val="left"/>
              <w:rPr>
                <w:rFonts w:hint="eastAsia" w:ascii="宋体" w:hAnsi="宋体" w:eastAsia="宋体" w:cs="宋体"/>
                <w:u w:val="none"/>
              </w:rPr>
            </w:pPr>
            <w:r>
              <w:rPr>
                <w:rFonts w:hint="eastAsia" w:ascii="宋体" w:hAnsi="宋体" w:eastAsia="宋体" w:cs="宋体"/>
                <w:u w:val="none"/>
              </w:rPr>
              <w:t>⑤企业按照《排污许可管理条例》和《固定污染源排污许可分类管理名录》（2019年版）要求申报排污许可。</w:t>
            </w:r>
          </w:p>
          <w:p>
            <w:pPr>
              <w:pStyle w:val="47"/>
              <w:jc w:val="left"/>
              <w:rPr>
                <w:rFonts w:hint="eastAsia" w:ascii="宋体" w:hAnsi="宋体" w:eastAsia="宋体" w:cs="宋体"/>
                <w:u w:val="none"/>
              </w:rPr>
            </w:pPr>
            <w:r>
              <w:rPr>
                <w:rFonts w:hint="eastAsia" w:ascii="宋体" w:hAnsi="宋体" w:eastAsia="宋体" w:cs="宋体"/>
                <w:u w:val="none"/>
                <w:lang w:eastAsia="zh-CN"/>
              </w:rPr>
              <w:t>湘阴县惠丰农业投资开发有限公司湘阴县食用菌产业融合示范区建设项目</w:t>
            </w:r>
            <w:r>
              <w:rPr>
                <w:rFonts w:hint="eastAsia" w:ascii="宋体" w:hAnsi="宋体" w:eastAsia="宋体" w:cs="宋体"/>
                <w:u w:val="none"/>
              </w:rPr>
              <w:t>属于八、农副食品加工业13-15、蔬菜、菌类、水果和坚果加工 137 中的其他以及五十一、通用工序- 109锅炉中的除纳入重点排污单位名录的，单台且合计出力 20 吨/小时（14 兆瓦） 以下的锅炉（不含电热锅炉）。</w:t>
            </w:r>
            <w:r>
              <w:rPr>
                <w:rFonts w:hint="eastAsia" w:ascii="宋体" w:hAnsi="宋体" w:eastAsia="宋体" w:cs="宋体"/>
                <w:u w:val="none"/>
                <w:lang w:eastAsia="zh-CN"/>
              </w:rPr>
              <w:t>湘阴县惠丰农业投资开发有限公司湘阴县食用菌产业融合示范区建设项目</w:t>
            </w:r>
            <w:r>
              <w:rPr>
                <w:rFonts w:hint="eastAsia" w:ascii="宋体" w:hAnsi="宋体" w:eastAsia="宋体" w:cs="宋体"/>
                <w:u w:val="none"/>
              </w:rPr>
              <w:t>为登记管理，企业需在投产前完成排污登记。详见下表。</w:t>
            </w:r>
          </w:p>
          <w:p>
            <w:pPr>
              <w:pStyle w:val="74"/>
              <w:widowControl w:val="0"/>
              <w:kinsoku/>
              <w:autoSpaceDE/>
              <w:autoSpaceDN/>
              <w:adjustRightInd/>
              <w:snapToGrid/>
              <w:jc w:val="center"/>
              <w:textAlignment w:val="auto"/>
              <w:rPr>
                <w:rFonts w:hint="eastAsia" w:ascii="宋体" w:hAnsi="宋体" w:eastAsia="宋体" w:cs="宋体"/>
                <w:b/>
                <w:snapToGrid/>
                <w:color w:val="auto"/>
                <w:sz w:val="21"/>
                <w:u w:val="none"/>
                <w:lang w:eastAsia="zh-CN"/>
              </w:rPr>
            </w:pPr>
            <w:r>
              <w:rPr>
                <w:rFonts w:hint="eastAsia" w:ascii="宋体" w:hAnsi="宋体" w:eastAsia="宋体" w:cs="宋体"/>
                <w:b/>
                <w:snapToGrid/>
                <w:color w:val="auto"/>
                <w:sz w:val="21"/>
                <w:u w:val="none"/>
                <w:lang w:eastAsia="zh-CN"/>
                <w14:textOutline w14:w="3797" w14:cap="sq" w14:cmpd="sng" w14:algn="ctr">
                  <w14:solidFill>
                    <w14:srgbClr w14:val="000000"/>
                  </w14:solidFill>
                  <w14:prstDash w14:val="solid"/>
                  <w14:bevel/>
                </w14:textOutline>
              </w:rPr>
              <w:t>表</w:t>
            </w:r>
            <w:r>
              <w:rPr>
                <w:rFonts w:hint="eastAsia" w:ascii="宋体" w:hAnsi="宋体" w:eastAsia="宋体" w:cs="宋体"/>
                <w:b/>
                <w:snapToGrid/>
                <w:color w:val="auto"/>
                <w:sz w:val="21"/>
                <w:u w:val="none"/>
                <w:lang w:eastAsia="zh-CN"/>
              </w:rPr>
              <w:t xml:space="preserve"> </w:t>
            </w:r>
            <w:r>
              <w:rPr>
                <w:rFonts w:hint="eastAsia" w:ascii="宋体" w:hAnsi="宋体" w:eastAsia="宋体" w:cs="宋体"/>
                <w:b/>
                <w:bCs/>
                <w:snapToGrid/>
                <w:color w:val="auto"/>
                <w:sz w:val="21"/>
                <w:u w:val="none"/>
                <w:lang w:eastAsia="zh-CN"/>
              </w:rPr>
              <w:t xml:space="preserve">5-1 </w:t>
            </w:r>
            <w:r>
              <w:rPr>
                <w:rFonts w:hint="eastAsia" w:ascii="宋体" w:hAnsi="宋体" w:eastAsia="宋体" w:cs="宋体"/>
                <w:b/>
                <w:snapToGrid/>
                <w:color w:val="auto"/>
                <w:sz w:val="21"/>
                <w:u w:val="none"/>
                <w:lang w:eastAsia="zh-CN"/>
                <w14:textOutline w14:w="3797" w14:cap="sq" w14:cmpd="sng" w14:algn="ctr">
                  <w14:solidFill>
                    <w14:srgbClr w14:val="000000"/>
                  </w14:solidFill>
                  <w14:prstDash w14:val="solid"/>
                  <w14:bevel/>
                </w14:textOutline>
              </w:rPr>
              <w:t>固定污染源排污许可分类管理名录</w:t>
            </w:r>
          </w:p>
          <w:tbl>
            <w:tblPr>
              <w:tblStyle w:val="6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6"/>
              <w:gridCol w:w="1469"/>
              <w:gridCol w:w="1224"/>
              <w:gridCol w:w="1899"/>
              <w:gridCol w:w="19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15" w:type="pct"/>
                  <w:vAlign w:val="center"/>
                </w:tcPr>
                <w:p>
                  <w:pPr>
                    <w:pStyle w:val="74"/>
                    <w:widowControl w:val="0"/>
                    <w:kinsoku/>
                    <w:autoSpaceDE/>
                    <w:autoSpaceDN/>
                    <w:adjustRightInd/>
                    <w:snapToGrid/>
                    <w:jc w:val="center"/>
                    <w:textAlignment w:val="auto"/>
                    <w:rPr>
                      <w:rFonts w:hint="eastAsia" w:ascii="宋体" w:hAnsi="宋体" w:eastAsia="宋体" w:cs="宋体"/>
                      <w:snapToGrid/>
                      <w:color w:val="000000" w:themeColor="text1"/>
                      <w:kern w:val="2"/>
                      <w:sz w:val="21"/>
                      <w:szCs w:val="21"/>
                      <w:u w:val="none"/>
                      <w14:textFill>
                        <w14:solidFill>
                          <w14:schemeClr w14:val="tx1"/>
                        </w14:solidFill>
                      </w14:textFill>
                    </w:rPr>
                  </w:pPr>
                  <w:r>
                    <w:rPr>
                      <w:rFonts w:hint="eastAsia" w:ascii="宋体" w:hAnsi="宋体" w:eastAsia="宋体" w:cs="宋体"/>
                      <w:snapToGrid/>
                      <w:color w:val="000000" w:themeColor="text1"/>
                      <w:kern w:val="2"/>
                      <w:sz w:val="21"/>
                      <w:szCs w:val="21"/>
                      <w:u w:val="none"/>
                      <w14:textOutline w14:w="3263" w14:cap="sq" w14:cmpd="sng" w14:algn="ctr">
                        <w14:solidFill>
                          <w14:srgbClr w14:val="000000"/>
                        </w14:solidFill>
                        <w14:prstDash w14:val="solid"/>
                        <w14:bevel/>
                      </w14:textOutline>
                      <w14:textFill>
                        <w14:solidFill>
                          <w14:schemeClr w14:val="tx1"/>
                        </w14:solidFill>
                      </w14:textFill>
                    </w:rPr>
                    <w:t>序号</w:t>
                  </w:r>
                </w:p>
              </w:tc>
              <w:tc>
                <w:tcPr>
                  <w:tcW w:w="1023" w:type="pct"/>
                  <w:vAlign w:val="center"/>
                </w:tcPr>
                <w:p>
                  <w:pPr>
                    <w:pStyle w:val="74"/>
                    <w:widowControl w:val="0"/>
                    <w:kinsoku/>
                    <w:autoSpaceDE/>
                    <w:autoSpaceDN/>
                    <w:adjustRightInd/>
                    <w:snapToGrid/>
                    <w:jc w:val="center"/>
                    <w:textAlignment w:val="auto"/>
                    <w:rPr>
                      <w:rFonts w:hint="eastAsia" w:ascii="宋体" w:hAnsi="宋体" w:eastAsia="宋体" w:cs="宋体"/>
                      <w:snapToGrid/>
                      <w:color w:val="000000" w:themeColor="text1"/>
                      <w:kern w:val="2"/>
                      <w:sz w:val="21"/>
                      <w:szCs w:val="21"/>
                      <w:u w:val="none"/>
                      <w14:textFill>
                        <w14:solidFill>
                          <w14:schemeClr w14:val="tx1"/>
                        </w14:solidFill>
                      </w14:textFill>
                    </w:rPr>
                  </w:pPr>
                  <w:r>
                    <w:rPr>
                      <w:rFonts w:hint="eastAsia" w:ascii="宋体" w:hAnsi="宋体" w:eastAsia="宋体" w:cs="宋体"/>
                      <w:snapToGrid/>
                      <w:color w:val="000000" w:themeColor="text1"/>
                      <w:kern w:val="2"/>
                      <w:sz w:val="21"/>
                      <w:szCs w:val="21"/>
                      <w:u w:val="none"/>
                      <w14:textOutline w14:w="3263" w14:cap="sq" w14:cmpd="sng" w14:algn="ctr">
                        <w14:solidFill>
                          <w14:srgbClr w14:val="000000"/>
                        </w14:solidFill>
                        <w14:prstDash w14:val="solid"/>
                        <w14:bevel/>
                      </w14:textOutline>
                      <w14:textFill>
                        <w14:solidFill>
                          <w14:schemeClr w14:val="tx1"/>
                        </w14:solidFill>
                      </w14:textFill>
                    </w:rPr>
                    <w:t>行业类别</w:t>
                  </w:r>
                </w:p>
              </w:tc>
              <w:tc>
                <w:tcPr>
                  <w:tcW w:w="852" w:type="pct"/>
                  <w:vAlign w:val="center"/>
                </w:tcPr>
                <w:p>
                  <w:pPr>
                    <w:pStyle w:val="74"/>
                    <w:widowControl w:val="0"/>
                    <w:kinsoku/>
                    <w:autoSpaceDE/>
                    <w:autoSpaceDN/>
                    <w:adjustRightInd/>
                    <w:snapToGrid/>
                    <w:jc w:val="center"/>
                    <w:textAlignment w:val="auto"/>
                    <w:rPr>
                      <w:rFonts w:hint="eastAsia" w:ascii="宋体" w:hAnsi="宋体" w:eastAsia="宋体" w:cs="宋体"/>
                      <w:snapToGrid/>
                      <w:color w:val="000000" w:themeColor="text1"/>
                      <w:kern w:val="2"/>
                      <w:sz w:val="21"/>
                      <w:szCs w:val="21"/>
                      <w:u w:val="none"/>
                      <w14:textFill>
                        <w14:solidFill>
                          <w14:schemeClr w14:val="tx1"/>
                        </w14:solidFill>
                      </w14:textFill>
                    </w:rPr>
                  </w:pPr>
                  <w:r>
                    <w:rPr>
                      <w:rFonts w:hint="eastAsia" w:ascii="宋体" w:hAnsi="宋体" w:eastAsia="宋体" w:cs="宋体"/>
                      <w:snapToGrid/>
                      <w:color w:val="000000" w:themeColor="text1"/>
                      <w:kern w:val="2"/>
                      <w:sz w:val="21"/>
                      <w:szCs w:val="21"/>
                      <w:u w:val="none"/>
                      <w14:textOutline w14:w="3263" w14:cap="sq" w14:cmpd="sng" w14:algn="ctr">
                        <w14:solidFill>
                          <w14:srgbClr w14:val="000000"/>
                        </w14:solidFill>
                        <w14:prstDash w14:val="solid"/>
                        <w14:bevel/>
                      </w14:textOutline>
                      <w14:textFill>
                        <w14:solidFill>
                          <w14:schemeClr w14:val="tx1"/>
                        </w14:solidFill>
                      </w14:textFill>
                    </w:rPr>
                    <w:t>重点管理</w:t>
                  </w:r>
                </w:p>
              </w:tc>
              <w:tc>
                <w:tcPr>
                  <w:tcW w:w="1322" w:type="pct"/>
                  <w:vAlign w:val="center"/>
                </w:tcPr>
                <w:p>
                  <w:pPr>
                    <w:pStyle w:val="74"/>
                    <w:widowControl w:val="0"/>
                    <w:kinsoku/>
                    <w:autoSpaceDE/>
                    <w:autoSpaceDN/>
                    <w:adjustRightInd/>
                    <w:snapToGrid/>
                    <w:jc w:val="center"/>
                    <w:textAlignment w:val="auto"/>
                    <w:rPr>
                      <w:rFonts w:hint="eastAsia" w:ascii="宋体" w:hAnsi="宋体" w:eastAsia="宋体" w:cs="宋体"/>
                      <w:snapToGrid/>
                      <w:color w:val="000000" w:themeColor="text1"/>
                      <w:kern w:val="2"/>
                      <w:sz w:val="21"/>
                      <w:szCs w:val="21"/>
                      <w:u w:val="none"/>
                      <w14:textFill>
                        <w14:solidFill>
                          <w14:schemeClr w14:val="tx1"/>
                        </w14:solidFill>
                      </w14:textFill>
                    </w:rPr>
                  </w:pPr>
                  <w:r>
                    <w:rPr>
                      <w:rFonts w:hint="eastAsia" w:ascii="宋体" w:hAnsi="宋体" w:eastAsia="宋体" w:cs="宋体"/>
                      <w:snapToGrid/>
                      <w:color w:val="000000" w:themeColor="text1"/>
                      <w:kern w:val="2"/>
                      <w:sz w:val="21"/>
                      <w:szCs w:val="21"/>
                      <w:u w:val="none"/>
                      <w14:textOutline w14:w="3263" w14:cap="sq" w14:cmpd="sng" w14:algn="ctr">
                        <w14:solidFill>
                          <w14:srgbClr w14:val="000000"/>
                        </w14:solidFill>
                        <w14:prstDash w14:val="solid"/>
                        <w14:bevel/>
                      </w14:textOutline>
                      <w14:textFill>
                        <w14:solidFill>
                          <w14:schemeClr w14:val="tx1"/>
                        </w14:solidFill>
                      </w14:textFill>
                    </w:rPr>
                    <w:t>简化管理</w:t>
                  </w:r>
                </w:p>
              </w:tc>
              <w:tc>
                <w:tcPr>
                  <w:tcW w:w="1389" w:type="pct"/>
                  <w:vAlign w:val="center"/>
                </w:tcPr>
                <w:p>
                  <w:pPr>
                    <w:pStyle w:val="74"/>
                    <w:widowControl w:val="0"/>
                    <w:kinsoku/>
                    <w:autoSpaceDE/>
                    <w:autoSpaceDN/>
                    <w:adjustRightInd/>
                    <w:snapToGrid/>
                    <w:jc w:val="center"/>
                    <w:textAlignment w:val="auto"/>
                    <w:rPr>
                      <w:rFonts w:hint="eastAsia" w:ascii="宋体" w:hAnsi="宋体" w:eastAsia="宋体" w:cs="宋体"/>
                      <w:snapToGrid/>
                      <w:color w:val="000000" w:themeColor="text1"/>
                      <w:kern w:val="2"/>
                      <w:sz w:val="21"/>
                      <w:szCs w:val="21"/>
                      <w:u w:val="none"/>
                      <w14:textFill>
                        <w14:solidFill>
                          <w14:schemeClr w14:val="tx1"/>
                        </w14:solidFill>
                      </w14:textFill>
                    </w:rPr>
                  </w:pPr>
                  <w:r>
                    <w:rPr>
                      <w:rFonts w:hint="eastAsia" w:ascii="宋体" w:hAnsi="宋体" w:eastAsia="宋体" w:cs="宋体"/>
                      <w:snapToGrid/>
                      <w:color w:val="000000" w:themeColor="text1"/>
                      <w:kern w:val="2"/>
                      <w:sz w:val="21"/>
                      <w:szCs w:val="21"/>
                      <w:u w:val="none"/>
                      <w14:textOutline w14:w="3263" w14:cap="sq" w14:cmpd="sng" w14:algn="ctr">
                        <w14:solidFill>
                          <w14:srgbClr w14:val="000000"/>
                        </w14:solidFill>
                        <w14:prstDash w14:val="solid"/>
                        <w14:bevel/>
                      </w14:textOutline>
                      <w14:textFill>
                        <w14:solidFill>
                          <w14:schemeClr w14:val="tx1"/>
                        </w14:solidFill>
                      </w14:textFill>
                    </w:rPr>
                    <w:t>登记管理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5000" w:type="pct"/>
                  <w:gridSpan w:val="5"/>
                  <w:vAlign w:val="center"/>
                </w:tcPr>
                <w:p>
                  <w:pPr>
                    <w:pStyle w:val="74"/>
                    <w:widowControl w:val="0"/>
                    <w:kinsoku/>
                    <w:autoSpaceDE/>
                    <w:autoSpaceDN/>
                    <w:adjustRightInd/>
                    <w:snapToGrid/>
                    <w:jc w:val="center"/>
                    <w:textAlignment w:val="auto"/>
                    <w:rPr>
                      <w:rFonts w:hint="eastAsia" w:ascii="宋体" w:hAnsi="宋体" w:eastAsia="宋体" w:cs="宋体"/>
                      <w:snapToGrid/>
                      <w:color w:val="000000" w:themeColor="text1"/>
                      <w:kern w:val="2"/>
                      <w:sz w:val="21"/>
                      <w:szCs w:val="21"/>
                      <w:u w:val="none"/>
                      <w14:textFill>
                        <w14:solidFill>
                          <w14:schemeClr w14:val="tx1"/>
                        </w14:solidFill>
                      </w14:textFill>
                    </w:rPr>
                  </w:pPr>
                  <w:r>
                    <w:rPr>
                      <w:rFonts w:hint="eastAsia" w:ascii="宋体" w:hAnsi="宋体" w:eastAsia="宋体" w:cs="宋体"/>
                      <w:snapToGrid/>
                      <w:color w:val="000000" w:themeColor="text1"/>
                      <w:kern w:val="2"/>
                      <w:sz w:val="21"/>
                      <w:szCs w:val="21"/>
                      <w:u w:val="none"/>
                      <w14:textFill>
                        <w14:solidFill>
                          <w14:schemeClr w14:val="tx1"/>
                        </w14:solidFill>
                      </w14:textFill>
                    </w:rPr>
                    <w:t>八、农副食品加工业13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415" w:type="pct"/>
                  <w:vAlign w:val="center"/>
                </w:tcPr>
                <w:p>
                  <w:pPr>
                    <w:autoSpaceDE/>
                    <w:autoSpaceDN/>
                    <w:spacing w:line="240" w:lineRule="auto"/>
                    <w:ind w:firstLine="0" w:firstLineChars="0"/>
                    <w:jc w:val="center"/>
                    <w:rPr>
                      <w:rFonts w:hint="eastAsia" w:ascii="宋体" w:hAnsi="宋体" w:eastAsia="宋体" w:cs="宋体"/>
                      <w:color w:val="000000" w:themeColor="text1"/>
                      <w:sz w:val="21"/>
                      <w:szCs w:val="21"/>
                      <w:u w:val="none"/>
                      <w:lang w:eastAsia="en-US"/>
                      <w14:textFill>
                        <w14:solidFill>
                          <w14:schemeClr w14:val="tx1"/>
                        </w14:solidFill>
                      </w14:textFill>
                    </w:rPr>
                  </w:pPr>
                  <w:r>
                    <w:rPr>
                      <w:rFonts w:hint="eastAsia" w:ascii="宋体" w:hAnsi="宋体" w:eastAsia="宋体" w:cs="宋体"/>
                      <w:color w:val="000000" w:themeColor="text1"/>
                      <w:sz w:val="21"/>
                      <w:szCs w:val="21"/>
                      <w:u w:val="none"/>
                      <w:lang w:eastAsia="en-US"/>
                      <w14:textFill>
                        <w14:solidFill>
                          <w14:schemeClr w14:val="tx1"/>
                        </w14:solidFill>
                      </w14:textFill>
                    </w:rPr>
                    <w:t>15</w:t>
                  </w:r>
                </w:p>
              </w:tc>
              <w:tc>
                <w:tcPr>
                  <w:tcW w:w="1023" w:type="pct"/>
                  <w:vAlign w:val="center"/>
                </w:tcPr>
                <w:p>
                  <w:pPr>
                    <w:pStyle w:val="74"/>
                    <w:widowControl w:val="0"/>
                    <w:kinsoku/>
                    <w:autoSpaceDE/>
                    <w:autoSpaceDN/>
                    <w:adjustRightInd/>
                    <w:snapToGrid/>
                    <w:jc w:val="center"/>
                    <w:textAlignment w:val="auto"/>
                    <w:rPr>
                      <w:rFonts w:hint="eastAsia" w:ascii="宋体" w:hAnsi="宋体" w:eastAsia="宋体" w:cs="宋体"/>
                      <w:snapToGrid/>
                      <w:color w:val="000000" w:themeColor="text1"/>
                      <w:kern w:val="2"/>
                      <w:sz w:val="21"/>
                      <w:szCs w:val="21"/>
                      <w:u w:val="none"/>
                      <w:lang w:eastAsia="zh-CN"/>
                      <w14:textFill>
                        <w14:solidFill>
                          <w14:schemeClr w14:val="tx1"/>
                        </w14:solidFill>
                      </w14:textFill>
                    </w:rPr>
                  </w:pPr>
                  <w:r>
                    <w:rPr>
                      <w:rFonts w:hint="eastAsia" w:ascii="宋体" w:hAnsi="宋体" w:eastAsia="宋体" w:cs="宋体"/>
                      <w:snapToGrid/>
                      <w:color w:val="000000" w:themeColor="text1"/>
                      <w:kern w:val="2"/>
                      <w:sz w:val="21"/>
                      <w:szCs w:val="21"/>
                      <w:u w:val="none"/>
                      <w:lang w:eastAsia="zh-CN"/>
                      <w14:textFill>
                        <w14:solidFill>
                          <w14:schemeClr w14:val="tx1"/>
                        </w14:solidFill>
                      </w14:textFill>
                    </w:rPr>
                    <w:t>蔬菜、菌类、水果和坚果加工137</w:t>
                  </w:r>
                </w:p>
              </w:tc>
              <w:tc>
                <w:tcPr>
                  <w:tcW w:w="852" w:type="pct"/>
                  <w:vAlign w:val="center"/>
                </w:tcPr>
                <w:p>
                  <w:pPr>
                    <w:pStyle w:val="74"/>
                    <w:widowControl w:val="0"/>
                    <w:kinsoku/>
                    <w:autoSpaceDE/>
                    <w:autoSpaceDN/>
                    <w:adjustRightInd/>
                    <w:snapToGrid/>
                    <w:jc w:val="center"/>
                    <w:textAlignment w:val="auto"/>
                    <w:rPr>
                      <w:rFonts w:hint="eastAsia" w:ascii="宋体" w:hAnsi="宋体" w:eastAsia="宋体" w:cs="宋体"/>
                      <w:snapToGrid/>
                      <w:color w:val="000000" w:themeColor="text1"/>
                      <w:kern w:val="2"/>
                      <w:sz w:val="21"/>
                      <w:szCs w:val="21"/>
                      <w:u w:val="none"/>
                      <w:lang w:eastAsia="zh-CN"/>
                      <w14:textFill>
                        <w14:solidFill>
                          <w14:schemeClr w14:val="tx1"/>
                        </w14:solidFill>
                      </w14:textFill>
                    </w:rPr>
                  </w:pPr>
                  <w:r>
                    <w:rPr>
                      <w:rFonts w:hint="eastAsia" w:ascii="宋体" w:hAnsi="宋体" w:eastAsia="宋体" w:cs="宋体"/>
                      <w:snapToGrid/>
                      <w:color w:val="000000" w:themeColor="text1"/>
                      <w:kern w:val="2"/>
                      <w:sz w:val="21"/>
                      <w:szCs w:val="21"/>
                      <w:u w:val="none"/>
                      <w:lang w:eastAsia="zh-CN"/>
                      <w14:textFill>
                        <w14:solidFill>
                          <w14:schemeClr w14:val="tx1"/>
                        </w14:solidFill>
                      </w14:textFill>
                    </w:rPr>
                    <w:t>涉及通用工序重点管理的</w:t>
                  </w:r>
                </w:p>
              </w:tc>
              <w:tc>
                <w:tcPr>
                  <w:tcW w:w="1322" w:type="pct"/>
                  <w:vAlign w:val="center"/>
                </w:tcPr>
                <w:p>
                  <w:pPr>
                    <w:pStyle w:val="74"/>
                    <w:widowControl w:val="0"/>
                    <w:kinsoku/>
                    <w:autoSpaceDE/>
                    <w:autoSpaceDN/>
                    <w:adjustRightInd/>
                    <w:snapToGrid/>
                    <w:jc w:val="center"/>
                    <w:textAlignment w:val="auto"/>
                    <w:rPr>
                      <w:rFonts w:hint="eastAsia" w:ascii="宋体" w:hAnsi="宋体" w:eastAsia="宋体" w:cs="宋体"/>
                      <w:snapToGrid/>
                      <w:color w:val="000000" w:themeColor="text1"/>
                      <w:kern w:val="2"/>
                      <w:sz w:val="21"/>
                      <w:szCs w:val="21"/>
                      <w:u w:val="none"/>
                      <w:lang w:eastAsia="zh-CN"/>
                      <w14:textFill>
                        <w14:solidFill>
                          <w14:schemeClr w14:val="tx1"/>
                        </w14:solidFill>
                      </w14:textFill>
                    </w:rPr>
                  </w:pPr>
                  <w:r>
                    <w:rPr>
                      <w:rFonts w:hint="eastAsia" w:ascii="宋体" w:hAnsi="宋体" w:eastAsia="宋体" w:cs="宋体"/>
                      <w:snapToGrid/>
                      <w:color w:val="000000" w:themeColor="text1"/>
                      <w:kern w:val="2"/>
                      <w:sz w:val="21"/>
                      <w:szCs w:val="21"/>
                      <w:u w:val="none"/>
                      <w:lang w:eastAsia="zh-CN"/>
                      <w14:textFill>
                        <w14:solidFill>
                          <w14:schemeClr w14:val="tx1"/>
                        </w14:solidFill>
                      </w14:textFill>
                    </w:rPr>
                    <w:t>涉及通用工序简化管理的</w:t>
                  </w:r>
                </w:p>
              </w:tc>
              <w:tc>
                <w:tcPr>
                  <w:tcW w:w="1389" w:type="pct"/>
                  <w:vAlign w:val="center"/>
                </w:tcPr>
                <w:p>
                  <w:pPr>
                    <w:pStyle w:val="74"/>
                    <w:widowControl w:val="0"/>
                    <w:kinsoku/>
                    <w:autoSpaceDE/>
                    <w:autoSpaceDN/>
                    <w:adjustRightInd/>
                    <w:snapToGrid/>
                    <w:jc w:val="center"/>
                    <w:textAlignment w:val="auto"/>
                    <w:rPr>
                      <w:rFonts w:hint="eastAsia" w:ascii="宋体" w:hAnsi="宋体" w:eastAsia="宋体" w:cs="宋体"/>
                      <w:snapToGrid/>
                      <w:color w:val="000000" w:themeColor="text1"/>
                      <w:kern w:val="2"/>
                      <w:sz w:val="21"/>
                      <w:szCs w:val="21"/>
                      <w:u w:val="none"/>
                      <w14:textFill>
                        <w14:solidFill>
                          <w14:schemeClr w14:val="tx1"/>
                        </w14:solidFill>
                      </w14:textFill>
                    </w:rPr>
                  </w:pPr>
                  <w:r>
                    <w:rPr>
                      <w:rFonts w:hint="eastAsia" w:ascii="宋体" w:hAnsi="宋体" w:eastAsia="宋体" w:cs="宋体"/>
                      <w:snapToGrid/>
                      <w:color w:val="000000" w:themeColor="text1"/>
                      <w:kern w:val="2"/>
                      <w:sz w:val="21"/>
                      <w:szCs w:val="21"/>
                      <w:u w:val="none"/>
                      <w14:textOutline w14:w="3263" w14:cap="sq" w14:cmpd="sng" w14:algn="ctr">
                        <w14:solidFill>
                          <w14:srgbClr w14:val="000000"/>
                        </w14:solidFill>
                        <w14:prstDash w14:val="solid"/>
                        <w14:bevel/>
                      </w14:textOutline>
                      <w14:textFill>
                        <w14:solidFill>
                          <w14:schemeClr w14:val="tx1"/>
                        </w14:solidFill>
                      </w14:textFill>
                    </w:rPr>
                    <w:t>其他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5000" w:type="pct"/>
                  <w:gridSpan w:val="5"/>
                  <w:vAlign w:val="center"/>
                </w:tcPr>
                <w:p>
                  <w:pPr>
                    <w:pStyle w:val="74"/>
                    <w:widowControl w:val="0"/>
                    <w:kinsoku/>
                    <w:autoSpaceDE/>
                    <w:autoSpaceDN/>
                    <w:adjustRightInd/>
                    <w:snapToGrid/>
                    <w:jc w:val="center"/>
                    <w:textAlignment w:val="auto"/>
                    <w:rPr>
                      <w:rFonts w:hint="eastAsia" w:ascii="宋体" w:hAnsi="宋体" w:eastAsia="宋体" w:cs="宋体"/>
                      <w:snapToGrid/>
                      <w:color w:val="000000" w:themeColor="text1"/>
                      <w:kern w:val="2"/>
                      <w:sz w:val="21"/>
                      <w:szCs w:val="21"/>
                      <w:u w:val="none"/>
                      <w14:textFill>
                        <w14:solidFill>
                          <w14:schemeClr w14:val="tx1"/>
                        </w14:solidFill>
                      </w14:textFill>
                    </w:rPr>
                  </w:pPr>
                  <w:r>
                    <w:rPr>
                      <w:rFonts w:hint="eastAsia" w:ascii="宋体" w:hAnsi="宋体" w:eastAsia="宋体" w:cs="宋体"/>
                      <w:snapToGrid/>
                      <w:color w:val="000000" w:themeColor="text1"/>
                      <w:kern w:val="2"/>
                      <w:sz w:val="21"/>
                      <w:szCs w:val="21"/>
                      <w:u w:val="none"/>
                      <w14:textFill>
                        <w14:solidFill>
                          <w14:schemeClr w14:val="tx1"/>
                        </w14:solidFill>
                      </w14:textFill>
                    </w:rPr>
                    <w:t>五十一、通用工序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4" w:hRule="atLeast"/>
              </w:trPr>
              <w:tc>
                <w:tcPr>
                  <w:tcW w:w="415" w:type="pct"/>
                  <w:vAlign w:val="center"/>
                </w:tcPr>
                <w:p>
                  <w:pPr>
                    <w:autoSpaceDE/>
                    <w:autoSpaceDN/>
                    <w:spacing w:line="240" w:lineRule="auto"/>
                    <w:ind w:firstLine="0" w:firstLineChars="0"/>
                    <w:jc w:val="center"/>
                    <w:rPr>
                      <w:rFonts w:hint="eastAsia" w:ascii="宋体" w:hAnsi="宋体" w:eastAsia="宋体" w:cs="宋体"/>
                      <w:color w:val="000000" w:themeColor="text1"/>
                      <w:sz w:val="21"/>
                      <w:szCs w:val="21"/>
                      <w:u w:val="none"/>
                      <w:lang w:eastAsia="en-US"/>
                      <w14:textFill>
                        <w14:solidFill>
                          <w14:schemeClr w14:val="tx1"/>
                        </w14:solidFill>
                      </w14:textFill>
                    </w:rPr>
                  </w:pPr>
                  <w:r>
                    <w:rPr>
                      <w:rFonts w:hint="eastAsia" w:ascii="宋体" w:hAnsi="宋体" w:eastAsia="宋体" w:cs="宋体"/>
                      <w:color w:val="000000" w:themeColor="text1"/>
                      <w:sz w:val="21"/>
                      <w:szCs w:val="21"/>
                      <w:u w:val="none"/>
                      <w:lang w:eastAsia="en-US"/>
                      <w14:textFill>
                        <w14:solidFill>
                          <w14:schemeClr w14:val="tx1"/>
                        </w14:solidFill>
                      </w14:textFill>
                    </w:rPr>
                    <w:t>109</w:t>
                  </w:r>
                </w:p>
              </w:tc>
              <w:tc>
                <w:tcPr>
                  <w:tcW w:w="1023" w:type="pct"/>
                  <w:vAlign w:val="center"/>
                </w:tcPr>
                <w:p>
                  <w:pPr>
                    <w:pStyle w:val="74"/>
                    <w:widowControl w:val="0"/>
                    <w:kinsoku/>
                    <w:autoSpaceDE/>
                    <w:autoSpaceDN/>
                    <w:adjustRightInd/>
                    <w:snapToGrid/>
                    <w:jc w:val="center"/>
                    <w:textAlignment w:val="auto"/>
                    <w:rPr>
                      <w:rFonts w:hint="eastAsia" w:ascii="宋体" w:hAnsi="宋体" w:eastAsia="宋体" w:cs="宋体"/>
                      <w:snapToGrid/>
                      <w:color w:val="000000" w:themeColor="text1"/>
                      <w:kern w:val="2"/>
                      <w:sz w:val="21"/>
                      <w:szCs w:val="21"/>
                      <w:u w:val="none"/>
                      <w14:textFill>
                        <w14:solidFill>
                          <w14:schemeClr w14:val="tx1"/>
                        </w14:solidFill>
                      </w14:textFill>
                    </w:rPr>
                  </w:pPr>
                  <w:r>
                    <w:rPr>
                      <w:rFonts w:hint="eastAsia" w:ascii="宋体" w:hAnsi="宋体" w:eastAsia="宋体" w:cs="宋体"/>
                      <w:snapToGrid/>
                      <w:color w:val="000000" w:themeColor="text1"/>
                      <w:kern w:val="2"/>
                      <w:sz w:val="21"/>
                      <w:szCs w:val="21"/>
                      <w:u w:val="none"/>
                      <w14:textFill>
                        <w14:solidFill>
                          <w14:schemeClr w14:val="tx1"/>
                        </w14:solidFill>
                      </w14:textFill>
                    </w:rPr>
                    <w:t>锅炉</w:t>
                  </w:r>
                </w:p>
              </w:tc>
              <w:tc>
                <w:tcPr>
                  <w:tcW w:w="852" w:type="pct"/>
                  <w:vAlign w:val="center"/>
                </w:tcPr>
                <w:p>
                  <w:pPr>
                    <w:pStyle w:val="74"/>
                    <w:widowControl w:val="0"/>
                    <w:kinsoku/>
                    <w:autoSpaceDE/>
                    <w:autoSpaceDN/>
                    <w:adjustRightInd/>
                    <w:snapToGrid/>
                    <w:jc w:val="center"/>
                    <w:textAlignment w:val="auto"/>
                    <w:rPr>
                      <w:rFonts w:hint="eastAsia" w:ascii="宋体" w:hAnsi="宋体" w:eastAsia="宋体" w:cs="宋体"/>
                      <w:snapToGrid/>
                      <w:color w:val="000000" w:themeColor="text1"/>
                      <w:kern w:val="2"/>
                      <w:sz w:val="21"/>
                      <w:szCs w:val="21"/>
                      <w:u w:val="none"/>
                      <w:lang w:eastAsia="zh-CN"/>
                      <w14:textFill>
                        <w14:solidFill>
                          <w14:schemeClr w14:val="tx1"/>
                        </w14:solidFill>
                      </w14:textFill>
                    </w:rPr>
                  </w:pPr>
                  <w:r>
                    <w:rPr>
                      <w:rFonts w:hint="eastAsia" w:ascii="宋体" w:hAnsi="宋体" w:eastAsia="宋体" w:cs="宋体"/>
                      <w:snapToGrid/>
                      <w:color w:val="000000" w:themeColor="text1"/>
                      <w:kern w:val="2"/>
                      <w:sz w:val="21"/>
                      <w:szCs w:val="21"/>
                      <w:u w:val="none"/>
                      <w:lang w:eastAsia="zh-CN"/>
                      <w14:textFill>
                        <w14:solidFill>
                          <w14:schemeClr w14:val="tx1"/>
                        </w14:solidFill>
                      </w14:textFill>
                    </w:rPr>
                    <w:t>纳入重点排污单位名录的</w:t>
                  </w:r>
                </w:p>
              </w:tc>
              <w:tc>
                <w:tcPr>
                  <w:tcW w:w="1322" w:type="pct"/>
                  <w:vAlign w:val="center"/>
                </w:tcPr>
                <w:p>
                  <w:pPr>
                    <w:pStyle w:val="74"/>
                    <w:widowControl w:val="0"/>
                    <w:kinsoku/>
                    <w:autoSpaceDE/>
                    <w:autoSpaceDN/>
                    <w:adjustRightInd/>
                    <w:snapToGrid/>
                    <w:jc w:val="center"/>
                    <w:textAlignment w:val="auto"/>
                    <w:rPr>
                      <w:rFonts w:hint="eastAsia" w:ascii="宋体" w:hAnsi="宋体" w:eastAsia="宋体" w:cs="宋体"/>
                      <w:snapToGrid/>
                      <w:color w:val="000000" w:themeColor="text1"/>
                      <w:kern w:val="2"/>
                      <w:sz w:val="21"/>
                      <w:szCs w:val="21"/>
                      <w:u w:val="none"/>
                      <w:lang w:eastAsia="zh-CN"/>
                      <w14:textFill>
                        <w14:solidFill>
                          <w14:schemeClr w14:val="tx1"/>
                        </w14:solidFill>
                      </w14:textFill>
                    </w:rPr>
                  </w:pPr>
                  <w:r>
                    <w:rPr>
                      <w:rFonts w:hint="eastAsia" w:ascii="宋体" w:hAnsi="宋体" w:eastAsia="宋体" w:cs="宋体"/>
                      <w:snapToGrid/>
                      <w:color w:val="000000" w:themeColor="text1"/>
                      <w:kern w:val="2"/>
                      <w:sz w:val="21"/>
                      <w:szCs w:val="21"/>
                      <w:u w:val="none"/>
                      <w:lang w:eastAsia="zh-CN"/>
                      <w14:textFill>
                        <w14:solidFill>
                          <w14:schemeClr w14:val="tx1"/>
                        </w14:solidFill>
                      </w14:textFill>
                    </w:rPr>
                    <w:t>除纳入重点排污单位名录的，单台或者合计出力20吨/小时（14兆瓦）及以上的锅炉（不含电热锅炉）</w:t>
                  </w:r>
                </w:p>
              </w:tc>
              <w:tc>
                <w:tcPr>
                  <w:tcW w:w="1389" w:type="pct"/>
                  <w:vAlign w:val="center"/>
                </w:tcPr>
                <w:p>
                  <w:pPr>
                    <w:pStyle w:val="74"/>
                    <w:widowControl w:val="0"/>
                    <w:kinsoku/>
                    <w:autoSpaceDE/>
                    <w:autoSpaceDN/>
                    <w:adjustRightInd/>
                    <w:snapToGrid/>
                    <w:jc w:val="center"/>
                    <w:textAlignment w:val="auto"/>
                    <w:rPr>
                      <w:rFonts w:hint="eastAsia" w:ascii="宋体" w:hAnsi="宋体" w:eastAsia="宋体" w:cs="宋体"/>
                      <w:snapToGrid/>
                      <w:color w:val="000000" w:themeColor="text1"/>
                      <w:kern w:val="2"/>
                      <w:sz w:val="21"/>
                      <w:szCs w:val="21"/>
                      <w:u w:val="none"/>
                      <w:lang w:eastAsia="zh-CN"/>
                      <w14:textFill>
                        <w14:solidFill>
                          <w14:schemeClr w14:val="tx1"/>
                        </w14:solidFill>
                      </w14:textFill>
                    </w:rPr>
                  </w:pPr>
                  <w:r>
                    <w:rPr>
                      <w:rFonts w:hint="eastAsia" w:ascii="宋体" w:hAnsi="宋体" w:eastAsia="宋体" w:cs="宋体"/>
                      <w:snapToGrid/>
                      <w:color w:val="000000" w:themeColor="text1"/>
                      <w:kern w:val="2"/>
                      <w:sz w:val="21"/>
                      <w:szCs w:val="21"/>
                      <w:u w:val="none"/>
                      <w:lang w:eastAsia="zh-CN"/>
                      <w14:textFill>
                        <w14:solidFill>
                          <w14:schemeClr w14:val="tx1"/>
                        </w14:solidFill>
                      </w14:textFill>
                    </w:rPr>
                    <w:t>除纳入重点排污单位名录的，单台且合计出力20吨/小时（14兆瓦）以下的锅炉（不含电热锅炉）</w:t>
                  </w:r>
                </w:p>
              </w:tc>
            </w:tr>
          </w:tbl>
          <w:p>
            <w:pPr>
              <w:pStyle w:val="74"/>
              <w:widowControl w:val="0"/>
              <w:kinsoku/>
              <w:autoSpaceDE/>
              <w:autoSpaceDN/>
              <w:adjustRightInd/>
              <w:snapToGrid/>
              <w:spacing w:line="360" w:lineRule="auto"/>
              <w:ind w:firstLine="436" w:firstLineChars="200"/>
              <w:jc w:val="both"/>
              <w:textAlignment w:val="auto"/>
              <w:rPr>
                <w:rFonts w:hint="eastAsia" w:ascii="宋体" w:hAnsi="宋体" w:eastAsia="宋体" w:cs="宋体"/>
                <w:u w:val="none"/>
              </w:rPr>
            </w:pPr>
            <w:r>
              <w:rPr>
                <w:rFonts w:hint="eastAsia" w:ascii="宋体" w:hAnsi="宋体" w:eastAsia="宋体" w:cs="宋体"/>
                <w:spacing w:val="9"/>
                <w:u w:val="none"/>
                <w:lang w:eastAsia="zh-CN"/>
              </w:rPr>
              <w:t>对照上表，本项目应实行登记管理，企业应依法进行排污登记管理。</w:t>
            </w:r>
          </w:p>
        </w:tc>
      </w:tr>
    </w:tbl>
    <w:p>
      <w:pPr>
        <w:pStyle w:val="19"/>
        <w:spacing w:line="240" w:lineRule="auto"/>
        <w:ind w:firstLine="0" w:firstLineChars="0"/>
        <w:jc w:val="center"/>
        <w:outlineLvl w:val="0"/>
        <w:rPr>
          <w:rFonts w:ascii="黑体" w:hAnsi="黑体" w:eastAsia="黑体"/>
          <w:snapToGrid w:val="0"/>
          <w:sz w:val="30"/>
          <w:szCs w:val="30"/>
        </w:rPr>
      </w:pPr>
      <w:r>
        <w:rPr>
          <w:snapToGrid w:val="0"/>
        </w:rPr>
        <w:br w:type="page"/>
      </w:r>
      <w:bookmarkStart w:id="30" w:name="_Toc30434"/>
      <w:bookmarkStart w:id="31" w:name="_Toc30443"/>
      <w:bookmarkStart w:id="32" w:name="_Toc16290"/>
      <w:r>
        <w:rPr>
          <w:rFonts w:hint="eastAsia" w:ascii="黑体" w:hAnsi="黑体" w:eastAsia="黑体"/>
          <w:snapToGrid w:val="0"/>
          <w:sz w:val="30"/>
          <w:szCs w:val="30"/>
        </w:rPr>
        <w:t>六、结论</w:t>
      </w:r>
      <w:bookmarkEnd w:id="30"/>
      <w:bookmarkEnd w:id="31"/>
      <w:bookmarkEnd w:id="32"/>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本项目选址于</w:t>
            </w:r>
            <w:r>
              <w:rPr>
                <w:rFonts w:hint="eastAsia" w:ascii="宋体" w:hAnsi="宋体" w:cs="宋体"/>
                <w:szCs w:val="21"/>
                <w:lang w:eastAsia="zh-CN"/>
              </w:rPr>
              <w:t>湘阴县杨林寨乡太和围村</w:t>
            </w:r>
            <w:r>
              <w:rPr>
                <w:rFonts w:hint="eastAsia" w:ascii="宋体" w:hAnsi="宋体" w:eastAsia="宋体" w:cs="宋体"/>
                <w:color w:val="000000"/>
                <w:kern w:val="0"/>
                <w:sz w:val="24"/>
                <w:szCs w:val="24"/>
                <w:lang w:val="en-US" w:eastAsia="zh-CN" w:bidi="ar"/>
              </w:rPr>
              <w:t>，项目建设符合我国现行的产业政策，选址合理，符合当地区域总体规划，</w:t>
            </w:r>
            <w:r>
              <w:rPr>
                <w:rFonts w:hint="eastAsia" w:ascii="宋体" w:hAnsi="宋体" w:cs="宋体"/>
                <w:color w:val="000000"/>
                <w:kern w:val="0"/>
                <w:sz w:val="24"/>
                <w:szCs w:val="24"/>
                <w:lang w:val="en-US" w:eastAsia="zh-CN" w:bidi="ar"/>
              </w:rPr>
              <w:t>总体</w:t>
            </w:r>
            <w:r>
              <w:rPr>
                <w:rFonts w:hint="eastAsia" w:ascii="宋体" w:hAnsi="宋体" w:eastAsia="宋体" w:cs="宋体"/>
                <w:color w:val="000000"/>
                <w:kern w:val="0"/>
                <w:sz w:val="24"/>
                <w:szCs w:val="24"/>
                <w:lang w:val="en-US" w:eastAsia="zh-CN" w:bidi="ar"/>
              </w:rPr>
              <w:t>布置可行。污染治理措施技术经济可行，采取相应的污染防治措施后可使污染物达标排放，对评价区域环境质量的影响不明显，项目选址与周边用地功能相容性较好，无重大环境制约因素。只要严格落实环境影响报告表和工程设计提出的环保对策措施，确保项目产生的污染物达标排放，从环境影响的角度考虑，本项目的建设是可行的。</w:t>
            </w:r>
          </w:p>
          <w:p>
            <w:pPr>
              <w:ind w:firstLine="480"/>
              <w:rPr>
                <w:rFonts w:ascii="宋体" w:cs="宋体"/>
              </w:rPr>
            </w:pPr>
          </w:p>
        </w:tc>
      </w:tr>
    </w:tbl>
    <w:p>
      <w:pPr>
        <w:ind w:firstLine="480"/>
        <w:rPr>
          <w:rFonts w:ascii="宋体"/>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9"/>
        <w:adjustRightInd w:val="0"/>
        <w:snapToGrid w:val="0"/>
        <w:spacing w:before="0" w:beforeAutospacing="0" w:after="0" w:afterAutospacing="0" w:line="240" w:lineRule="auto"/>
        <w:ind w:firstLine="0" w:firstLineChars="0"/>
        <w:jc w:val="center"/>
        <w:rPr>
          <w:rFonts w:ascii="方正小标宋_GBK" w:hAnsi="黑体" w:eastAsia="方正小标宋_GBK"/>
          <w:snapToGrid w:val="0"/>
          <w:sz w:val="28"/>
          <w:szCs w:val="28"/>
        </w:rPr>
      </w:pPr>
      <w:r>
        <w:rPr>
          <w:rFonts w:hint="eastAsia" w:ascii="方正小标宋_GBK" w:hAnsi="黑体" w:eastAsia="方正小标宋_GBK"/>
          <w:snapToGrid w:val="0"/>
          <w:sz w:val="28"/>
          <w:szCs w:val="28"/>
        </w:rPr>
        <w:t>建设项目污染物排放量汇总表</w:t>
      </w:r>
    </w:p>
    <w:tbl>
      <w:tblPr>
        <w:tblStyle w:val="24"/>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584"/>
        <w:gridCol w:w="12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88" w:type="dxa"/>
            <w:tcBorders>
              <w:tl2br w:val="single" w:color="auto" w:sz="4" w:space="0"/>
            </w:tcBorders>
            <w:tcMar>
              <w:left w:w="28" w:type="dxa"/>
              <w:right w:w="28" w:type="dxa"/>
            </w:tcMar>
            <w:vAlign w:val="center"/>
          </w:tcPr>
          <w:p>
            <w:pPr>
              <w:pStyle w:val="47"/>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p>
            <w:pPr>
              <w:pStyle w:val="47"/>
              <w:rPr>
                <w:color w:val="000000" w:themeColor="text1"/>
                <w14:textFill>
                  <w14:solidFill>
                    <w14:schemeClr w14:val="tx1"/>
                  </w14:solidFill>
                </w14:textFill>
              </w:rPr>
            </w:pPr>
            <w:r>
              <w:rPr>
                <w:rFonts w:hint="eastAsia"/>
                <w:color w:val="000000" w:themeColor="text1"/>
                <w14:textFill>
                  <w14:solidFill>
                    <w14:schemeClr w14:val="tx1"/>
                  </w14:solidFill>
                </w14:textFill>
              </w:rPr>
              <w:t>分类</w:t>
            </w:r>
          </w:p>
        </w:tc>
        <w:tc>
          <w:tcPr>
            <w:tcW w:w="1417" w:type="dxa"/>
            <w:tcMar>
              <w:left w:w="28" w:type="dxa"/>
              <w:right w:w="28" w:type="dxa"/>
            </w:tcMar>
            <w:vAlign w:val="center"/>
          </w:tcPr>
          <w:p>
            <w:pPr>
              <w:pStyle w:val="47"/>
              <w:rPr>
                <w:color w:val="000000" w:themeColor="text1"/>
                <w14:textFill>
                  <w14:solidFill>
                    <w14:schemeClr w14:val="tx1"/>
                  </w14:solidFill>
                </w14:textFill>
              </w:rPr>
            </w:pPr>
            <w:r>
              <w:rPr>
                <w:rFonts w:hint="eastAsia"/>
                <w:color w:val="000000" w:themeColor="text1"/>
                <w14:textFill>
                  <w14:solidFill>
                    <w14:schemeClr w14:val="tx1"/>
                  </w14:solidFill>
                </w14:textFill>
              </w:rPr>
              <w:t>污染物名称</w:t>
            </w:r>
          </w:p>
        </w:tc>
        <w:tc>
          <w:tcPr>
            <w:tcW w:w="1701" w:type="dxa"/>
            <w:tcMar>
              <w:left w:w="28" w:type="dxa"/>
              <w:right w:w="28" w:type="dxa"/>
            </w:tcMar>
            <w:vAlign w:val="center"/>
          </w:tcPr>
          <w:p>
            <w:pPr>
              <w:pStyle w:val="47"/>
              <w:rPr>
                <w:color w:val="000000" w:themeColor="text1"/>
                <w14:textFill>
                  <w14:solidFill>
                    <w14:schemeClr w14:val="tx1"/>
                  </w14:solidFill>
                </w14:textFill>
              </w:rPr>
            </w:pPr>
            <w:r>
              <w:rPr>
                <w:color w:val="000000" w:themeColor="text1"/>
                <w14:textFill>
                  <w14:solidFill>
                    <w14:schemeClr w14:val="tx1"/>
                  </w14:solidFill>
                </w14:textFill>
              </w:rPr>
              <w:t>现有工程</w:t>
            </w:r>
          </w:p>
          <w:p>
            <w:pPr>
              <w:pStyle w:val="47"/>
              <w:rPr>
                <w:color w:val="000000" w:themeColor="text1"/>
                <w14:textFill>
                  <w14:solidFill>
                    <w14:schemeClr w14:val="tx1"/>
                  </w14:solidFill>
                </w14:textFill>
              </w:rPr>
            </w:pPr>
            <w:r>
              <w:rPr>
                <w:color w:val="000000" w:themeColor="text1"/>
                <w14:textFill>
                  <w14:solidFill>
                    <w14:schemeClr w14:val="tx1"/>
                  </w14:solidFill>
                </w14:textFill>
              </w:rPr>
              <w:t>排放量（固</w:t>
            </w:r>
            <w:r>
              <w:rPr>
                <w:rFonts w:hint="eastAsia"/>
                <w:color w:val="000000" w:themeColor="text1"/>
                <w14:textFill>
                  <w14:solidFill>
                    <w14:schemeClr w14:val="tx1"/>
                  </w14:solidFill>
                </w14:textFill>
              </w:rPr>
              <w:t>体</w:t>
            </w:r>
            <w:r>
              <w:rPr>
                <w:color w:val="000000" w:themeColor="text1"/>
                <w14:textFill>
                  <w14:solidFill>
                    <w14:schemeClr w14:val="tx1"/>
                  </w14:solidFill>
                </w14:textFill>
              </w:rPr>
              <w:t>废</w:t>
            </w:r>
            <w:r>
              <w:rPr>
                <w:rFonts w:hint="eastAsia"/>
                <w:color w:val="000000" w:themeColor="text1"/>
                <w14:textFill>
                  <w14:solidFill>
                    <w14:schemeClr w14:val="tx1"/>
                  </w14:solidFill>
                </w14:textFill>
              </w:rPr>
              <w:t>物</w:t>
            </w:r>
            <w:r>
              <w:rPr>
                <w:color w:val="000000" w:themeColor="text1"/>
                <w14:textFill>
                  <w14:solidFill>
                    <w14:schemeClr w14:val="tx1"/>
                  </w14:solidFill>
                </w14:textFill>
              </w:rPr>
              <w:t>产生量）</w:t>
            </w:r>
            <w:r>
              <w:rPr>
                <w:rFonts w:hint="eastAsia"/>
                <w:color w:val="000000" w:themeColor="text1"/>
                <w14:textFill>
                  <w14:solidFill>
                    <w14:schemeClr w14:val="tx1"/>
                  </w14:solidFill>
                </w14:textFill>
              </w:rPr>
              <w:t>（t/a）</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①</w:t>
            </w:r>
            <w:r>
              <w:rPr>
                <w:color w:val="000000" w:themeColor="text1"/>
                <w14:textFill>
                  <w14:solidFill>
                    <w14:schemeClr w14:val="tx1"/>
                  </w14:solidFill>
                </w14:textFill>
              </w:rPr>
              <w:fldChar w:fldCharType="end"/>
            </w:r>
          </w:p>
        </w:tc>
        <w:tc>
          <w:tcPr>
            <w:tcW w:w="1276" w:type="dxa"/>
            <w:tcMar>
              <w:left w:w="28" w:type="dxa"/>
              <w:right w:w="28" w:type="dxa"/>
            </w:tcMar>
            <w:vAlign w:val="center"/>
          </w:tcPr>
          <w:p>
            <w:pPr>
              <w:pStyle w:val="47"/>
              <w:rPr>
                <w:color w:val="000000" w:themeColor="text1"/>
                <w14:textFill>
                  <w14:solidFill>
                    <w14:schemeClr w14:val="tx1"/>
                  </w14:solidFill>
                </w14:textFill>
              </w:rPr>
            </w:pPr>
            <w:r>
              <w:rPr>
                <w:color w:val="000000" w:themeColor="text1"/>
                <w14:textFill>
                  <w14:solidFill>
                    <w14:schemeClr w14:val="tx1"/>
                  </w14:solidFill>
                </w14:textFill>
              </w:rPr>
              <w:t>现有工程</w:t>
            </w:r>
          </w:p>
          <w:p>
            <w:pPr>
              <w:pStyle w:val="47"/>
              <w:rPr>
                <w:color w:val="000000" w:themeColor="text1"/>
                <w14:textFill>
                  <w14:solidFill>
                    <w14:schemeClr w14:val="tx1"/>
                  </w14:solidFill>
                </w14:textFill>
              </w:rPr>
            </w:pPr>
            <w:r>
              <w:rPr>
                <w:color w:val="000000" w:themeColor="text1"/>
                <w14:textFill>
                  <w14:solidFill>
                    <w14:schemeClr w14:val="tx1"/>
                  </w14:solidFill>
                </w14:textFill>
              </w:rPr>
              <w:t>许可排放量</w:t>
            </w:r>
          </w:p>
          <w:p>
            <w:pPr>
              <w:pStyle w:val="47"/>
              <w:rPr>
                <w:color w:val="000000" w:themeColor="text1"/>
                <w14:textFill>
                  <w14:solidFill>
                    <w14:schemeClr w14:val="tx1"/>
                  </w14:solidFill>
                </w14:textFill>
              </w:rPr>
            </w:pPr>
            <w:r>
              <w:rPr>
                <w:rFonts w:hint="eastAsia"/>
                <w:color w:val="000000" w:themeColor="text1"/>
                <w14:textFill>
                  <w14:solidFill>
                    <w14:schemeClr w14:val="tx1"/>
                  </w14:solidFill>
                </w14:textFill>
              </w:rPr>
              <w:t>（t/a）</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②</w:t>
            </w:r>
            <w:r>
              <w:rPr>
                <w:color w:val="000000" w:themeColor="text1"/>
                <w14:textFill>
                  <w14:solidFill>
                    <w14:schemeClr w14:val="tx1"/>
                  </w14:solidFill>
                </w14:textFill>
              </w:rPr>
              <w:fldChar w:fldCharType="end"/>
            </w:r>
          </w:p>
        </w:tc>
        <w:tc>
          <w:tcPr>
            <w:tcW w:w="1701" w:type="dxa"/>
            <w:tcMar>
              <w:left w:w="28" w:type="dxa"/>
              <w:right w:w="28" w:type="dxa"/>
            </w:tcMar>
            <w:vAlign w:val="center"/>
          </w:tcPr>
          <w:p>
            <w:pPr>
              <w:pStyle w:val="47"/>
              <w:rPr>
                <w:color w:val="000000" w:themeColor="text1"/>
                <w14:textFill>
                  <w14:solidFill>
                    <w14:schemeClr w14:val="tx1"/>
                  </w14:solidFill>
                </w14:textFill>
              </w:rPr>
            </w:pPr>
            <w:r>
              <w:rPr>
                <w:color w:val="000000" w:themeColor="text1"/>
                <w14:textFill>
                  <w14:solidFill>
                    <w14:schemeClr w14:val="tx1"/>
                  </w14:solidFill>
                </w14:textFill>
              </w:rPr>
              <w:t>在建工程</w:t>
            </w:r>
          </w:p>
          <w:p>
            <w:pPr>
              <w:pStyle w:val="47"/>
              <w:rPr>
                <w:color w:val="000000" w:themeColor="text1"/>
                <w14:textFill>
                  <w14:solidFill>
                    <w14:schemeClr w14:val="tx1"/>
                  </w14:solidFill>
                </w14:textFill>
              </w:rPr>
            </w:pPr>
            <w:r>
              <w:rPr>
                <w:color w:val="000000" w:themeColor="text1"/>
                <w14:textFill>
                  <w14:solidFill>
                    <w14:schemeClr w14:val="tx1"/>
                  </w14:solidFill>
                </w14:textFill>
              </w:rPr>
              <w:t>排放量（固</w:t>
            </w:r>
            <w:r>
              <w:rPr>
                <w:rFonts w:hint="eastAsia"/>
                <w:color w:val="000000" w:themeColor="text1"/>
                <w14:textFill>
                  <w14:solidFill>
                    <w14:schemeClr w14:val="tx1"/>
                  </w14:solidFill>
                </w14:textFill>
              </w:rPr>
              <w:t>体</w:t>
            </w:r>
            <w:r>
              <w:rPr>
                <w:color w:val="000000" w:themeColor="text1"/>
                <w14:textFill>
                  <w14:solidFill>
                    <w14:schemeClr w14:val="tx1"/>
                  </w14:solidFill>
                </w14:textFill>
              </w:rPr>
              <w:t>废</w:t>
            </w:r>
            <w:r>
              <w:rPr>
                <w:rFonts w:hint="eastAsia"/>
                <w:color w:val="000000" w:themeColor="text1"/>
                <w14:textFill>
                  <w14:solidFill>
                    <w14:schemeClr w14:val="tx1"/>
                  </w14:solidFill>
                </w14:textFill>
              </w:rPr>
              <w:t>物</w:t>
            </w:r>
            <w:r>
              <w:rPr>
                <w:color w:val="000000" w:themeColor="text1"/>
                <w14:textFill>
                  <w14:solidFill>
                    <w14:schemeClr w14:val="tx1"/>
                  </w14:solidFill>
                </w14:textFill>
              </w:rPr>
              <w:t>产生量）</w:t>
            </w:r>
            <w:r>
              <w:rPr>
                <w:rFonts w:hint="eastAsia"/>
                <w:color w:val="000000" w:themeColor="text1"/>
                <w14:textFill>
                  <w14:solidFill>
                    <w14:schemeClr w14:val="tx1"/>
                  </w14:solidFill>
                </w14:textFill>
              </w:rPr>
              <w:t>（t/a）</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③</w:t>
            </w:r>
            <w:r>
              <w:rPr>
                <w:color w:val="000000" w:themeColor="text1"/>
                <w14:textFill>
                  <w14:solidFill>
                    <w14:schemeClr w14:val="tx1"/>
                  </w14:solidFill>
                </w14:textFill>
              </w:rPr>
              <w:fldChar w:fldCharType="end"/>
            </w:r>
          </w:p>
        </w:tc>
        <w:tc>
          <w:tcPr>
            <w:tcW w:w="1559" w:type="dxa"/>
            <w:tcMar>
              <w:left w:w="28" w:type="dxa"/>
              <w:right w:w="28" w:type="dxa"/>
            </w:tcMar>
            <w:vAlign w:val="center"/>
          </w:tcPr>
          <w:p>
            <w:pPr>
              <w:pStyle w:val="47"/>
              <w:rPr>
                <w:color w:val="000000" w:themeColor="text1"/>
                <w14:textFill>
                  <w14:solidFill>
                    <w14:schemeClr w14:val="tx1"/>
                  </w14:solidFill>
                </w14:textFill>
              </w:rPr>
            </w:pPr>
            <w:r>
              <w:rPr>
                <w:color w:val="000000" w:themeColor="text1"/>
                <w14:textFill>
                  <w14:solidFill>
                    <w14:schemeClr w14:val="tx1"/>
                  </w14:solidFill>
                </w14:textFill>
              </w:rPr>
              <w:t>本项目</w:t>
            </w:r>
          </w:p>
          <w:p>
            <w:pPr>
              <w:pStyle w:val="47"/>
              <w:rPr>
                <w:color w:val="000000" w:themeColor="text1"/>
                <w14:textFill>
                  <w14:solidFill>
                    <w14:schemeClr w14:val="tx1"/>
                  </w14:solidFill>
                </w14:textFill>
              </w:rPr>
            </w:pPr>
            <w:r>
              <w:rPr>
                <w:color w:val="000000" w:themeColor="text1"/>
                <w14:textFill>
                  <w14:solidFill>
                    <w14:schemeClr w14:val="tx1"/>
                  </w14:solidFill>
                </w14:textFill>
              </w:rPr>
              <w:t>排放量（固</w:t>
            </w:r>
            <w:r>
              <w:rPr>
                <w:rFonts w:hint="eastAsia"/>
                <w:color w:val="000000" w:themeColor="text1"/>
                <w14:textFill>
                  <w14:solidFill>
                    <w14:schemeClr w14:val="tx1"/>
                  </w14:solidFill>
                </w14:textFill>
              </w:rPr>
              <w:t>体</w:t>
            </w:r>
            <w:r>
              <w:rPr>
                <w:color w:val="000000" w:themeColor="text1"/>
                <w14:textFill>
                  <w14:solidFill>
                    <w14:schemeClr w14:val="tx1"/>
                  </w14:solidFill>
                </w14:textFill>
              </w:rPr>
              <w:t>废</w:t>
            </w:r>
            <w:r>
              <w:rPr>
                <w:rFonts w:hint="eastAsia"/>
                <w:color w:val="000000" w:themeColor="text1"/>
                <w14:textFill>
                  <w14:solidFill>
                    <w14:schemeClr w14:val="tx1"/>
                  </w14:solidFill>
                </w14:textFill>
              </w:rPr>
              <w:t>物</w:t>
            </w:r>
            <w:r>
              <w:rPr>
                <w:color w:val="000000" w:themeColor="text1"/>
                <w14:textFill>
                  <w14:solidFill>
                    <w14:schemeClr w14:val="tx1"/>
                  </w14:solidFill>
                </w14:textFill>
              </w:rPr>
              <w:t>产生量）</w:t>
            </w:r>
            <w:r>
              <w:rPr>
                <w:rFonts w:hint="eastAsia"/>
                <w:color w:val="000000" w:themeColor="text1"/>
                <w14:textFill>
                  <w14:solidFill>
                    <w14:schemeClr w14:val="tx1"/>
                  </w14:solidFill>
                </w14:textFill>
              </w:rPr>
              <w:t>（t/a）</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4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④</w:t>
            </w:r>
            <w:r>
              <w:rPr>
                <w:color w:val="000000" w:themeColor="text1"/>
                <w14:textFill>
                  <w14:solidFill>
                    <w14:schemeClr w14:val="tx1"/>
                  </w14:solidFill>
                </w14:textFill>
              </w:rPr>
              <w:fldChar w:fldCharType="end"/>
            </w:r>
          </w:p>
        </w:tc>
        <w:tc>
          <w:tcPr>
            <w:tcW w:w="1761" w:type="dxa"/>
            <w:tcMar>
              <w:left w:w="28" w:type="dxa"/>
              <w:right w:w="28" w:type="dxa"/>
            </w:tcMar>
            <w:vAlign w:val="center"/>
          </w:tcPr>
          <w:p>
            <w:pPr>
              <w:pStyle w:val="47"/>
              <w:rPr>
                <w:color w:val="000000" w:themeColor="text1"/>
                <w14:textFill>
                  <w14:solidFill>
                    <w14:schemeClr w14:val="tx1"/>
                  </w14:solidFill>
                </w14:textFill>
              </w:rPr>
            </w:pPr>
            <w:r>
              <w:rPr>
                <w:color w:val="000000" w:themeColor="text1"/>
                <w14:textFill>
                  <w14:solidFill>
                    <w14:schemeClr w14:val="tx1"/>
                  </w14:solidFill>
                </w14:textFill>
              </w:rPr>
              <w:t>以新带老削减量</w:t>
            </w:r>
          </w:p>
          <w:p>
            <w:pPr>
              <w:pStyle w:val="47"/>
              <w:rPr>
                <w:color w:val="000000" w:themeColor="text1"/>
                <w14:textFill>
                  <w14:solidFill>
                    <w14:schemeClr w14:val="tx1"/>
                  </w14:solidFill>
                </w14:textFill>
              </w:rPr>
            </w:pPr>
            <w:r>
              <w:rPr>
                <w:color w:val="000000" w:themeColor="text1"/>
                <w14:textFill>
                  <w14:solidFill>
                    <w14:schemeClr w14:val="tx1"/>
                  </w14:solidFill>
                </w14:textFill>
              </w:rPr>
              <w:t>（新建项目不填）</w:t>
            </w:r>
            <w:r>
              <w:rPr>
                <w:rFonts w:hint="eastAsia"/>
                <w:color w:val="000000" w:themeColor="text1"/>
                <w14:textFill>
                  <w14:solidFill>
                    <w14:schemeClr w14:val="tx1"/>
                  </w14:solidFill>
                </w14:textFill>
              </w:rPr>
              <w:t>（t/a）</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5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⑤</w:t>
            </w:r>
            <w:r>
              <w:rPr>
                <w:color w:val="000000" w:themeColor="text1"/>
                <w14:textFill>
                  <w14:solidFill>
                    <w14:schemeClr w14:val="tx1"/>
                  </w14:solidFill>
                </w14:textFill>
              </w:rPr>
              <w:fldChar w:fldCharType="end"/>
            </w:r>
          </w:p>
        </w:tc>
        <w:tc>
          <w:tcPr>
            <w:tcW w:w="1584" w:type="dxa"/>
            <w:tcMar>
              <w:left w:w="28" w:type="dxa"/>
              <w:right w:w="28" w:type="dxa"/>
            </w:tcMar>
            <w:vAlign w:val="center"/>
          </w:tcPr>
          <w:p>
            <w:pPr>
              <w:pStyle w:val="47"/>
              <w:rPr>
                <w:color w:val="000000" w:themeColor="text1"/>
                <w14:textFill>
                  <w14:solidFill>
                    <w14:schemeClr w14:val="tx1"/>
                  </w14:solidFill>
                </w14:textFill>
              </w:rPr>
            </w:pPr>
            <w:r>
              <w:rPr>
                <w:color w:val="000000" w:themeColor="text1"/>
                <w14:textFill>
                  <w14:solidFill>
                    <w14:schemeClr w14:val="tx1"/>
                  </w14:solidFill>
                </w14:textFill>
              </w:rPr>
              <w:t>本项目建成后</w:t>
            </w:r>
          </w:p>
          <w:p>
            <w:pPr>
              <w:pStyle w:val="47"/>
              <w:rPr>
                <w:color w:val="000000" w:themeColor="text1"/>
                <w14:textFill>
                  <w14:solidFill>
                    <w14:schemeClr w14:val="tx1"/>
                  </w14:solidFill>
                </w14:textFill>
              </w:rPr>
            </w:pPr>
            <w:r>
              <w:rPr>
                <w:rFonts w:hint="eastAsia"/>
                <w:color w:val="000000" w:themeColor="text1"/>
                <w14:textFill>
                  <w14:solidFill>
                    <w14:schemeClr w14:val="tx1"/>
                  </w14:solidFill>
                </w14:textFill>
              </w:rPr>
              <w:t>全厂</w:t>
            </w:r>
            <w:r>
              <w:rPr>
                <w:color w:val="000000" w:themeColor="text1"/>
                <w14:textFill>
                  <w14:solidFill>
                    <w14:schemeClr w14:val="tx1"/>
                  </w14:solidFill>
                </w14:textFill>
              </w:rPr>
              <w:t>排放量（固</w:t>
            </w:r>
            <w:r>
              <w:rPr>
                <w:rFonts w:hint="eastAsia"/>
                <w:color w:val="000000" w:themeColor="text1"/>
                <w14:textFill>
                  <w14:solidFill>
                    <w14:schemeClr w14:val="tx1"/>
                  </w14:solidFill>
                </w14:textFill>
              </w:rPr>
              <w:t>体</w:t>
            </w:r>
            <w:r>
              <w:rPr>
                <w:color w:val="000000" w:themeColor="text1"/>
                <w14:textFill>
                  <w14:solidFill>
                    <w14:schemeClr w14:val="tx1"/>
                  </w14:solidFill>
                </w14:textFill>
              </w:rPr>
              <w:t>废</w:t>
            </w:r>
            <w:r>
              <w:rPr>
                <w:rFonts w:hint="eastAsia"/>
                <w:color w:val="000000" w:themeColor="text1"/>
                <w14:textFill>
                  <w14:solidFill>
                    <w14:schemeClr w14:val="tx1"/>
                  </w14:solidFill>
                </w14:textFill>
              </w:rPr>
              <w:t>物</w:t>
            </w:r>
            <w:r>
              <w:rPr>
                <w:color w:val="000000" w:themeColor="text1"/>
                <w14:textFill>
                  <w14:solidFill>
                    <w14:schemeClr w14:val="tx1"/>
                  </w14:solidFill>
                </w14:textFill>
              </w:rPr>
              <w:t>产生量）</w:t>
            </w:r>
            <w:r>
              <w:rPr>
                <w:rFonts w:hint="eastAsia"/>
                <w:color w:val="000000" w:themeColor="text1"/>
                <w14:textFill>
                  <w14:solidFill>
                    <w14:schemeClr w14:val="tx1"/>
                  </w14:solidFill>
                </w14:textFill>
              </w:rPr>
              <w:t>（t/a）</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6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⑥</w:t>
            </w:r>
            <w:r>
              <w:rPr>
                <w:color w:val="000000" w:themeColor="text1"/>
                <w14:textFill>
                  <w14:solidFill>
                    <w14:schemeClr w14:val="tx1"/>
                  </w14:solidFill>
                </w14:textFill>
              </w:rPr>
              <w:fldChar w:fldCharType="end"/>
            </w:r>
          </w:p>
        </w:tc>
        <w:tc>
          <w:tcPr>
            <w:tcW w:w="1201" w:type="dxa"/>
            <w:tcMar>
              <w:left w:w="28" w:type="dxa"/>
              <w:right w:w="28" w:type="dxa"/>
            </w:tcMar>
            <w:vAlign w:val="center"/>
          </w:tcPr>
          <w:p>
            <w:pPr>
              <w:pStyle w:val="47"/>
              <w:rPr>
                <w:color w:val="000000" w:themeColor="text1"/>
                <w14:textFill>
                  <w14:solidFill>
                    <w14:schemeClr w14:val="tx1"/>
                  </w14:solidFill>
                </w14:textFill>
              </w:rPr>
            </w:pPr>
            <w:r>
              <w:rPr>
                <w:color w:val="000000" w:themeColor="text1"/>
                <w14:textFill>
                  <w14:solidFill>
                    <w14:schemeClr w14:val="tx1"/>
                  </w14:solidFill>
                </w14:textFill>
              </w:rPr>
              <w:t>变化量</w:t>
            </w:r>
          </w:p>
          <w:p>
            <w:pPr>
              <w:pStyle w:val="47"/>
              <w:rPr>
                <w:color w:val="000000" w:themeColor="text1"/>
                <w14:textFill>
                  <w14:solidFill>
                    <w14:schemeClr w14:val="tx1"/>
                  </w14:solidFill>
                </w14:textFill>
              </w:rPr>
            </w:pPr>
            <w:r>
              <w:rPr>
                <w:rFonts w:hint="eastAsia"/>
                <w:color w:val="000000" w:themeColor="text1"/>
                <w14:textFill>
                  <w14:solidFill>
                    <w14:schemeClr w14:val="tx1"/>
                  </w14:solidFill>
                </w14:textFill>
              </w:rPr>
              <w:t>（t/a）</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7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⑦</w:t>
            </w:r>
            <w:r>
              <w:rPr>
                <w:color w:val="000000" w:themeColor="text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1588" w:type="dxa"/>
            <w:vMerge w:val="restart"/>
            <w:vAlign w:val="center"/>
          </w:tcPr>
          <w:p>
            <w:pPr>
              <w:pStyle w:val="47"/>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1417" w:type="dxa"/>
            <w:vAlign w:val="center"/>
          </w:tcPr>
          <w:p>
            <w:pPr>
              <w:pStyle w:val="47"/>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二氧化硫</w:t>
            </w:r>
          </w:p>
        </w:tc>
        <w:tc>
          <w:tcPr>
            <w:tcW w:w="1701" w:type="dxa"/>
            <w:vAlign w:val="center"/>
          </w:tcPr>
          <w:p>
            <w:pPr>
              <w:pStyle w:val="47"/>
              <w:rPr>
                <w:color w:val="000000" w:themeColor="text1"/>
                <w:szCs w:val="24"/>
                <w14:textFill>
                  <w14:solidFill>
                    <w14:schemeClr w14:val="tx1"/>
                  </w14:solidFill>
                </w14:textFill>
              </w:rPr>
            </w:pPr>
          </w:p>
        </w:tc>
        <w:tc>
          <w:tcPr>
            <w:tcW w:w="1276" w:type="dxa"/>
            <w:vAlign w:val="center"/>
          </w:tcPr>
          <w:p>
            <w:pPr>
              <w:pStyle w:val="47"/>
              <w:rPr>
                <w:color w:val="000000" w:themeColor="text1"/>
                <w:szCs w:val="24"/>
                <w14:textFill>
                  <w14:solidFill>
                    <w14:schemeClr w14:val="tx1"/>
                  </w14:solidFill>
                </w14:textFill>
              </w:rPr>
            </w:pPr>
          </w:p>
        </w:tc>
        <w:tc>
          <w:tcPr>
            <w:tcW w:w="1701" w:type="dxa"/>
            <w:vAlign w:val="center"/>
          </w:tcPr>
          <w:p>
            <w:pPr>
              <w:pStyle w:val="47"/>
              <w:rPr>
                <w:color w:val="000000" w:themeColor="text1"/>
                <w:szCs w:val="24"/>
                <w14:textFill>
                  <w14:solidFill>
                    <w14:schemeClr w14:val="tx1"/>
                  </w14:solidFill>
                </w14:textFill>
              </w:rPr>
            </w:pPr>
          </w:p>
        </w:tc>
        <w:tc>
          <w:tcPr>
            <w:tcW w:w="1559" w:type="dxa"/>
            <w:vAlign w:val="center"/>
          </w:tcPr>
          <w:p>
            <w:pPr>
              <w:pStyle w:val="47"/>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0.028</w:t>
            </w:r>
          </w:p>
        </w:tc>
        <w:tc>
          <w:tcPr>
            <w:tcW w:w="1761" w:type="dxa"/>
            <w:vAlign w:val="center"/>
          </w:tcPr>
          <w:p>
            <w:pPr>
              <w:pStyle w:val="47"/>
              <w:rPr>
                <w:color w:val="000000" w:themeColor="text1"/>
                <w:szCs w:val="24"/>
                <w14:textFill>
                  <w14:solidFill>
                    <w14:schemeClr w14:val="tx1"/>
                  </w14:solidFill>
                </w14:textFill>
              </w:rPr>
            </w:pPr>
          </w:p>
        </w:tc>
        <w:tc>
          <w:tcPr>
            <w:tcW w:w="1584" w:type="dxa"/>
            <w:shd w:val="clear" w:color="auto" w:fill="auto"/>
            <w:vAlign w:val="center"/>
          </w:tcPr>
          <w:p>
            <w:pPr>
              <w:pStyle w:val="47"/>
              <w:ind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szCs w:val="24"/>
                <w:lang w:val="en-US" w:eastAsia="zh-CN"/>
                <w14:textFill>
                  <w14:solidFill>
                    <w14:schemeClr w14:val="tx1"/>
                  </w14:solidFill>
                </w14:textFill>
              </w:rPr>
              <w:t>0.028</w:t>
            </w:r>
          </w:p>
        </w:tc>
        <w:tc>
          <w:tcPr>
            <w:tcW w:w="1201" w:type="dxa"/>
            <w:vAlign w:val="center"/>
          </w:tcPr>
          <w:p>
            <w:pPr>
              <w:pStyle w:val="47"/>
              <w:rPr>
                <w:color w:val="000000" w:themeColor="text1"/>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1588" w:type="dxa"/>
            <w:vMerge w:val="continue"/>
            <w:vAlign w:val="center"/>
          </w:tcPr>
          <w:p>
            <w:pPr>
              <w:pStyle w:val="47"/>
              <w:rPr>
                <w:color w:val="000000" w:themeColor="text1"/>
                <w14:textFill>
                  <w14:solidFill>
                    <w14:schemeClr w14:val="tx1"/>
                  </w14:solidFill>
                </w14:textFill>
              </w:rPr>
            </w:pPr>
          </w:p>
        </w:tc>
        <w:tc>
          <w:tcPr>
            <w:tcW w:w="1417" w:type="dxa"/>
            <w:vAlign w:val="center"/>
          </w:tcPr>
          <w:p>
            <w:pPr>
              <w:pStyle w:val="47"/>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氮氧化物</w:t>
            </w:r>
          </w:p>
        </w:tc>
        <w:tc>
          <w:tcPr>
            <w:tcW w:w="1701" w:type="dxa"/>
            <w:vAlign w:val="center"/>
          </w:tcPr>
          <w:p>
            <w:pPr>
              <w:pStyle w:val="47"/>
              <w:rPr>
                <w:color w:val="000000" w:themeColor="text1"/>
                <w:szCs w:val="24"/>
                <w14:textFill>
                  <w14:solidFill>
                    <w14:schemeClr w14:val="tx1"/>
                  </w14:solidFill>
                </w14:textFill>
              </w:rPr>
            </w:pPr>
          </w:p>
        </w:tc>
        <w:tc>
          <w:tcPr>
            <w:tcW w:w="1276" w:type="dxa"/>
            <w:vAlign w:val="center"/>
          </w:tcPr>
          <w:p>
            <w:pPr>
              <w:pStyle w:val="47"/>
              <w:rPr>
                <w:color w:val="000000" w:themeColor="text1"/>
                <w:szCs w:val="24"/>
                <w14:textFill>
                  <w14:solidFill>
                    <w14:schemeClr w14:val="tx1"/>
                  </w14:solidFill>
                </w14:textFill>
              </w:rPr>
            </w:pPr>
          </w:p>
        </w:tc>
        <w:tc>
          <w:tcPr>
            <w:tcW w:w="1701" w:type="dxa"/>
            <w:vAlign w:val="center"/>
          </w:tcPr>
          <w:p>
            <w:pPr>
              <w:pStyle w:val="47"/>
              <w:rPr>
                <w:color w:val="000000" w:themeColor="text1"/>
                <w:szCs w:val="24"/>
                <w14:textFill>
                  <w14:solidFill>
                    <w14:schemeClr w14:val="tx1"/>
                  </w14:solidFill>
                </w14:textFill>
              </w:rPr>
            </w:pPr>
          </w:p>
        </w:tc>
        <w:tc>
          <w:tcPr>
            <w:tcW w:w="1559" w:type="dxa"/>
            <w:vAlign w:val="center"/>
          </w:tcPr>
          <w:p>
            <w:pPr>
              <w:pStyle w:val="47"/>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2.602</w:t>
            </w:r>
          </w:p>
        </w:tc>
        <w:tc>
          <w:tcPr>
            <w:tcW w:w="1761" w:type="dxa"/>
            <w:vAlign w:val="center"/>
          </w:tcPr>
          <w:p>
            <w:pPr>
              <w:pStyle w:val="47"/>
              <w:rPr>
                <w:color w:val="000000" w:themeColor="text1"/>
                <w:szCs w:val="24"/>
                <w14:textFill>
                  <w14:solidFill>
                    <w14:schemeClr w14:val="tx1"/>
                  </w14:solidFill>
                </w14:textFill>
              </w:rPr>
            </w:pPr>
          </w:p>
        </w:tc>
        <w:tc>
          <w:tcPr>
            <w:tcW w:w="1584" w:type="dxa"/>
            <w:shd w:val="clear" w:color="auto" w:fill="auto"/>
            <w:vAlign w:val="center"/>
          </w:tcPr>
          <w:p>
            <w:pPr>
              <w:pStyle w:val="47"/>
              <w:ind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szCs w:val="24"/>
                <w:lang w:val="en-US" w:eastAsia="zh-CN"/>
                <w14:textFill>
                  <w14:solidFill>
                    <w14:schemeClr w14:val="tx1"/>
                  </w14:solidFill>
                </w14:textFill>
              </w:rPr>
              <w:t>2.602</w:t>
            </w:r>
          </w:p>
        </w:tc>
        <w:tc>
          <w:tcPr>
            <w:tcW w:w="1201" w:type="dxa"/>
            <w:vAlign w:val="center"/>
          </w:tcPr>
          <w:p>
            <w:pPr>
              <w:pStyle w:val="47"/>
              <w:rPr>
                <w:color w:val="000000" w:themeColor="text1"/>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88" w:type="dxa"/>
            <w:vMerge w:val="continue"/>
            <w:vAlign w:val="center"/>
          </w:tcPr>
          <w:p>
            <w:pPr>
              <w:pStyle w:val="47"/>
              <w:rPr>
                <w:color w:val="000000" w:themeColor="text1"/>
                <w14:textFill>
                  <w14:solidFill>
                    <w14:schemeClr w14:val="tx1"/>
                  </w14:solidFill>
                </w14:textFill>
              </w:rPr>
            </w:pPr>
          </w:p>
        </w:tc>
        <w:tc>
          <w:tcPr>
            <w:tcW w:w="1417" w:type="dxa"/>
            <w:vAlign w:val="center"/>
          </w:tcPr>
          <w:p>
            <w:pPr>
              <w:pStyle w:val="47"/>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颗粒物</w:t>
            </w:r>
          </w:p>
        </w:tc>
        <w:tc>
          <w:tcPr>
            <w:tcW w:w="1701" w:type="dxa"/>
            <w:vAlign w:val="center"/>
          </w:tcPr>
          <w:p>
            <w:pPr>
              <w:pStyle w:val="47"/>
              <w:rPr>
                <w:color w:val="000000" w:themeColor="text1"/>
                <w:szCs w:val="24"/>
                <w14:textFill>
                  <w14:solidFill>
                    <w14:schemeClr w14:val="tx1"/>
                  </w14:solidFill>
                </w14:textFill>
              </w:rPr>
            </w:pPr>
          </w:p>
        </w:tc>
        <w:tc>
          <w:tcPr>
            <w:tcW w:w="1276" w:type="dxa"/>
            <w:vAlign w:val="center"/>
          </w:tcPr>
          <w:p>
            <w:pPr>
              <w:pStyle w:val="47"/>
              <w:rPr>
                <w:color w:val="000000" w:themeColor="text1"/>
                <w:szCs w:val="24"/>
                <w14:textFill>
                  <w14:solidFill>
                    <w14:schemeClr w14:val="tx1"/>
                  </w14:solidFill>
                </w14:textFill>
              </w:rPr>
            </w:pPr>
          </w:p>
        </w:tc>
        <w:tc>
          <w:tcPr>
            <w:tcW w:w="1701" w:type="dxa"/>
            <w:vAlign w:val="center"/>
          </w:tcPr>
          <w:p>
            <w:pPr>
              <w:pStyle w:val="47"/>
              <w:rPr>
                <w:color w:val="000000" w:themeColor="text1"/>
                <w:szCs w:val="24"/>
                <w14:textFill>
                  <w14:solidFill>
                    <w14:schemeClr w14:val="tx1"/>
                  </w14:solidFill>
                </w14:textFill>
              </w:rPr>
            </w:pPr>
          </w:p>
        </w:tc>
        <w:tc>
          <w:tcPr>
            <w:tcW w:w="1559" w:type="dxa"/>
            <w:vAlign w:val="center"/>
          </w:tcPr>
          <w:p>
            <w:pPr>
              <w:pStyle w:val="47"/>
              <w:rPr>
                <w:rFonts w:hint="default"/>
                <w:color w:val="000000" w:themeColor="text1"/>
                <w:szCs w:val="24"/>
                <w:lang w:val="en-US"/>
                <w14:textFill>
                  <w14:solidFill>
                    <w14:schemeClr w14:val="tx1"/>
                  </w14:solidFill>
                </w14:textFill>
              </w:rPr>
            </w:pPr>
            <w:r>
              <w:rPr>
                <w:rFonts w:hint="eastAsia"/>
                <w:color w:val="000000" w:themeColor="text1"/>
                <w:szCs w:val="24"/>
                <w:lang w:val="en-US" w:eastAsia="zh-CN"/>
                <w14:textFill>
                  <w14:solidFill>
                    <w14:schemeClr w14:val="tx1"/>
                  </w14:solidFill>
                </w14:textFill>
              </w:rPr>
              <w:t>1.115</w:t>
            </w:r>
          </w:p>
        </w:tc>
        <w:tc>
          <w:tcPr>
            <w:tcW w:w="1761" w:type="dxa"/>
            <w:vAlign w:val="center"/>
          </w:tcPr>
          <w:p>
            <w:pPr>
              <w:pStyle w:val="47"/>
              <w:rPr>
                <w:rFonts w:hint="default"/>
                <w:color w:val="000000" w:themeColor="text1"/>
                <w:szCs w:val="24"/>
                <w:lang w:val="en-US"/>
                <w14:textFill>
                  <w14:solidFill>
                    <w14:schemeClr w14:val="tx1"/>
                  </w14:solidFill>
                </w14:textFill>
              </w:rPr>
            </w:pPr>
          </w:p>
        </w:tc>
        <w:tc>
          <w:tcPr>
            <w:tcW w:w="1584" w:type="dxa"/>
            <w:shd w:val="clear" w:color="auto" w:fill="auto"/>
            <w:vAlign w:val="center"/>
          </w:tcPr>
          <w:p>
            <w:pPr>
              <w:pStyle w:val="47"/>
              <w:ind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szCs w:val="24"/>
                <w:lang w:val="en-US" w:eastAsia="zh-CN"/>
                <w14:textFill>
                  <w14:solidFill>
                    <w14:schemeClr w14:val="tx1"/>
                  </w14:solidFill>
                </w14:textFill>
              </w:rPr>
              <w:t>1.115</w:t>
            </w:r>
          </w:p>
        </w:tc>
        <w:tc>
          <w:tcPr>
            <w:tcW w:w="1201" w:type="dxa"/>
            <w:vAlign w:val="center"/>
          </w:tcPr>
          <w:p>
            <w:pPr>
              <w:pStyle w:val="47"/>
              <w:rPr>
                <w:color w:val="000000" w:themeColor="text1"/>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588" w:type="dxa"/>
            <w:vMerge w:val="restart"/>
            <w:vAlign w:val="center"/>
          </w:tcPr>
          <w:p>
            <w:pPr>
              <w:pStyle w:val="47"/>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废水</w:t>
            </w:r>
          </w:p>
        </w:tc>
        <w:tc>
          <w:tcPr>
            <w:tcW w:w="1417" w:type="dxa"/>
            <w:vAlign w:val="center"/>
          </w:tcPr>
          <w:p>
            <w:pPr>
              <w:pStyle w:val="47"/>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COD</w:t>
            </w:r>
          </w:p>
        </w:tc>
        <w:tc>
          <w:tcPr>
            <w:tcW w:w="1701" w:type="dxa"/>
            <w:vAlign w:val="center"/>
          </w:tcPr>
          <w:p>
            <w:pPr>
              <w:pStyle w:val="47"/>
              <w:rPr>
                <w:color w:val="000000" w:themeColor="text1"/>
                <w:szCs w:val="24"/>
                <w14:textFill>
                  <w14:solidFill>
                    <w14:schemeClr w14:val="tx1"/>
                  </w14:solidFill>
                </w14:textFill>
              </w:rPr>
            </w:pPr>
          </w:p>
        </w:tc>
        <w:tc>
          <w:tcPr>
            <w:tcW w:w="1276" w:type="dxa"/>
            <w:vAlign w:val="center"/>
          </w:tcPr>
          <w:p>
            <w:pPr>
              <w:pStyle w:val="47"/>
              <w:rPr>
                <w:color w:val="000000" w:themeColor="text1"/>
                <w:szCs w:val="24"/>
                <w14:textFill>
                  <w14:solidFill>
                    <w14:schemeClr w14:val="tx1"/>
                  </w14:solidFill>
                </w14:textFill>
              </w:rPr>
            </w:pPr>
          </w:p>
        </w:tc>
        <w:tc>
          <w:tcPr>
            <w:tcW w:w="1701" w:type="dxa"/>
            <w:vAlign w:val="center"/>
          </w:tcPr>
          <w:p>
            <w:pPr>
              <w:pStyle w:val="47"/>
              <w:rPr>
                <w:color w:val="000000" w:themeColor="text1"/>
                <w:szCs w:val="24"/>
                <w14:textFill>
                  <w14:solidFill>
                    <w14:schemeClr w14:val="tx1"/>
                  </w14:solidFill>
                </w14:textFill>
              </w:rPr>
            </w:pPr>
          </w:p>
        </w:tc>
        <w:tc>
          <w:tcPr>
            <w:tcW w:w="1559" w:type="dxa"/>
            <w:vAlign w:val="center"/>
          </w:tcPr>
          <w:p>
            <w:pPr>
              <w:pStyle w:val="47"/>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0</w:t>
            </w:r>
          </w:p>
        </w:tc>
        <w:tc>
          <w:tcPr>
            <w:tcW w:w="1761" w:type="dxa"/>
            <w:vAlign w:val="center"/>
          </w:tcPr>
          <w:p>
            <w:pPr>
              <w:pStyle w:val="47"/>
              <w:rPr>
                <w:color w:val="000000" w:themeColor="text1"/>
                <w:szCs w:val="24"/>
                <w14:textFill>
                  <w14:solidFill>
                    <w14:schemeClr w14:val="tx1"/>
                  </w14:solidFill>
                </w14:textFill>
              </w:rPr>
            </w:pPr>
          </w:p>
        </w:tc>
        <w:tc>
          <w:tcPr>
            <w:tcW w:w="1584" w:type="dxa"/>
            <w:shd w:val="clear" w:color="auto" w:fill="auto"/>
            <w:vAlign w:val="center"/>
          </w:tcPr>
          <w:p>
            <w:pPr>
              <w:pStyle w:val="47"/>
              <w:ind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szCs w:val="24"/>
                <w:lang w:val="en-US" w:eastAsia="zh-CN"/>
                <w14:textFill>
                  <w14:solidFill>
                    <w14:schemeClr w14:val="tx1"/>
                  </w14:solidFill>
                </w14:textFill>
              </w:rPr>
              <w:t>0</w:t>
            </w:r>
          </w:p>
        </w:tc>
        <w:tc>
          <w:tcPr>
            <w:tcW w:w="1201" w:type="dxa"/>
            <w:vAlign w:val="center"/>
          </w:tcPr>
          <w:p>
            <w:pPr>
              <w:pStyle w:val="47"/>
              <w:rPr>
                <w:color w:val="000000" w:themeColor="text1"/>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588" w:type="dxa"/>
            <w:vMerge w:val="continue"/>
            <w:vAlign w:val="center"/>
          </w:tcPr>
          <w:p>
            <w:pPr>
              <w:pStyle w:val="47"/>
              <w:rPr>
                <w:color w:val="000000" w:themeColor="text1"/>
                <w14:textFill>
                  <w14:solidFill>
                    <w14:schemeClr w14:val="tx1"/>
                  </w14:solidFill>
                </w14:textFill>
              </w:rPr>
            </w:pPr>
          </w:p>
        </w:tc>
        <w:tc>
          <w:tcPr>
            <w:tcW w:w="1417" w:type="dxa"/>
            <w:vAlign w:val="center"/>
          </w:tcPr>
          <w:p>
            <w:pPr>
              <w:pStyle w:val="47"/>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NH</w:t>
            </w:r>
            <w:r>
              <w:rPr>
                <w:rFonts w:hint="eastAsia"/>
                <w:color w:val="000000" w:themeColor="text1"/>
                <w:szCs w:val="24"/>
                <w:vertAlign w:val="subscript"/>
                <w:lang w:val="en-US" w:eastAsia="zh-CN"/>
                <w14:textFill>
                  <w14:solidFill>
                    <w14:schemeClr w14:val="tx1"/>
                  </w14:solidFill>
                </w14:textFill>
              </w:rPr>
              <w:t>3</w:t>
            </w:r>
            <w:r>
              <w:rPr>
                <w:rFonts w:hint="eastAsia"/>
                <w:color w:val="000000" w:themeColor="text1"/>
                <w:szCs w:val="24"/>
                <w:lang w:val="en-US" w:eastAsia="zh-CN"/>
                <w14:textFill>
                  <w14:solidFill>
                    <w14:schemeClr w14:val="tx1"/>
                  </w14:solidFill>
                </w14:textFill>
              </w:rPr>
              <w:t>-N</w:t>
            </w:r>
          </w:p>
        </w:tc>
        <w:tc>
          <w:tcPr>
            <w:tcW w:w="1701" w:type="dxa"/>
            <w:vAlign w:val="center"/>
          </w:tcPr>
          <w:p>
            <w:pPr>
              <w:pStyle w:val="47"/>
              <w:rPr>
                <w:color w:val="000000" w:themeColor="text1"/>
                <w:szCs w:val="24"/>
                <w14:textFill>
                  <w14:solidFill>
                    <w14:schemeClr w14:val="tx1"/>
                  </w14:solidFill>
                </w14:textFill>
              </w:rPr>
            </w:pPr>
          </w:p>
        </w:tc>
        <w:tc>
          <w:tcPr>
            <w:tcW w:w="1276" w:type="dxa"/>
            <w:vAlign w:val="center"/>
          </w:tcPr>
          <w:p>
            <w:pPr>
              <w:pStyle w:val="47"/>
              <w:rPr>
                <w:color w:val="000000" w:themeColor="text1"/>
                <w:szCs w:val="24"/>
                <w14:textFill>
                  <w14:solidFill>
                    <w14:schemeClr w14:val="tx1"/>
                  </w14:solidFill>
                </w14:textFill>
              </w:rPr>
            </w:pPr>
          </w:p>
        </w:tc>
        <w:tc>
          <w:tcPr>
            <w:tcW w:w="1701" w:type="dxa"/>
            <w:vAlign w:val="center"/>
          </w:tcPr>
          <w:p>
            <w:pPr>
              <w:pStyle w:val="47"/>
              <w:rPr>
                <w:color w:val="000000" w:themeColor="text1"/>
                <w:szCs w:val="24"/>
                <w14:textFill>
                  <w14:solidFill>
                    <w14:schemeClr w14:val="tx1"/>
                  </w14:solidFill>
                </w14:textFill>
              </w:rPr>
            </w:pPr>
          </w:p>
        </w:tc>
        <w:tc>
          <w:tcPr>
            <w:tcW w:w="1559" w:type="dxa"/>
            <w:vAlign w:val="center"/>
          </w:tcPr>
          <w:p>
            <w:pPr>
              <w:pStyle w:val="47"/>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0</w:t>
            </w:r>
          </w:p>
        </w:tc>
        <w:tc>
          <w:tcPr>
            <w:tcW w:w="1761" w:type="dxa"/>
            <w:vAlign w:val="center"/>
          </w:tcPr>
          <w:p>
            <w:pPr>
              <w:pStyle w:val="47"/>
              <w:rPr>
                <w:color w:val="000000" w:themeColor="text1"/>
                <w:szCs w:val="24"/>
                <w14:textFill>
                  <w14:solidFill>
                    <w14:schemeClr w14:val="tx1"/>
                  </w14:solidFill>
                </w14:textFill>
              </w:rPr>
            </w:pPr>
          </w:p>
        </w:tc>
        <w:tc>
          <w:tcPr>
            <w:tcW w:w="1584" w:type="dxa"/>
            <w:shd w:val="clear" w:color="auto" w:fill="auto"/>
            <w:vAlign w:val="center"/>
          </w:tcPr>
          <w:p>
            <w:pPr>
              <w:pStyle w:val="47"/>
              <w:ind w:firstLine="0" w:firstLine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szCs w:val="24"/>
                <w:lang w:val="en-US" w:eastAsia="zh-CN"/>
                <w14:textFill>
                  <w14:solidFill>
                    <w14:schemeClr w14:val="tx1"/>
                  </w14:solidFill>
                </w14:textFill>
              </w:rPr>
              <w:t>0</w:t>
            </w:r>
          </w:p>
        </w:tc>
        <w:tc>
          <w:tcPr>
            <w:tcW w:w="1201" w:type="dxa"/>
            <w:vAlign w:val="center"/>
          </w:tcPr>
          <w:p>
            <w:pPr>
              <w:pStyle w:val="47"/>
              <w:rPr>
                <w:color w:val="000000" w:themeColor="text1"/>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588" w:type="dxa"/>
            <w:vAlign w:val="center"/>
          </w:tcPr>
          <w:p>
            <w:pPr>
              <w:pStyle w:val="47"/>
              <w:rPr>
                <w:color w:val="000000" w:themeColor="text1"/>
                <w14:textFill>
                  <w14:solidFill>
                    <w14:schemeClr w14:val="tx1"/>
                  </w14:solidFill>
                </w14:textFill>
              </w:rPr>
            </w:pPr>
            <w:r>
              <w:rPr>
                <w:rFonts w:hint="eastAsia"/>
                <w:color w:val="000000" w:themeColor="text1"/>
                <w14:textFill>
                  <w14:solidFill>
                    <w14:schemeClr w14:val="tx1"/>
                  </w14:solidFill>
                </w14:textFill>
              </w:rPr>
              <w:t>办公生活</w:t>
            </w:r>
          </w:p>
        </w:tc>
        <w:tc>
          <w:tcPr>
            <w:tcW w:w="1417" w:type="dxa"/>
            <w:vAlign w:val="center"/>
          </w:tcPr>
          <w:p>
            <w:pPr>
              <w:pStyle w:val="47"/>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生活垃圾</w:t>
            </w:r>
          </w:p>
        </w:tc>
        <w:tc>
          <w:tcPr>
            <w:tcW w:w="1701" w:type="dxa"/>
            <w:vAlign w:val="center"/>
          </w:tcPr>
          <w:p>
            <w:pPr>
              <w:pStyle w:val="47"/>
              <w:rPr>
                <w:color w:val="000000" w:themeColor="text1"/>
                <w:szCs w:val="24"/>
                <w14:textFill>
                  <w14:solidFill>
                    <w14:schemeClr w14:val="tx1"/>
                  </w14:solidFill>
                </w14:textFill>
              </w:rPr>
            </w:pPr>
          </w:p>
        </w:tc>
        <w:tc>
          <w:tcPr>
            <w:tcW w:w="1276" w:type="dxa"/>
            <w:vAlign w:val="center"/>
          </w:tcPr>
          <w:p>
            <w:pPr>
              <w:pStyle w:val="47"/>
              <w:rPr>
                <w:color w:val="000000" w:themeColor="text1"/>
                <w:szCs w:val="24"/>
                <w14:textFill>
                  <w14:solidFill>
                    <w14:schemeClr w14:val="tx1"/>
                  </w14:solidFill>
                </w14:textFill>
              </w:rPr>
            </w:pPr>
          </w:p>
        </w:tc>
        <w:tc>
          <w:tcPr>
            <w:tcW w:w="1701" w:type="dxa"/>
            <w:vAlign w:val="center"/>
          </w:tcPr>
          <w:p>
            <w:pPr>
              <w:pStyle w:val="47"/>
              <w:rPr>
                <w:color w:val="000000" w:themeColor="text1"/>
                <w:szCs w:val="24"/>
                <w14:textFill>
                  <w14:solidFill>
                    <w14:schemeClr w14:val="tx1"/>
                  </w14:solidFill>
                </w14:textFill>
              </w:rPr>
            </w:pPr>
          </w:p>
        </w:tc>
        <w:tc>
          <w:tcPr>
            <w:tcW w:w="1559" w:type="dxa"/>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21.45</w:t>
            </w:r>
          </w:p>
        </w:tc>
        <w:tc>
          <w:tcPr>
            <w:tcW w:w="1761" w:type="dxa"/>
            <w:vAlign w:val="center"/>
          </w:tcPr>
          <w:p>
            <w:pPr>
              <w:pStyle w:val="47"/>
              <w:rPr>
                <w:color w:val="000000" w:themeColor="text1"/>
                <w:szCs w:val="24"/>
                <w14:textFill>
                  <w14:solidFill>
                    <w14:schemeClr w14:val="tx1"/>
                  </w14:solidFill>
                </w14:textFill>
              </w:rPr>
            </w:pPr>
          </w:p>
        </w:tc>
        <w:tc>
          <w:tcPr>
            <w:tcW w:w="1584" w:type="dxa"/>
            <w:shd w:val="clear" w:color="auto" w:fill="auto"/>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21.45</w:t>
            </w:r>
          </w:p>
        </w:tc>
        <w:tc>
          <w:tcPr>
            <w:tcW w:w="1201" w:type="dxa"/>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588" w:type="dxa"/>
            <w:vMerge w:val="restart"/>
            <w:vAlign w:val="center"/>
          </w:tcPr>
          <w:p>
            <w:pPr>
              <w:pStyle w:val="47"/>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w:t>
            </w:r>
          </w:p>
        </w:tc>
        <w:tc>
          <w:tcPr>
            <w:tcW w:w="1417" w:type="dxa"/>
            <w:shd w:val="clear" w:color="auto" w:fill="auto"/>
            <w:vAlign w:val="center"/>
          </w:tcPr>
          <w:p>
            <w:pPr>
              <w:pStyle w:val="47"/>
              <w:ind w:firstLine="0" w:firstLineChars="0"/>
              <w:rPr>
                <w:rFonts w:hint="eastAsia" w:ascii="Times New Roman" w:hAnsi="Times New Roman" w:eastAsia="宋体" w:cs="Times New Roman"/>
                <w:color w:val="000000" w:themeColor="text1"/>
                <w:kern w:val="2"/>
                <w:sz w:val="21"/>
                <w:szCs w:val="28"/>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u w:val="none"/>
                <w:lang w:val="en-US" w:eastAsia="zh-CN"/>
                <w14:textFill>
                  <w14:solidFill>
                    <w14:schemeClr w14:val="tx1"/>
                  </w14:solidFill>
                </w14:textFill>
              </w:rPr>
              <w:t>废包装材料</w:t>
            </w:r>
          </w:p>
        </w:tc>
        <w:tc>
          <w:tcPr>
            <w:tcW w:w="1701" w:type="dxa"/>
            <w:vAlign w:val="center"/>
          </w:tcPr>
          <w:p>
            <w:pPr>
              <w:pStyle w:val="47"/>
              <w:rPr>
                <w:color w:val="000000" w:themeColor="text1"/>
                <w:szCs w:val="24"/>
                <w14:textFill>
                  <w14:solidFill>
                    <w14:schemeClr w14:val="tx1"/>
                  </w14:solidFill>
                </w14:textFill>
              </w:rPr>
            </w:pPr>
          </w:p>
        </w:tc>
        <w:tc>
          <w:tcPr>
            <w:tcW w:w="1276" w:type="dxa"/>
            <w:vAlign w:val="center"/>
          </w:tcPr>
          <w:p>
            <w:pPr>
              <w:pStyle w:val="47"/>
              <w:rPr>
                <w:color w:val="000000" w:themeColor="text1"/>
                <w:szCs w:val="24"/>
                <w14:textFill>
                  <w14:solidFill>
                    <w14:schemeClr w14:val="tx1"/>
                  </w14:solidFill>
                </w14:textFill>
              </w:rPr>
            </w:pPr>
          </w:p>
        </w:tc>
        <w:tc>
          <w:tcPr>
            <w:tcW w:w="1701" w:type="dxa"/>
            <w:vAlign w:val="center"/>
          </w:tcPr>
          <w:p>
            <w:pPr>
              <w:pStyle w:val="47"/>
              <w:rPr>
                <w:color w:val="000000" w:themeColor="text1"/>
                <w:szCs w:val="24"/>
                <w14:textFill>
                  <w14:solidFill>
                    <w14:schemeClr w14:val="tx1"/>
                  </w14:solidFill>
                </w14:textFill>
              </w:rPr>
            </w:pPr>
          </w:p>
        </w:tc>
        <w:tc>
          <w:tcPr>
            <w:tcW w:w="1559" w:type="dxa"/>
            <w:shd w:val="clear" w:color="auto" w:fill="auto"/>
            <w:vAlign w:val="center"/>
          </w:tcPr>
          <w:p>
            <w:pPr>
              <w:pStyle w:val="47"/>
              <w:ind w:firstLine="0" w:firstLineChars="0"/>
              <w:rPr>
                <w:rFonts w:ascii="Times New Roman" w:hAnsi="Times New Roman" w:eastAsia="宋体" w:cs="Times New Roman"/>
                <w:color w:val="000000" w:themeColor="text1"/>
                <w:kern w:val="2"/>
                <w:sz w:val="21"/>
                <w:szCs w:val="28"/>
                <w:u w:val="none"/>
                <w:lang w:val="en-US" w:eastAsia="zh-CN" w:bidi="ar-SA"/>
                <w14:textFill>
                  <w14:solidFill>
                    <w14:schemeClr w14:val="tx1"/>
                  </w14:solidFill>
                </w14:textFill>
              </w:rPr>
            </w:pPr>
            <w:r>
              <w:rPr>
                <w:rFonts w:hint="eastAsia"/>
                <w:color w:val="000000" w:themeColor="text1"/>
                <w:u w:val="none"/>
                <w14:textFill>
                  <w14:solidFill>
                    <w14:schemeClr w14:val="tx1"/>
                  </w14:solidFill>
                </w14:textFill>
              </w:rPr>
              <w:t>1</w:t>
            </w:r>
            <w:r>
              <w:rPr>
                <w:color w:val="000000" w:themeColor="text1"/>
                <w:u w:val="none"/>
                <w14:textFill>
                  <w14:solidFill>
                    <w14:schemeClr w14:val="tx1"/>
                  </w14:solidFill>
                </w14:textFill>
              </w:rPr>
              <w:t>0800</w:t>
            </w:r>
          </w:p>
        </w:tc>
        <w:tc>
          <w:tcPr>
            <w:tcW w:w="1761" w:type="dxa"/>
            <w:vAlign w:val="center"/>
          </w:tcPr>
          <w:p>
            <w:pPr>
              <w:pStyle w:val="47"/>
              <w:rPr>
                <w:color w:val="000000" w:themeColor="text1"/>
                <w:szCs w:val="24"/>
                <w14:textFill>
                  <w14:solidFill>
                    <w14:schemeClr w14:val="tx1"/>
                  </w14:solidFill>
                </w14:textFill>
              </w:rPr>
            </w:pPr>
          </w:p>
        </w:tc>
        <w:tc>
          <w:tcPr>
            <w:tcW w:w="1584" w:type="dxa"/>
            <w:shd w:val="clear" w:color="auto" w:fill="auto"/>
            <w:vAlign w:val="center"/>
          </w:tcPr>
          <w:p>
            <w:pPr>
              <w:pStyle w:val="47"/>
              <w:ind w:firstLine="0" w:firstLineChars="0"/>
              <w:rPr>
                <w:rFonts w:ascii="Times New Roman" w:hAnsi="Times New Roman" w:eastAsia="宋体" w:cs="Times New Roman"/>
                <w:color w:val="000000" w:themeColor="text1"/>
                <w:kern w:val="2"/>
                <w:sz w:val="21"/>
                <w:szCs w:val="28"/>
                <w:u w:val="none"/>
                <w:lang w:val="en-US" w:eastAsia="zh-CN" w:bidi="ar-SA"/>
                <w14:textFill>
                  <w14:solidFill>
                    <w14:schemeClr w14:val="tx1"/>
                  </w14:solidFill>
                </w14:textFill>
              </w:rPr>
            </w:pPr>
            <w:r>
              <w:rPr>
                <w:rFonts w:hint="eastAsia"/>
                <w:color w:val="000000" w:themeColor="text1"/>
                <w:u w:val="none"/>
                <w14:textFill>
                  <w14:solidFill>
                    <w14:schemeClr w14:val="tx1"/>
                  </w14:solidFill>
                </w14:textFill>
              </w:rPr>
              <w:t>1</w:t>
            </w:r>
            <w:r>
              <w:rPr>
                <w:color w:val="000000" w:themeColor="text1"/>
                <w:u w:val="none"/>
                <w14:textFill>
                  <w14:solidFill>
                    <w14:schemeClr w14:val="tx1"/>
                  </w14:solidFill>
                </w14:textFill>
              </w:rPr>
              <w:t>0800</w:t>
            </w:r>
          </w:p>
        </w:tc>
        <w:tc>
          <w:tcPr>
            <w:tcW w:w="1201" w:type="dxa"/>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588" w:type="dxa"/>
            <w:vMerge w:val="continue"/>
            <w:vAlign w:val="center"/>
          </w:tcPr>
          <w:p>
            <w:pPr>
              <w:pStyle w:val="47"/>
              <w:rPr>
                <w:color w:val="000000" w:themeColor="text1"/>
                <w14:textFill>
                  <w14:solidFill>
                    <w14:schemeClr w14:val="tx1"/>
                  </w14:solidFill>
                </w14:textFill>
              </w:rPr>
            </w:pPr>
          </w:p>
        </w:tc>
        <w:tc>
          <w:tcPr>
            <w:tcW w:w="1417" w:type="dxa"/>
            <w:shd w:val="clear" w:color="auto" w:fill="auto"/>
            <w:vAlign w:val="center"/>
          </w:tcPr>
          <w:p>
            <w:pPr>
              <w:pStyle w:val="47"/>
              <w:ind w:firstLine="0" w:firstLineChars="0"/>
              <w:rPr>
                <w:rFonts w:hint="eastAsia" w:ascii="Times New Roman" w:hAnsi="Times New Roman" w:eastAsia="宋体" w:cs="Times New Roman"/>
                <w:color w:val="000000" w:themeColor="text1"/>
                <w:kern w:val="2"/>
                <w:sz w:val="21"/>
                <w:szCs w:val="28"/>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u w:val="none"/>
                <w:lang w:val="en-US" w:eastAsia="zh-CN"/>
                <w14:textFill>
                  <w14:solidFill>
                    <w14:schemeClr w14:val="tx1"/>
                  </w14:solidFill>
                </w14:textFill>
              </w:rPr>
              <w:t>除尘器收集粉尘</w:t>
            </w:r>
          </w:p>
        </w:tc>
        <w:tc>
          <w:tcPr>
            <w:tcW w:w="1701" w:type="dxa"/>
            <w:vAlign w:val="center"/>
          </w:tcPr>
          <w:p>
            <w:pPr>
              <w:pStyle w:val="47"/>
              <w:rPr>
                <w:color w:val="000000" w:themeColor="text1"/>
                <w:szCs w:val="24"/>
                <w14:textFill>
                  <w14:solidFill>
                    <w14:schemeClr w14:val="tx1"/>
                  </w14:solidFill>
                </w14:textFill>
              </w:rPr>
            </w:pPr>
          </w:p>
        </w:tc>
        <w:tc>
          <w:tcPr>
            <w:tcW w:w="1276" w:type="dxa"/>
            <w:vAlign w:val="center"/>
          </w:tcPr>
          <w:p>
            <w:pPr>
              <w:pStyle w:val="47"/>
              <w:rPr>
                <w:color w:val="000000" w:themeColor="text1"/>
                <w:szCs w:val="24"/>
                <w14:textFill>
                  <w14:solidFill>
                    <w14:schemeClr w14:val="tx1"/>
                  </w14:solidFill>
                </w14:textFill>
              </w:rPr>
            </w:pPr>
          </w:p>
        </w:tc>
        <w:tc>
          <w:tcPr>
            <w:tcW w:w="1701" w:type="dxa"/>
            <w:vAlign w:val="center"/>
          </w:tcPr>
          <w:p>
            <w:pPr>
              <w:pStyle w:val="47"/>
              <w:rPr>
                <w:color w:val="000000" w:themeColor="text1"/>
                <w:szCs w:val="24"/>
                <w14:textFill>
                  <w14:solidFill>
                    <w14:schemeClr w14:val="tx1"/>
                  </w14:solidFill>
                </w14:textFill>
              </w:rPr>
            </w:pPr>
          </w:p>
        </w:tc>
        <w:tc>
          <w:tcPr>
            <w:tcW w:w="1559" w:type="dxa"/>
            <w:shd w:val="clear" w:color="auto" w:fill="auto"/>
            <w:vAlign w:val="center"/>
          </w:tcPr>
          <w:p>
            <w:pPr>
              <w:pStyle w:val="47"/>
              <w:ind w:firstLine="0" w:firstLineChars="0"/>
              <w:rPr>
                <w:rFonts w:hint="default" w:ascii="Times New Roman" w:hAnsi="Times New Roman" w:eastAsia="宋体" w:cs="Times New Roman"/>
                <w:color w:val="000000" w:themeColor="text1"/>
                <w:kern w:val="2"/>
                <w:sz w:val="21"/>
                <w:szCs w:val="28"/>
                <w:u w:val="none"/>
                <w:lang w:val="en-US" w:eastAsia="zh-CN" w:bidi="ar-SA"/>
                <w14:textFill>
                  <w14:solidFill>
                    <w14:schemeClr w14:val="tx1"/>
                  </w14:solidFill>
                </w14:textFill>
              </w:rPr>
            </w:pPr>
            <w:r>
              <w:rPr>
                <w:rFonts w:hint="eastAsia"/>
                <w:color w:val="000000" w:themeColor="text1"/>
                <w:u w:val="none"/>
                <w:lang w:val="en-US" w:eastAsia="zh-CN"/>
                <w14:textFill>
                  <w14:solidFill>
                    <w14:schemeClr w14:val="tx1"/>
                  </w14:solidFill>
                </w14:textFill>
              </w:rPr>
              <w:t>0.817</w:t>
            </w:r>
          </w:p>
        </w:tc>
        <w:tc>
          <w:tcPr>
            <w:tcW w:w="1761" w:type="dxa"/>
            <w:vAlign w:val="center"/>
          </w:tcPr>
          <w:p>
            <w:pPr>
              <w:pStyle w:val="47"/>
              <w:rPr>
                <w:color w:val="000000" w:themeColor="text1"/>
                <w:szCs w:val="24"/>
                <w14:textFill>
                  <w14:solidFill>
                    <w14:schemeClr w14:val="tx1"/>
                  </w14:solidFill>
                </w14:textFill>
              </w:rPr>
            </w:pPr>
          </w:p>
        </w:tc>
        <w:tc>
          <w:tcPr>
            <w:tcW w:w="1584" w:type="dxa"/>
            <w:shd w:val="clear" w:color="auto" w:fill="auto"/>
            <w:vAlign w:val="center"/>
          </w:tcPr>
          <w:p>
            <w:pPr>
              <w:pStyle w:val="47"/>
              <w:ind w:firstLine="0" w:firstLineChars="0"/>
              <w:rPr>
                <w:rFonts w:hint="default" w:ascii="Times New Roman" w:hAnsi="Times New Roman" w:eastAsia="宋体" w:cs="Times New Roman"/>
                <w:color w:val="000000" w:themeColor="text1"/>
                <w:kern w:val="2"/>
                <w:sz w:val="21"/>
                <w:szCs w:val="28"/>
                <w:u w:val="none"/>
                <w:lang w:val="en-US" w:eastAsia="zh-CN" w:bidi="ar-SA"/>
                <w14:textFill>
                  <w14:solidFill>
                    <w14:schemeClr w14:val="tx1"/>
                  </w14:solidFill>
                </w14:textFill>
              </w:rPr>
            </w:pPr>
            <w:r>
              <w:rPr>
                <w:rFonts w:hint="eastAsia"/>
                <w:color w:val="000000" w:themeColor="text1"/>
                <w:u w:val="none"/>
                <w:lang w:val="en-US" w:eastAsia="zh-CN"/>
                <w14:textFill>
                  <w14:solidFill>
                    <w14:schemeClr w14:val="tx1"/>
                  </w14:solidFill>
                </w14:textFill>
              </w:rPr>
              <w:t>0.817</w:t>
            </w:r>
          </w:p>
        </w:tc>
        <w:tc>
          <w:tcPr>
            <w:tcW w:w="1201" w:type="dxa"/>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588" w:type="dxa"/>
            <w:vMerge w:val="continue"/>
            <w:vAlign w:val="center"/>
          </w:tcPr>
          <w:p>
            <w:pPr>
              <w:pStyle w:val="47"/>
              <w:rPr>
                <w:color w:val="000000" w:themeColor="text1"/>
                <w14:textFill>
                  <w14:solidFill>
                    <w14:schemeClr w14:val="tx1"/>
                  </w14:solidFill>
                </w14:textFill>
              </w:rPr>
            </w:pPr>
          </w:p>
        </w:tc>
        <w:tc>
          <w:tcPr>
            <w:tcW w:w="1417" w:type="dxa"/>
            <w:shd w:val="clear" w:color="auto" w:fill="auto"/>
            <w:vAlign w:val="center"/>
          </w:tcPr>
          <w:p>
            <w:pPr>
              <w:pStyle w:val="47"/>
              <w:ind w:firstLine="0" w:firstLineChars="0"/>
              <w:rPr>
                <w:rFonts w:hint="eastAsia" w:ascii="Times New Roman" w:hAnsi="Times New Roman" w:eastAsia="宋体" w:cs="Times New Roman"/>
                <w:color w:val="000000" w:themeColor="text1"/>
                <w:kern w:val="2"/>
                <w:sz w:val="21"/>
                <w:szCs w:val="28"/>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u w:val="none"/>
                <w:lang w:val="en-US" w:eastAsia="zh-CN"/>
                <w14:textFill>
                  <w14:solidFill>
                    <w14:schemeClr w14:val="tx1"/>
                  </w14:solidFill>
                </w14:textFill>
              </w:rPr>
              <w:t>废离子交换树脂</w:t>
            </w:r>
          </w:p>
        </w:tc>
        <w:tc>
          <w:tcPr>
            <w:tcW w:w="1701" w:type="dxa"/>
            <w:vAlign w:val="center"/>
          </w:tcPr>
          <w:p>
            <w:pPr>
              <w:pStyle w:val="47"/>
              <w:rPr>
                <w:color w:val="000000" w:themeColor="text1"/>
                <w:szCs w:val="24"/>
                <w14:textFill>
                  <w14:solidFill>
                    <w14:schemeClr w14:val="tx1"/>
                  </w14:solidFill>
                </w14:textFill>
              </w:rPr>
            </w:pPr>
          </w:p>
        </w:tc>
        <w:tc>
          <w:tcPr>
            <w:tcW w:w="1276" w:type="dxa"/>
            <w:vAlign w:val="center"/>
          </w:tcPr>
          <w:p>
            <w:pPr>
              <w:pStyle w:val="47"/>
              <w:rPr>
                <w:color w:val="000000" w:themeColor="text1"/>
                <w:szCs w:val="24"/>
                <w14:textFill>
                  <w14:solidFill>
                    <w14:schemeClr w14:val="tx1"/>
                  </w14:solidFill>
                </w14:textFill>
              </w:rPr>
            </w:pPr>
          </w:p>
        </w:tc>
        <w:tc>
          <w:tcPr>
            <w:tcW w:w="1701" w:type="dxa"/>
            <w:vAlign w:val="center"/>
          </w:tcPr>
          <w:p>
            <w:pPr>
              <w:pStyle w:val="47"/>
              <w:rPr>
                <w:color w:val="000000" w:themeColor="text1"/>
                <w:szCs w:val="24"/>
                <w14:textFill>
                  <w14:solidFill>
                    <w14:schemeClr w14:val="tx1"/>
                  </w14:solidFill>
                </w14:textFill>
              </w:rPr>
            </w:pPr>
          </w:p>
        </w:tc>
        <w:tc>
          <w:tcPr>
            <w:tcW w:w="1559" w:type="dxa"/>
            <w:shd w:val="clear" w:color="auto" w:fill="auto"/>
            <w:vAlign w:val="center"/>
          </w:tcPr>
          <w:p>
            <w:pPr>
              <w:pStyle w:val="47"/>
              <w:ind w:firstLine="0" w:firstLineChars="0"/>
              <w:rPr>
                <w:rFonts w:hint="default" w:ascii="Times New Roman" w:hAnsi="Times New Roman" w:eastAsia="宋体" w:cs="Times New Roman"/>
                <w:color w:val="000000" w:themeColor="text1"/>
                <w:kern w:val="2"/>
                <w:sz w:val="21"/>
                <w:szCs w:val="28"/>
                <w:u w:val="none"/>
                <w:lang w:val="en-US" w:eastAsia="zh-CN" w:bidi="ar-SA"/>
                <w14:textFill>
                  <w14:solidFill>
                    <w14:schemeClr w14:val="tx1"/>
                  </w14:solidFill>
                </w14:textFill>
              </w:rPr>
            </w:pPr>
            <w:r>
              <w:rPr>
                <w:rFonts w:hint="eastAsia"/>
                <w:color w:val="000000" w:themeColor="text1"/>
                <w:u w:val="none"/>
                <w:lang w:val="en-US" w:eastAsia="zh-CN"/>
                <w14:textFill>
                  <w14:solidFill>
                    <w14:schemeClr w14:val="tx1"/>
                  </w14:solidFill>
                </w14:textFill>
              </w:rPr>
              <w:t>0.285</w:t>
            </w:r>
          </w:p>
        </w:tc>
        <w:tc>
          <w:tcPr>
            <w:tcW w:w="1761" w:type="dxa"/>
            <w:vAlign w:val="center"/>
          </w:tcPr>
          <w:p>
            <w:pPr>
              <w:pStyle w:val="47"/>
              <w:rPr>
                <w:color w:val="000000" w:themeColor="text1"/>
                <w:szCs w:val="24"/>
                <w14:textFill>
                  <w14:solidFill>
                    <w14:schemeClr w14:val="tx1"/>
                  </w14:solidFill>
                </w14:textFill>
              </w:rPr>
            </w:pPr>
          </w:p>
        </w:tc>
        <w:tc>
          <w:tcPr>
            <w:tcW w:w="1584" w:type="dxa"/>
            <w:shd w:val="clear" w:color="auto" w:fill="auto"/>
            <w:vAlign w:val="center"/>
          </w:tcPr>
          <w:p>
            <w:pPr>
              <w:pStyle w:val="47"/>
              <w:ind w:firstLine="0" w:firstLineChars="0"/>
              <w:rPr>
                <w:rFonts w:hint="default" w:ascii="Times New Roman" w:hAnsi="Times New Roman" w:eastAsia="宋体" w:cs="Times New Roman"/>
                <w:color w:val="000000" w:themeColor="text1"/>
                <w:kern w:val="2"/>
                <w:sz w:val="21"/>
                <w:szCs w:val="28"/>
                <w:u w:val="none"/>
                <w:lang w:val="en-US" w:eastAsia="zh-CN" w:bidi="ar-SA"/>
                <w14:textFill>
                  <w14:solidFill>
                    <w14:schemeClr w14:val="tx1"/>
                  </w14:solidFill>
                </w14:textFill>
              </w:rPr>
            </w:pPr>
            <w:r>
              <w:rPr>
                <w:rFonts w:hint="eastAsia"/>
                <w:color w:val="000000" w:themeColor="text1"/>
                <w:u w:val="none"/>
                <w:lang w:val="en-US" w:eastAsia="zh-CN"/>
                <w14:textFill>
                  <w14:solidFill>
                    <w14:schemeClr w14:val="tx1"/>
                  </w14:solidFill>
                </w14:textFill>
              </w:rPr>
              <w:t>0.285</w:t>
            </w:r>
          </w:p>
        </w:tc>
        <w:tc>
          <w:tcPr>
            <w:tcW w:w="1201" w:type="dxa"/>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588" w:type="dxa"/>
            <w:vMerge w:val="continue"/>
            <w:vAlign w:val="center"/>
          </w:tcPr>
          <w:p>
            <w:pPr>
              <w:pStyle w:val="47"/>
              <w:rPr>
                <w:color w:val="000000" w:themeColor="text1"/>
                <w14:textFill>
                  <w14:solidFill>
                    <w14:schemeClr w14:val="tx1"/>
                  </w14:solidFill>
                </w14:textFill>
              </w:rPr>
            </w:pPr>
          </w:p>
        </w:tc>
        <w:tc>
          <w:tcPr>
            <w:tcW w:w="1417" w:type="dxa"/>
            <w:shd w:val="clear" w:color="auto" w:fill="auto"/>
            <w:vAlign w:val="center"/>
          </w:tcPr>
          <w:p>
            <w:pPr>
              <w:pStyle w:val="47"/>
              <w:ind w:firstLine="0" w:firstLineChars="0"/>
              <w:rPr>
                <w:rFonts w:hint="eastAsia" w:ascii="Times New Roman" w:hAnsi="Times New Roman" w:eastAsia="宋体" w:cs="Times New Roman"/>
                <w:color w:val="000000" w:themeColor="text1"/>
                <w:kern w:val="2"/>
                <w:sz w:val="21"/>
                <w:szCs w:val="28"/>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u w:val="none"/>
                <w:lang w:val="en-US" w:eastAsia="zh-CN"/>
                <w14:textFill>
                  <w14:solidFill>
                    <w14:schemeClr w14:val="tx1"/>
                  </w14:solidFill>
                </w14:textFill>
              </w:rPr>
              <w:t>废塑料膜</w:t>
            </w:r>
          </w:p>
        </w:tc>
        <w:tc>
          <w:tcPr>
            <w:tcW w:w="1701" w:type="dxa"/>
            <w:vAlign w:val="center"/>
          </w:tcPr>
          <w:p>
            <w:pPr>
              <w:pStyle w:val="47"/>
              <w:rPr>
                <w:color w:val="000000" w:themeColor="text1"/>
                <w:szCs w:val="24"/>
                <w14:textFill>
                  <w14:solidFill>
                    <w14:schemeClr w14:val="tx1"/>
                  </w14:solidFill>
                </w14:textFill>
              </w:rPr>
            </w:pPr>
          </w:p>
        </w:tc>
        <w:tc>
          <w:tcPr>
            <w:tcW w:w="1276" w:type="dxa"/>
            <w:vAlign w:val="center"/>
          </w:tcPr>
          <w:p>
            <w:pPr>
              <w:pStyle w:val="47"/>
              <w:rPr>
                <w:color w:val="000000" w:themeColor="text1"/>
                <w:szCs w:val="24"/>
                <w14:textFill>
                  <w14:solidFill>
                    <w14:schemeClr w14:val="tx1"/>
                  </w14:solidFill>
                </w14:textFill>
              </w:rPr>
            </w:pPr>
          </w:p>
        </w:tc>
        <w:tc>
          <w:tcPr>
            <w:tcW w:w="1701" w:type="dxa"/>
            <w:vAlign w:val="center"/>
          </w:tcPr>
          <w:p>
            <w:pPr>
              <w:pStyle w:val="47"/>
              <w:rPr>
                <w:color w:val="000000" w:themeColor="text1"/>
                <w:szCs w:val="24"/>
                <w14:textFill>
                  <w14:solidFill>
                    <w14:schemeClr w14:val="tx1"/>
                  </w14:solidFill>
                </w14:textFill>
              </w:rPr>
            </w:pPr>
          </w:p>
        </w:tc>
        <w:tc>
          <w:tcPr>
            <w:tcW w:w="1559" w:type="dxa"/>
            <w:shd w:val="clear" w:color="auto" w:fill="auto"/>
            <w:vAlign w:val="center"/>
          </w:tcPr>
          <w:p>
            <w:pPr>
              <w:pStyle w:val="47"/>
              <w:ind w:firstLine="0" w:firstLineChars="0"/>
              <w:rPr>
                <w:rFonts w:hint="eastAsia" w:ascii="Times New Roman" w:hAnsi="Times New Roman" w:eastAsia="宋体" w:cs="Times New Roman"/>
                <w:color w:val="000000" w:themeColor="text1"/>
                <w:kern w:val="2"/>
                <w:sz w:val="21"/>
                <w:szCs w:val="28"/>
                <w:u w:val="none"/>
                <w:lang w:val="en-US" w:eastAsia="zh-CN" w:bidi="ar-SA"/>
                <w14:textFill>
                  <w14:solidFill>
                    <w14:schemeClr w14:val="tx1"/>
                  </w14:solidFill>
                </w14:textFill>
              </w:rPr>
            </w:pPr>
            <w:r>
              <w:rPr>
                <w:rFonts w:hint="eastAsia"/>
                <w:color w:val="000000" w:themeColor="text1"/>
                <w:u w:val="none"/>
                <w:lang w:val="en-US" w:eastAsia="zh-CN"/>
                <w14:textFill>
                  <w14:solidFill>
                    <w14:schemeClr w14:val="tx1"/>
                  </w14:solidFill>
                </w14:textFill>
              </w:rPr>
              <w:t>1</w:t>
            </w:r>
          </w:p>
        </w:tc>
        <w:tc>
          <w:tcPr>
            <w:tcW w:w="1761" w:type="dxa"/>
            <w:vAlign w:val="center"/>
          </w:tcPr>
          <w:p>
            <w:pPr>
              <w:pStyle w:val="47"/>
              <w:rPr>
                <w:color w:val="000000" w:themeColor="text1"/>
                <w:szCs w:val="24"/>
                <w14:textFill>
                  <w14:solidFill>
                    <w14:schemeClr w14:val="tx1"/>
                  </w14:solidFill>
                </w14:textFill>
              </w:rPr>
            </w:pPr>
          </w:p>
        </w:tc>
        <w:tc>
          <w:tcPr>
            <w:tcW w:w="1584" w:type="dxa"/>
            <w:shd w:val="clear" w:color="auto" w:fill="auto"/>
            <w:vAlign w:val="center"/>
          </w:tcPr>
          <w:p>
            <w:pPr>
              <w:pStyle w:val="47"/>
              <w:ind w:firstLine="0" w:firstLineChars="0"/>
              <w:rPr>
                <w:rFonts w:hint="eastAsia" w:ascii="Times New Roman" w:hAnsi="Times New Roman" w:eastAsia="宋体" w:cs="Times New Roman"/>
                <w:color w:val="000000" w:themeColor="text1"/>
                <w:kern w:val="2"/>
                <w:sz w:val="21"/>
                <w:szCs w:val="28"/>
                <w:u w:val="none"/>
                <w:lang w:val="en-US" w:eastAsia="zh-CN" w:bidi="ar-SA"/>
                <w14:textFill>
                  <w14:solidFill>
                    <w14:schemeClr w14:val="tx1"/>
                  </w14:solidFill>
                </w14:textFill>
              </w:rPr>
            </w:pPr>
            <w:r>
              <w:rPr>
                <w:rFonts w:hint="eastAsia"/>
                <w:color w:val="000000" w:themeColor="text1"/>
                <w:u w:val="none"/>
                <w:lang w:val="en-US" w:eastAsia="zh-CN"/>
                <w14:textFill>
                  <w14:solidFill>
                    <w14:schemeClr w14:val="tx1"/>
                  </w14:solidFill>
                </w14:textFill>
              </w:rPr>
              <w:t>1</w:t>
            </w:r>
          </w:p>
        </w:tc>
        <w:tc>
          <w:tcPr>
            <w:tcW w:w="1201" w:type="dxa"/>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588" w:type="dxa"/>
            <w:vMerge w:val="continue"/>
            <w:vAlign w:val="center"/>
          </w:tcPr>
          <w:p>
            <w:pPr>
              <w:pStyle w:val="47"/>
              <w:rPr>
                <w:color w:val="000000" w:themeColor="text1"/>
                <w14:textFill>
                  <w14:solidFill>
                    <w14:schemeClr w14:val="tx1"/>
                  </w14:solidFill>
                </w14:textFill>
              </w:rPr>
            </w:pPr>
          </w:p>
        </w:tc>
        <w:tc>
          <w:tcPr>
            <w:tcW w:w="1417" w:type="dxa"/>
            <w:shd w:val="clear" w:color="auto" w:fill="auto"/>
            <w:vAlign w:val="center"/>
          </w:tcPr>
          <w:p>
            <w:pPr>
              <w:pStyle w:val="47"/>
              <w:ind w:firstLine="0" w:firstLineChars="0"/>
              <w:rPr>
                <w:rFonts w:hint="eastAsia" w:ascii="Times New Roman" w:hAnsi="Times New Roman" w:eastAsia="宋体" w:cs="Times New Roman"/>
                <w:color w:val="000000" w:themeColor="text1"/>
                <w:kern w:val="2"/>
                <w:sz w:val="21"/>
                <w:szCs w:val="28"/>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u w:val="none"/>
                <w:lang w:val="en-US" w:eastAsia="zh-CN"/>
                <w14:textFill>
                  <w14:solidFill>
                    <w14:schemeClr w14:val="tx1"/>
                  </w14:solidFill>
                </w14:textFill>
              </w:rPr>
              <w:t>废基料</w:t>
            </w:r>
          </w:p>
        </w:tc>
        <w:tc>
          <w:tcPr>
            <w:tcW w:w="1701" w:type="dxa"/>
            <w:vAlign w:val="center"/>
          </w:tcPr>
          <w:p>
            <w:pPr>
              <w:pStyle w:val="47"/>
              <w:rPr>
                <w:color w:val="000000" w:themeColor="text1"/>
                <w:szCs w:val="24"/>
                <w14:textFill>
                  <w14:solidFill>
                    <w14:schemeClr w14:val="tx1"/>
                  </w14:solidFill>
                </w14:textFill>
              </w:rPr>
            </w:pPr>
          </w:p>
        </w:tc>
        <w:tc>
          <w:tcPr>
            <w:tcW w:w="1276" w:type="dxa"/>
            <w:vAlign w:val="center"/>
          </w:tcPr>
          <w:p>
            <w:pPr>
              <w:pStyle w:val="47"/>
              <w:rPr>
                <w:color w:val="000000" w:themeColor="text1"/>
                <w:szCs w:val="24"/>
                <w14:textFill>
                  <w14:solidFill>
                    <w14:schemeClr w14:val="tx1"/>
                  </w14:solidFill>
                </w14:textFill>
              </w:rPr>
            </w:pPr>
          </w:p>
        </w:tc>
        <w:tc>
          <w:tcPr>
            <w:tcW w:w="1701" w:type="dxa"/>
            <w:vAlign w:val="center"/>
          </w:tcPr>
          <w:p>
            <w:pPr>
              <w:pStyle w:val="47"/>
              <w:rPr>
                <w:color w:val="000000" w:themeColor="text1"/>
                <w:szCs w:val="24"/>
                <w14:textFill>
                  <w14:solidFill>
                    <w14:schemeClr w14:val="tx1"/>
                  </w14:solidFill>
                </w14:textFill>
              </w:rPr>
            </w:pPr>
          </w:p>
        </w:tc>
        <w:tc>
          <w:tcPr>
            <w:tcW w:w="1559" w:type="dxa"/>
            <w:shd w:val="clear" w:color="auto" w:fill="auto"/>
            <w:vAlign w:val="center"/>
          </w:tcPr>
          <w:p>
            <w:pPr>
              <w:pStyle w:val="47"/>
              <w:ind w:firstLine="0" w:firstLineChars="0"/>
              <w:rPr>
                <w:rFonts w:hint="default" w:ascii="Times New Roman" w:hAnsi="Times New Roman" w:eastAsia="宋体" w:cs="Times New Roman"/>
                <w:color w:val="000000" w:themeColor="text1"/>
                <w:kern w:val="2"/>
                <w:sz w:val="21"/>
                <w:szCs w:val="28"/>
                <w:u w:val="none"/>
                <w:lang w:val="en-US" w:eastAsia="zh-CN" w:bidi="ar-SA"/>
                <w14:textFill>
                  <w14:solidFill>
                    <w14:schemeClr w14:val="tx1"/>
                  </w14:solidFill>
                </w14:textFill>
              </w:rPr>
            </w:pPr>
            <w:r>
              <w:rPr>
                <w:rFonts w:hint="eastAsia"/>
                <w:color w:val="000000" w:themeColor="text1"/>
                <w:u w:val="none"/>
                <w:lang w:val="en-US" w:eastAsia="zh-CN"/>
                <w14:textFill>
                  <w14:solidFill>
                    <w14:schemeClr w14:val="tx1"/>
                  </w14:solidFill>
                </w14:textFill>
              </w:rPr>
              <w:t>15000</w:t>
            </w:r>
          </w:p>
        </w:tc>
        <w:tc>
          <w:tcPr>
            <w:tcW w:w="1761" w:type="dxa"/>
            <w:vAlign w:val="center"/>
          </w:tcPr>
          <w:p>
            <w:pPr>
              <w:pStyle w:val="47"/>
              <w:rPr>
                <w:color w:val="000000" w:themeColor="text1"/>
                <w:szCs w:val="24"/>
                <w14:textFill>
                  <w14:solidFill>
                    <w14:schemeClr w14:val="tx1"/>
                  </w14:solidFill>
                </w14:textFill>
              </w:rPr>
            </w:pPr>
          </w:p>
        </w:tc>
        <w:tc>
          <w:tcPr>
            <w:tcW w:w="1584" w:type="dxa"/>
            <w:shd w:val="clear" w:color="auto" w:fill="auto"/>
            <w:vAlign w:val="center"/>
          </w:tcPr>
          <w:p>
            <w:pPr>
              <w:pStyle w:val="47"/>
              <w:ind w:firstLine="0" w:firstLineChars="0"/>
              <w:rPr>
                <w:rFonts w:hint="default" w:ascii="Times New Roman" w:hAnsi="Times New Roman" w:eastAsia="宋体" w:cs="Times New Roman"/>
                <w:color w:val="000000" w:themeColor="text1"/>
                <w:kern w:val="2"/>
                <w:sz w:val="21"/>
                <w:szCs w:val="28"/>
                <w:u w:val="none"/>
                <w:lang w:val="en-US" w:eastAsia="zh-CN" w:bidi="ar-SA"/>
                <w14:textFill>
                  <w14:solidFill>
                    <w14:schemeClr w14:val="tx1"/>
                  </w14:solidFill>
                </w14:textFill>
              </w:rPr>
            </w:pPr>
            <w:r>
              <w:rPr>
                <w:rFonts w:hint="eastAsia"/>
                <w:color w:val="000000" w:themeColor="text1"/>
                <w:u w:val="none"/>
                <w:lang w:val="en-US" w:eastAsia="zh-CN"/>
                <w14:textFill>
                  <w14:solidFill>
                    <w14:schemeClr w14:val="tx1"/>
                  </w14:solidFill>
                </w14:textFill>
              </w:rPr>
              <w:t>15000</w:t>
            </w:r>
          </w:p>
        </w:tc>
        <w:tc>
          <w:tcPr>
            <w:tcW w:w="1201" w:type="dxa"/>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588" w:type="dxa"/>
            <w:vMerge w:val="continue"/>
            <w:vAlign w:val="center"/>
          </w:tcPr>
          <w:p>
            <w:pPr>
              <w:pStyle w:val="47"/>
              <w:rPr>
                <w:color w:val="000000" w:themeColor="text1"/>
                <w14:textFill>
                  <w14:solidFill>
                    <w14:schemeClr w14:val="tx1"/>
                  </w14:solidFill>
                </w14:textFill>
              </w:rPr>
            </w:pPr>
          </w:p>
        </w:tc>
        <w:tc>
          <w:tcPr>
            <w:tcW w:w="1417" w:type="dxa"/>
            <w:shd w:val="clear" w:color="auto" w:fill="auto"/>
            <w:vAlign w:val="center"/>
          </w:tcPr>
          <w:p>
            <w:pPr>
              <w:pStyle w:val="47"/>
              <w:ind w:firstLine="0" w:firstLineChars="0"/>
              <w:rPr>
                <w:rFonts w:hint="eastAsia" w:ascii="Times New Roman" w:hAnsi="Times New Roman" w:eastAsia="宋体" w:cs="Times New Roman"/>
                <w:color w:val="000000" w:themeColor="text1"/>
                <w:kern w:val="2"/>
                <w:sz w:val="21"/>
                <w:szCs w:val="28"/>
                <w:u w:val="none"/>
                <w:lang w:val="en-US" w:eastAsia="zh-CN" w:bidi="ar-SA"/>
                <w14:textFill>
                  <w14:solidFill>
                    <w14:schemeClr w14:val="tx1"/>
                  </w14:solidFill>
                </w14:textFill>
              </w:rPr>
            </w:pPr>
            <w:r>
              <w:rPr>
                <w:rFonts w:hint="eastAsia" w:cs="Times New Roman"/>
                <w:color w:val="000000" w:themeColor="text1"/>
                <w:u w:val="none"/>
                <w:lang w:val="en-US" w:eastAsia="zh-CN"/>
                <w14:textFill>
                  <w14:solidFill>
                    <w14:schemeClr w14:val="tx1"/>
                  </w14:solidFill>
                </w14:textFill>
              </w:rPr>
              <w:t>沉淀池污泥</w:t>
            </w:r>
          </w:p>
        </w:tc>
        <w:tc>
          <w:tcPr>
            <w:tcW w:w="1701" w:type="dxa"/>
            <w:vAlign w:val="center"/>
          </w:tcPr>
          <w:p>
            <w:pPr>
              <w:pStyle w:val="47"/>
              <w:rPr>
                <w:color w:val="000000" w:themeColor="text1"/>
                <w:szCs w:val="24"/>
                <w14:textFill>
                  <w14:solidFill>
                    <w14:schemeClr w14:val="tx1"/>
                  </w14:solidFill>
                </w14:textFill>
              </w:rPr>
            </w:pPr>
          </w:p>
        </w:tc>
        <w:tc>
          <w:tcPr>
            <w:tcW w:w="1276" w:type="dxa"/>
            <w:vAlign w:val="center"/>
          </w:tcPr>
          <w:p>
            <w:pPr>
              <w:pStyle w:val="47"/>
              <w:rPr>
                <w:color w:val="000000" w:themeColor="text1"/>
                <w:szCs w:val="24"/>
                <w14:textFill>
                  <w14:solidFill>
                    <w14:schemeClr w14:val="tx1"/>
                  </w14:solidFill>
                </w14:textFill>
              </w:rPr>
            </w:pPr>
          </w:p>
        </w:tc>
        <w:tc>
          <w:tcPr>
            <w:tcW w:w="1701" w:type="dxa"/>
            <w:vAlign w:val="center"/>
          </w:tcPr>
          <w:p>
            <w:pPr>
              <w:pStyle w:val="47"/>
              <w:rPr>
                <w:color w:val="000000" w:themeColor="text1"/>
                <w:szCs w:val="24"/>
                <w14:textFill>
                  <w14:solidFill>
                    <w14:schemeClr w14:val="tx1"/>
                  </w14:solidFill>
                </w14:textFill>
              </w:rPr>
            </w:pPr>
          </w:p>
        </w:tc>
        <w:tc>
          <w:tcPr>
            <w:tcW w:w="1559" w:type="dxa"/>
            <w:shd w:val="clear" w:color="auto" w:fill="auto"/>
            <w:vAlign w:val="center"/>
          </w:tcPr>
          <w:p>
            <w:pPr>
              <w:pStyle w:val="47"/>
              <w:ind w:firstLine="0" w:firstLineChars="0"/>
              <w:rPr>
                <w:rFonts w:hint="eastAsia" w:ascii="Times New Roman" w:hAnsi="Times New Roman" w:eastAsia="宋体" w:cs="Times New Roman"/>
                <w:color w:val="000000" w:themeColor="text1"/>
                <w:kern w:val="2"/>
                <w:sz w:val="21"/>
                <w:szCs w:val="28"/>
                <w:u w:val="none"/>
                <w:lang w:val="en-US" w:eastAsia="zh-CN" w:bidi="ar-SA"/>
                <w14:textFill>
                  <w14:solidFill>
                    <w14:schemeClr w14:val="tx1"/>
                  </w14:solidFill>
                </w14:textFill>
              </w:rPr>
            </w:pPr>
            <w:r>
              <w:rPr>
                <w:rFonts w:hint="eastAsia" w:cs="Times New Roman"/>
                <w:color w:val="000000" w:themeColor="text1"/>
                <w:u w:val="none"/>
                <w:lang w:val="en-US" w:eastAsia="zh-CN"/>
                <w14:textFill>
                  <w14:solidFill>
                    <w14:schemeClr w14:val="tx1"/>
                  </w14:solidFill>
                </w14:textFill>
              </w:rPr>
              <w:t>2.64</w:t>
            </w:r>
          </w:p>
        </w:tc>
        <w:tc>
          <w:tcPr>
            <w:tcW w:w="1761" w:type="dxa"/>
            <w:vAlign w:val="center"/>
          </w:tcPr>
          <w:p>
            <w:pPr>
              <w:pStyle w:val="47"/>
              <w:rPr>
                <w:color w:val="000000" w:themeColor="text1"/>
                <w:szCs w:val="24"/>
                <w14:textFill>
                  <w14:solidFill>
                    <w14:schemeClr w14:val="tx1"/>
                  </w14:solidFill>
                </w14:textFill>
              </w:rPr>
            </w:pPr>
          </w:p>
        </w:tc>
        <w:tc>
          <w:tcPr>
            <w:tcW w:w="1584" w:type="dxa"/>
            <w:shd w:val="clear" w:color="auto" w:fill="auto"/>
            <w:vAlign w:val="center"/>
          </w:tcPr>
          <w:p>
            <w:pPr>
              <w:pStyle w:val="47"/>
              <w:ind w:firstLine="0" w:firstLineChars="0"/>
              <w:rPr>
                <w:rFonts w:hint="eastAsia" w:ascii="Times New Roman" w:hAnsi="Times New Roman" w:eastAsia="宋体" w:cs="Times New Roman"/>
                <w:color w:val="000000" w:themeColor="text1"/>
                <w:kern w:val="2"/>
                <w:sz w:val="21"/>
                <w:szCs w:val="28"/>
                <w:u w:val="none"/>
                <w:lang w:val="en-US" w:eastAsia="zh-CN" w:bidi="ar-SA"/>
                <w14:textFill>
                  <w14:solidFill>
                    <w14:schemeClr w14:val="tx1"/>
                  </w14:solidFill>
                </w14:textFill>
              </w:rPr>
            </w:pPr>
            <w:r>
              <w:rPr>
                <w:rFonts w:hint="eastAsia" w:cs="Times New Roman"/>
                <w:color w:val="000000" w:themeColor="text1"/>
                <w:u w:val="none"/>
                <w:lang w:val="en-US" w:eastAsia="zh-CN"/>
                <w14:textFill>
                  <w14:solidFill>
                    <w14:schemeClr w14:val="tx1"/>
                  </w14:solidFill>
                </w14:textFill>
              </w:rPr>
              <w:t>2.64</w:t>
            </w:r>
          </w:p>
        </w:tc>
        <w:tc>
          <w:tcPr>
            <w:tcW w:w="1201" w:type="dxa"/>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588" w:type="dxa"/>
            <w:vMerge w:val="continue"/>
            <w:vAlign w:val="center"/>
          </w:tcPr>
          <w:p>
            <w:pPr>
              <w:pStyle w:val="47"/>
              <w:rPr>
                <w:color w:val="000000" w:themeColor="text1"/>
                <w14:textFill>
                  <w14:solidFill>
                    <w14:schemeClr w14:val="tx1"/>
                  </w14:solidFill>
                </w14:textFill>
              </w:rPr>
            </w:pPr>
          </w:p>
        </w:tc>
        <w:tc>
          <w:tcPr>
            <w:tcW w:w="1417" w:type="dxa"/>
            <w:shd w:val="clear" w:color="auto" w:fill="auto"/>
            <w:vAlign w:val="center"/>
          </w:tcPr>
          <w:p>
            <w:pPr>
              <w:pStyle w:val="47"/>
              <w:ind w:firstLine="0" w:firstLineChars="0"/>
              <w:rPr>
                <w:rFonts w:hint="eastAsia" w:ascii="Times New Roman" w:hAnsi="Times New Roman" w:eastAsia="宋体" w:cs="Times New Roman"/>
                <w:color w:val="000000" w:themeColor="text1"/>
                <w:kern w:val="2"/>
                <w:sz w:val="21"/>
                <w:szCs w:val="28"/>
                <w:u w:val="none"/>
                <w:lang w:val="en-US" w:eastAsia="zh-CN" w:bidi="ar-SA"/>
                <w14:textFill>
                  <w14:solidFill>
                    <w14:schemeClr w14:val="tx1"/>
                  </w14:solidFill>
                </w14:textFill>
              </w:rPr>
            </w:pPr>
            <w:r>
              <w:rPr>
                <w:rFonts w:hint="default" w:ascii="Times New Roman" w:hAnsi="Times New Roman" w:eastAsia="宋体" w:cs="Times New Roman"/>
                <w:color w:val="000000" w:themeColor="text1"/>
                <w:u w:val="none"/>
                <w:lang w:val="en-US" w:eastAsia="zh-CN"/>
                <w14:textFill>
                  <w14:solidFill>
                    <w14:schemeClr w14:val="tx1"/>
                  </w14:solidFill>
                </w14:textFill>
              </w:rPr>
              <w:t>废机油及含油废物</w:t>
            </w:r>
          </w:p>
        </w:tc>
        <w:tc>
          <w:tcPr>
            <w:tcW w:w="1701" w:type="dxa"/>
            <w:vAlign w:val="center"/>
          </w:tcPr>
          <w:p>
            <w:pPr>
              <w:pStyle w:val="47"/>
              <w:rPr>
                <w:color w:val="000000" w:themeColor="text1"/>
                <w:szCs w:val="24"/>
                <w14:textFill>
                  <w14:solidFill>
                    <w14:schemeClr w14:val="tx1"/>
                  </w14:solidFill>
                </w14:textFill>
              </w:rPr>
            </w:pPr>
          </w:p>
        </w:tc>
        <w:tc>
          <w:tcPr>
            <w:tcW w:w="1276" w:type="dxa"/>
            <w:vAlign w:val="center"/>
          </w:tcPr>
          <w:p>
            <w:pPr>
              <w:pStyle w:val="47"/>
              <w:rPr>
                <w:color w:val="000000" w:themeColor="text1"/>
                <w:szCs w:val="24"/>
                <w14:textFill>
                  <w14:solidFill>
                    <w14:schemeClr w14:val="tx1"/>
                  </w14:solidFill>
                </w14:textFill>
              </w:rPr>
            </w:pPr>
          </w:p>
        </w:tc>
        <w:tc>
          <w:tcPr>
            <w:tcW w:w="1701" w:type="dxa"/>
            <w:vAlign w:val="center"/>
          </w:tcPr>
          <w:p>
            <w:pPr>
              <w:pStyle w:val="47"/>
              <w:rPr>
                <w:color w:val="000000" w:themeColor="text1"/>
                <w:szCs w:val="24"/>
                <w14:textFill>
                  <w14:solidFill>
                    <w14:schemeClr w14:val="tx1"/>
                  </w14:solidFill>
                </w14:textFill>
              </w:rPr>
            </w:pPr>
          </w:p>
        </w:tc>
        <w:tc>
          <w:tcPr>
            <w:tcW w:w="1559" w:type="dxa"/>
            <w:shd w:val="clear" w:color="auto" w:fill="auto"/>
            <w:vAlign w:val="center"/>
          </w:tcPr>
          <w:p>
            <w:pPr>
              <w:pStyle w:val="47"/>
              <w:ind w:firstLine="0" w:firstLineChars="0"/>
              <w:rPr>
                <w:rFonts w:hint="eastAsia" w:ascii="Times New Roman" w:hAnsi="Times New Roman" w:eastAsia="宋体" w:cs="Times New Roman"/>
                <w:color w:val="000000" w:themeColor="text1"/>
                <w:kern w:val="2"/>
                <w:sz w:val="21"/>
                <w:szCs w:val="28"/>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u w:val="none"/>
                <w:lang w:val="en-US" w:eastAsia="zh-CN"/>
                <w14:textFill>
                  <w14:solidFill>
                    <w14:schemeClr w14:val="tx1"/>
                  </w14:solidFill>
                </w14:textFill>
              </w:rPr>
              <w:t>0.01</w:t>
            </w:r>
          </w:p>
        </w:tc>
        <w:tc>
          <w:tcPr>
            <w:tcW w:w="1761" w:type="dxa"/>
            <w:vAlign w:val="center"/>
          </w:tcPr>
          <w:p>
            <w:pPr>
              <w:pStyle w:val="47"/>
              <w:rPr>
                <w:color w:val="000000" w:themeColor="text1"/>
                <w:szCs w:val="24"/>
                <w14:textFill>
                  <w14:solidFill>
                    <w14:schemeClr w14:val="tx1"/>
                  </w14:solidFill>
                </w14:textFill>
              </w:rPr>
            </w:pPr>
          </w:p>
        </w:tc>
        <w:tc>
          <w:tcPr>
            <w:tcW w:w="1584" w:type="dxa"/>
            <w:shd w:val="clear" w:color="auto" w:fill="auto"/>
            <w:vAlign w:val="center"/>
          </w:tcPr>
          <w:p>
            <w:pPr>
              <w:pStyle w:val="47"/>
              <w:ind w:firstLine="0" w:firstLineChars="0"/>
              <w:rPr>
                <w:rFonts w:hint="eastAsia" w:ascii="Times New Roman" w:hAnsi="Times New Roman" w:eastAsia="宋体" w:cs="Times New Roman"/>
                <w:color w:val="000000" w:themeColor="text1"/>
                <w:kern w:val="2"/>
                <w:sz w:val="21"/>
                <w:szCs w:val="28"/>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u w:val="none"/>
                <w:lang w:val="en-US" w:eastAsia="zh-CN"/>
                <w14:textFill>
                  <w14:solidFill>
                    <w14:schemeClr w14:val="tx1"/>
                  </w14:solidFill>
                </w14:textFill>
              </w:rPr>
              <w:t>0.01</w:t>
            </w:r>
          </w:p>
        </w:tc>
        <w:tc>
          <w:tcPr>
            <w:tcW w:w="1201" w:type="dxa"/>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588" w:type="dxa"/>
            <w:vMerge w:val="continue"/>
            <w:vAlign w:val="center"/>
          </w:tcPr>
          <w:p>
            <w:pPr>
              <w:pStyle w:val="47"/>
              <w:rPr>
                <w:color w:val="000000" w:themeColor="text1"/>
                <w14:textFill>
                  <w14:solidFill>
                    <w14:schemeClr w14:val="tx1"/>
                  </w14:solidFill>
                </w14:textFill>
              </w:rPr>
            </w:pPr>
          </w:p>
        </w:tc>
        <w:tc>
          <w:tcPr>
            <w:tcW w:w="1417" w:type="dxa"/>
            <w:shd w:val="clear" w:color="auto" w:fill="auto"/>
            <w:vAlign w:val="center"/>
          </w:tcPr>
          <w:p>
            <w:pPr>
              <w:pStyle w:val="47"/>
              <w:ind w:firstLine="0" w:firstLineChars="0"/>
              <w:rPr>
                <w:rFonts w:hint="eastAsia" w:ascii="Times New Roman" w:hAnsi="Times New Roman" w:eastAsia="宋体" w:cs="Times New Roman"/>
                <w:color w:val="000000" w:themeColor="text1"/>
                <w:kern w:val="2"/>
                <w:sz w:val="21"/>
                <w:szCs w:val="28"/>
                <w:u w:val="none"/>
                <w:lang w:val="en-US" w:eastAsia="zh-CN" w:bidi="ar-SA"/>
                <w14:textFill>
                  <w14:solidFill>
                    <w14:schemeClr w14:val="tx1"/>
                  </w14:solidFill>
                </w14:textFill>
              </w:rPr>
            </w:pPr>
            <w:r>
              <w:rPr>
                <w:rFonts w:hint="default" w:ascii="Times New Roman" w:hAnsi="Times New Roman" w:eastAsia="宋体" w:cs="Times New Roman"/>
                <w:color w:val="000000" w:themeColor="text1"/>
                <w:u w:val="none"/>
                <w:lang w:val="en-US" w:eastAsia="zh-CN"/>
                <w14:textFill>
                  <w14:solidFill>
                    <w14:schemeClr w14:val="tx1"/>
                  </w14:solidFill>
                </w14:textFill>
              </w:rPr>
              <w:t>含油抹布和手套</w:t>
            </w:r>
          </w:p>
        </w:tc>
        <w:tc>
          <w:tcPr>
            <w:tcW w:w="1701" w:type="dxa"/>
            <w:vAlign w:val="center"/>
          </w:tcPr>
          <w:p>
            <w:pPr>
              <w:pStyle w:val="47"/>
              <w:rPr>
                <w:color w:val="000000" w:themeColor="text1"/>
                <w:szCs w:val="24"/>
                <w14:textFill>
                  <w14:solidFill>
                    <w14:schemeClr w14:val="tx1"/>
                  </w14:solidFill>
                </w14:textFill>
              </w:rPr>
            </w:pPr>
          </w:p>
        </w:tc>
        <w:tc>
          <w:tcPr>
            <w:tcW w:w="1276" w:type="dxa"/>
            <w:vAlign w:val="center"/>
          </w:tcPr>
          <w:p>
            <w:pPr>
              <w:pStyle w:val="47"/>
              <w:rPr>
                <w:color w:val="000000" w:themeColor="text1"/>
                <w:szCs w:val="24"/>
                <w14:textFill>
                  <w14:solidFill>
                    <w14:schemeClr w14:val="tx1"/>
                  </w14:solidFill>
                </w14:textFill>
              </w:rPr>
            </w:pPr>
          </w:p>
        </w:tc>
        <w:tc>
          <w:tcPr>
            <w:tcW w:w="1701" w:type="dxa"/>
            <w:vAlign w:val="center"/>
          </w:tcPr>
          <w:p>
            <w:pPr>
              <w:pStyle w:val="47"/>
              <w:rPr>
                <w:color w:val="000000" w:themeColor="text1"/>
                <w:szCs w:val="24"/>
                <w14:textFill>
                  <w14:solidFill>
                    <w14:schemeClr w14:val="tx1"/>
                  </w14:solidFill>
                </w14:textFill>
              </w:rPr>
            </w:pPr>
          </w:p>
        </w:tc>
        <w:tc>
          <w:tcPr>
            <w:tcW w:w="1559" w:type="dxa"/>
            <w:shd w:val="clear" w:color="auto" w:fill="auto"/>
            <w:vAlign w:val="center"/>
          </w:tcPr>
          <w:p>
            <w:pPr>
              <w:pStyle w:val="47"/>
              <w:ind w:firstLine="0" w:firstLineChars="0"/>
              <w:rPr>
                <w:rFonts w:hint="eastAsia" w:ascii="Times New Roman" w:hAnsi="Times New Roman" w:eastAsia="宋体" w:cs="Times New Roman"/>
                <w:color w:val="000000" w:themeColor="text1"/>
                <w:kern w:val="2"/>
                <w:sz w:val="21"/>
                <w:szCs w:val="28"/>
                <w:u w:val="none"/>
                <w:lang w:val="en-US" w:eastAsia="zh-CN" w:bidi="ar-SA"/>
                <w14:textFill>
                  <w14:solidFill>
                    <w14:schemeClr w14:val="tx1"/>
                  </w14:solidFill>
                </w14:textFill>
              </w:rPr>
            </w:pPr>
            <w:r>
              <w:rPr>
                <w:rFonts w:hint="default" w:ascii="Times New Roman" w:hAnsi="Times New Roman" w:eastAsia="宋体" w:cs="Times New Roman"/>
                <w:color w:val="000000" w:themeColor="text1"/>
                <w:u w:val="none"/>
                <w:lang w:val="en-US" w:eastAsia="zh-CN"/>
                <w14:textFill>
                  <w14:solidFill>
                    <w14:schemeClr w14:val="tx1"/>
                  </w14:solidFill>
                </w14:textFill>
              </w:rPr>
              <w:t>0.00</w:t>
            </w:r>
            <w:r>
              <w:rPr>
                <w:rFonts w:hint="eastAsia" w:ascii="Times New Roman" w:hAnsi="Times New Roman" w:eastAsia="宋体" w:cs="Times New Roman"/>
                <w:color w:val="000000" w:themeColor="text1"/>
                <w:u w:val="none"/>
                <w:lang w:val="en-US" w:eastAsia="zh-CN"/>
                <w14:textFill>
                  <w14:solidFill>
                    <w14:schemeClr w14:val="tx1"/>
                  </w14:solidFill>
                </w14:textFill>
              </w:rPr>
              <w:t>1</w:t>
            </w:r>
          </w:p>
        </w:tc>
        <w:tc>
          <w:tcPr>
            <w:tcW w:w="1761" w:type="dxa"/>
            <w:vAlign w:val="center"/>
          </w:tcPr>
          <w:p>
            <w:pPr>
              <w:pStyle w:val="47"/>
              <w:rPr>
                <w:color w:val="000000" w:themeColor="text1"/>
                <w:szCs w:val="24"/>
                <w14:textFill>
                  <w14:solidFill>
                    <w14:schemeClr w14:val="tx1"/>
                  </w14:solidFill>
                </w14:textFill>
              </w:rPr>
            </w:pPr>
          </w:p>
        </w:tc>
        <w:tc>
          <w:tcPr>
            <w:tcW w:w="1584" w:type="dxa"/>
            <w:shd w:val="clear" w:color="auto" w:fill="auto"/>
            <w:vAlign w:val="center"/>
          </w:tcPr>
          <w:p>
            <w:pPr>
              <w:pStyle w:val="47"/>
              <w:ind w:firstLine="0" w:firstLineChars="0"/>
              <w:rPr>
                <w:rFonts w:hint="eastAsia" w:ascii="Times New Roman" w:hAnsi="Times New Roman" w:eastAsia="宋体" w:cs="Times New Roman"/>
                <w:color w:val="000000" w:themeColor="text1"/>
                <w:kern w:val="2"/>
                <w:sz w:val="21"/>
                <w:szCs w:val="28"/>
                <w:u w:val="none"/>
                <w:lang w:val="en-US" w:eastAsia="zh-CN" w:bidi="ar-SA"/>
                <w14:textFill>
                  <w14:solidFill>
                    <w14:schemeClr w14:val="tx1"/>
                  </w14:solidFill>
                </w14:textFill>
              </w:rPr>
            </w:pPr>
            <w:r>
              <w:rPr>
                <w:rFonts w:hint="default" w:ascii="Times New Roman" w:hAnsi="Times New Roman" w:eastAsia="宋体" w:cs="Times New Roman"/>
                <w:color w:val="000000" w:themeColor="text1"/>
                <w:u w:val="none"/>
                <w:lang w:val="en-US" w:eastAsia="zh-CN"/>
                <w14:textFill>
                  <w14:solidFill>
                    <w14:schemeClr w14:val="tx1"/>
                  </w14:solidFill>
                </w14:textFill>
              </w:rPr>
              <w:t>0.00</w:t>
            </w:r>
            <w:r>
              <w:rPr>
                <w:rFonts w:hint="eastAsia" w:ascii="Times New Roman" w:hAnsi="Times New Roman" w:eastAsia="宋体" w:cs="Times New Roman"/>
                <w:color w:val="000000" w:themeColor="text1"/>
                <w:u w:val="none"/>
                <w:lang w:val="en-US" w:eastAsia="zh-CN"/>
                <w14:textFill>
                  <w14:solidFill>
                    <w14:schemeClr w14:val="tx1"/>
                  </w14:solidFill>
                </w14:textFill>
              </w:rPr>
              <w:t>1</w:t>
            </w:r>
          </w:p>
        </w:tc>
        <w:tc>
          <w:tcPr>
            <w:tcW w:w="1201" w:type="dxa"/>
            <w:vAlign w:val="center"/>
          </w:tcPr>
          <w:p>
            <w:pPr>
              <w:spacing w:line="240" w:lineRule="auto"/>
              <w:ind w:firstLine="0" w:firstLineChars="0"/>
              <w:jc w:val="center"/>
              <w:rPr>
                <w:color w:val="000000" w:themeColor="text1"/>
                <w:sz w:val="21"/>
                <w:szCs w:val="21"/>
                <w14:textFill>
                  <w14:solidFill>
                    <w14:schemeClr w14:val="tx1"/>
                  </w14:solidFill>
                </w14:textFill>
              </w:rPr>
            </w:pPr>
          </w:p>
        </w:tc>
      </w:tr>
    </w:tbl>
    <w:p>
      <w:pPr>
        <w:spacing w:before="192" w:beforeLines="80" w:after="24"/>
        <w:ind w:firstLine="480"/>
        <w:jc w:val="left"/>
        <w:rPr>
          <w:rFonts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pPr>
        <w:ind w:firstLine="0" w:firstLineChars="0"/>
        <w:sectPr>
          <w:headerReference r:id="rId13" w:type="default"/>
          <w:footerReference r:id="rId14"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keepNext w:val="0"/>
        <w:keepLines w:val="0"/>
        <w:widowControl/>
        <w:suppressLineNumbers w:val="0"/>
        <w:ind w:left="0" w:leftChars="0" w:firstLine="0" w:firstLineChars="0"/>
        <w:jc w:val="left"/>
        <w:rPr>
          <w:rFonts w:hint="eastAsia" w:eastAsia="宋体"/>
          <w:lang w:eastAsia="zh-CN"/>
        </w:rPr>
      </w:pPr>
    </w:p>
    <w:p>
      <w:pPr>
        <w:widowControl/>
        <w:spacing w:line="240" w:lineRule="auto"/>
        <w:ind w:firstLine="0" w:firstLineChars="0"/>
        <w:jc w:val="left"/>
      </w:pPr>
      <w:r>
        <w:br w:type="page"/>
      </w:r>
    </w:p>
    <w:p>
      <w:pPr>
        <w:ind w:firstLine="0" w:firstLineChars="0"/>
      </w:pPr>
    </w:p>
    <w:p>
      <w:pPr>
        <w:pStyle w:val="32"/>
        <w:ind w:left="0" w:leftChars="0" w:firstLine="0" w:firstLineChars="0"/>
      </w:pPr>
    </w:p>
    <w:p>
      <w:pPr>
        <w:pStyle w:val="32"/>
        <w:ind w:left="0" w:leftChars="0" w:firstLine="0" w:firstLineChars="0"/>
      </w:pPr>
    </w:p>
    <w:p>
      <w:pPr>
        <w:pStyle w:val="32"/>
        <w:ind w:left="0" w:leftChars="0" w:firstLine="0" w:firstLineChars="0"/>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0" w:type="dxa"/>
          </w:tcPr>
          <w:p>
            <w:pPr>
              <w:pStyle w:val="48"/>
            </w:pPr>
          </w:p>
        </w:tc>
      </w:tr>
    </w:tbl>
    <w:p>
      <w:pPr>
        <w:ind w:firstLine="0" w:firstLineChars="0"/>
        <w:sectPr>
          <w:headerReference r:id="rId15" w:type="default"/>
          <w:footerReference r:id="rId1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ind w:firstLine="0" w:firstLineChars="0"/>
        <w:rPr>
          <w:b/>
          <w:bCs/>
        </w:rPr>
      </w:pPr>
    </w:p>
    <w:p>
      <w:pPr>
        <w:pStyle w:val="32"/>
        <w:ind w:left="0" w:leftChars="0" w:firstLine="0" w:firstLineChars="0"/>
        <w:rPr>
          <w:rFonts w:hint="default"/>
          <w:lang w:val="en-US" w:eastAsia="zh-CN"/>
        </w:rPr>
      </w:pPr>
    </w:p>
    <w:p>
      <w:pPr>
        <w:pStyle w:val="32"/>
        <w:ind w:left="0" w:leftChars="0" w:firstLine="0" w:firstLineChars="0"/>
      </w:pPr>
    </w:p>
    <w:p>
      <w:pPr>
        <w:pStyle w:val="32"/>
        <w:ind w:left="0" w:leftChars="0" w:firstLine="0" w:firstLineChars="0"/>
      </w:pPr>
    </w:p>
    <w:p>
      <w:pPr>
        <w:pStyle w:val="32"/>
        <w:ind w:left="0" w:leftChars="0" w:firstLine="0" w:firstLineChars="0"/>
        <w:rPr>
          <w:rFonts w:hint="eastAsia"/>
          <w:lang w:val="en-US" w:eastAsia="zh-CN"/>
        </w:rPr>
      </w:pPr>
    </w:p>
    <w:p>
      <w:pPr>
        <w:widowControl/>
        <w:spacing w:line="240" w:lineRule="auto"/>
        <w:ind w:firstLine="0" w:firstLineChars="0"/>
        <w:jc w:val="left"/>
        <w:rPr>
          <w:b/>
          <w:bCs/>
        </w:rPr>
      </w:pPr>
    </w:p>
    <w:p>
      <w:pPr>
        <w:ind w:left="0" w:leftChars="0" w:firstLine="0" w:firstLineChars="0"/>
        <w:jc w:val="both"/>
      </w:pPr>
    </w:p>
    <w:p>
      <w:pPr>
        <w:ind w:firstLine="0" w:firstLineChars="0"/>
      </w:pPr>
    </w:p>
    <w:p>
      <w:pPr>
        <w:ind w:firstLine="0" w:firstLineChars="0"/>
      </w:pPr>
    </w:p>
    <w:p>
      <w:pPr>
        <w:ind w:firstLine="0" w:firstLineChars="0"/>
        <w:rPr>
          <w:rFonts w:hint="default"/>
          <w:lang w:val="en-US" w:eastAsia="zh-CN"/>
        </w:rPr>
      </w:pPr>
    </w:p>
    <w:p>
      <w:pPr>
        <w:ind w:firstLine="0" w:firstLineChars="0"/>
      </w:pPr>
    </w:p>
    <w:p>
      <w:pPr>
        <w:ind w:firstLine="0" w:firstLineChars="0"/>
      </w:pPr>
    </w:p>
    <w:p>
      <w:pPr>
        <w:ind w:firstLine="0" w:firstLineChars="0"/>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ind w:left="0" w:leftChars="0" w:firstLine="0" w:firstLineChars="0"/>
      </w:pPr>
    </w:p>
    <w:p>
      <w:pPr>
        <w:ind w:firstLine="0" w:firstLineChars="0"/>
        <w:rPr>
          <w:rFonts w:hint="eastAsia" w:eastAsia="宋体"/>
          <w:lang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26" w:charSpace="0"/>
        </w:sectPr>
      </w:pPr>
    </w:p>
    <w:p>
      <w:pPr>
        <w:pStyle w:val="33"/>
        <w:ind w:left="0" w:leftChars="0" w:firstLine="0" w:firstLineChars="0"/>
        <w:rPr>
          <w:rFonts w:hint="eastAsia" w:eastAsia="幼圆"/>
          <w:lang w:eastAsia="zh-CN"/>
        </w:rPr>
      </w:pPr>
    </w:p>
    <w:p>
      <w:pPr>
        <w:pStyle w:val="47"/>
        <w:jc w:val="both"/>
        <w:rPr>
          <w:rFonts w:hint="default"/>
          <w:lang w:val="en-US" w:eastAsia="zh-CN"/>
        </w:rPr>
      </w:pPr>
    </w:p>
    <w:p>
      <w:pPr>
        <w:pStyle w:val="2"/>
        <w:ind w:left="0" w:leftChars="0" w:firstLine="0" w:firstLineChars="0"/>
        <w:rPr>
          <w:rFonts w:hint="default"/>
          <w:lang w:val="en-US" w:eastAsia="zh-CN"/>
        </w:rPr>
      </w:pPr>
      <w:bookmarkStart w:id="33" w:name="_Toc4877"/>
    </w:p>
    <w:bookmarkEnd w:id="33"/>
    <w:p>
      <w:pPr>
        <w:pStyle w:val="47"/>
        <w:rPr>
          <w:rFonts w:hint="eastAsia" w:eastAsia="宋体"/>
          <w:lang w:eastAsia="zh-CN"/>
        </w:rPr>
      </w:pPr>
    </w:p>
    <w:p>
      <w:pPr>
        <w:spacing w:line="240" w:lineRule="auto"/>
        <w:ind w:firstLine="0" w:firstLineChars="0"/>
        <w:jc w:val="both"/>
      </w:pPr>
    </w:p>
    <w:p>
      <w:pPr>
        <w:spacing w:line="240" w:lineRule="auto"/>
        <w:ind w:firstLine="0" w:firstLineChars="0"/>
        <w:jc w:val="both"/>
      </w:pPr>
    </w:p>
    <w:p>
      <w:pPr>
        <w:ind w:firstLine="0" w:firstLineChars="0"/>
        <w:jc w:val="both"/>
        <w:rPr>
          <w:rFonts w:hint="default"/>
          <w:b/>
          <w:bCs/>
          <w:lang w:val="en-US" w:eastAsia="zh-CN"/>
        </w:rPr>
      </w:pPr>
    </w:p>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1C63EED-D4DC-4C3E-A55B-AEC4B6183EE3}"/>
  </w:font>
  <w:font w:name="黑体">
    <w:panose1 w:val="02010609060101010101"/>
    <w:charset w:val="86"/>
    <w:family w:val="auto"/>
    <w:pitch w:val="default"/>
    <w:sig w:usb0="800002BF" w:usb1="38CF7CFA" w:usb2="00000016" w:usb3="00000000" w:csb0="00040001" w:csb1="00000000"/>
    <w:embedRegular r:id="rId2" w:fontKey="{1E288219-A171-46AC-AF64-F8D12FAB094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embedRegular r:id="rId3" w:fontKey="{112774EC-4D58-4F3A-9585-E455613B6A4F}"/>
  </w:font>
  <w:font w:name="仿宋">
    <w:panose1 w:val="02010609060101010101"/>
    <w:charset w:val="86"/>
    <w:family w:val="auto"/>
    <w:pitch w:val="default"/>
    <w:sig w:usb0="800002BF" w:usb1="38CF7CFA" w:usb2="00000016" w:usb3="00000000" w:csb0="00040001" w:csb1="00000000"/>
    <w:embedRegular r:id="rId4" w:fontKey="{0CB11950-95CD-48AE-8193-D2039FE2C794}"/>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AF910787-7F81-4AEF-AB94-02E568FC1959}"/>
  </w:font>
  <w:font w:name="Wingdings 2">
    <w:panose1 w:val="05020102010507070707"/>
    <w:charset w:val="02"/>
    <w:family w:val="roman"/>
    <w:pitch w:val="default"/>
    <w:sig w:usb0="00000000" w:usb1="00000000" w:usb2="00000000" w:usb3="00000000" w:csb0="80000000" w:csb1="00000000"/>
    <w:embedRegular r:id="rId6" w:fontKey="{45440B23-84EE-4E2A-9166-C12E65299BCA}"/>
  </w:font>
  <w:font w:name="微软雅黑">
    <w:panose1 w:val="020B0503020204020204"/>
    <w:charset w:val="86"/>
    <w:family w:val="auto"/>
    <w:pitch w:val="default"/>
    <w:sig w:usb0="80000287" w:usb1="2ACF3C50" w:usb2="00000016" w:usb3="00000000" w:csb0="0004001F" w:csb1="00000000"/>
    <w:embedRegular r:id="rId7" w:fontKey="{5AAE593E-3D99-4787-9AB9-4669BEE7E393}"/>
  </w:font>
  <w:font w:name="Yu Gothic UI Semilight">
    <w:panose1 w:val="020B0400000000000000"/>
    <w:charset w:val="80"/>
    <w:family w:val="swiss"/>
    <w:pitch w:val="default"/>
    <w:sig w:usb0="E00002FF" w:usb1="2AC7FDFF" w:usb2="00000016" w:usb3="00000000" w:csb0="2002009F" w:csb1="00000000"/>
    <w:embedRegular r:id="rId8" w:fontKey="{255D5258-5A00-4D7B-8074-588D3A7FCD16}"/>
  </w:font>
  <w:font w:name="新宋体">
    <w:panose1 w:val="02010609030101010101"/>
    <w:charset w:val="86"/>
    <w:family w:val="modern"/>
    <w:pitch w:val="default"/>
    <w:sig w:usb0="00000203" w:usb1="288F0000" w:usb2="00000006" w:usb3="00000000" w:csb0="00040001" w:csb1="00000000"/>
    <w:embedRegular r:id="rId9" w:fontKey="{3E7D37CB-D49D-4A47-9E06-20CFCF1BD942}"/>
  </w:font>
  <w:font w:name="方正小标宋_GBK">
    <w:panose1 w:val="03000509000000000000"/>
    <w:charset w:val="86"/>
    <w:family w:val="script"/>
    <w:pitch w:val="default"/>
    <w:sig w:usb0="00000001" w:usb1="080E0000" w:usb2="00000000" w:usb3="00000000" w:csb0="00040000" w:csb1="00000000"/>
    <w:embedRegular r:id="rId10" w:fontKey="{98D28E12-9F85-4BDD-B445-10420BBBE9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54629030"/>
      <w:docPartObj>
        <w:docPartGallery w:val="autotext"/>
      </w:docPartObj>
    </w:sdtPr>
    <w:sdtContent>
      <w:p>
        <w:pPr>
          <w:pStyle w:val="14"/>
          <w:ind w:firstLine="360"/>
          <w:jc w:val="center"/>
        </w:pPr>
        <w:r>
          <w:fldChar w:fldCharType="begin"/>
        </w:r>
        <w:r>
          <w:instrText xml:space="preserve">PAGE   \* MERGEFORMAT</w:instrText>
        </w:r>
        <w:r>
          <w:fldChar w:fldCharType="separate"/>
        </w:r>
        <w:r>
          <w:rPr>
            <w:lang w:val="zh-CN"/>
          </w:rPr>
          <w:t>2</w:t>
        </w:r>
        <w:r>
          <w:fldChar w:fldCharType="end"/>
        </w:r>
      </w:p>
    </w:sdtContent>
  </w:sdt>
  <w:p>
    <w:pPr>
      <w:pStyle w:val="14"/>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205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4"/>
                            <w:ind w:firstLine="560"/>
                            <w:rPr>
                              <w:rStyle w:val="28"/>
                              <w:rFonts w:ascii="宋体" w:hAnsi="宋体"/>
                              <w:sz w:val="28"/>
                              <w:szCs w:val="28"/>
                            </w:rPr>
                          </w:pPr>
                          <w:r>
                            <w:rPr>
                              <w:rStyle w:val="28"/>
                              <w:rFonts w:hint="eastAsia" w:ascii="宋体" w:hAnsi="宋体"/>
                              <w:sz w:val="28"/>
                              <w:szCs w:val="28"/>
                            </w:rPr>
                            <w:t>—</w:t>
                          </w: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10</w:t>
                          </w:r>
                          <w:r>
                            <w:rPr>
                              <w:rStyle w:val="28"/>
                              <w:rFonts w:ascii="宋体" w:hAnsi="宋体"/>
                              <w:sz w:val="26"/>
                              <w:szCs w:val="26"/>
                            </w:rPr>
                            <w:fldChar w:fldCharType="end"/>
                          </w:r>
                          <w:r>
                            <w:rPr>
                              <w:rStyle w:val="28"/>
                              <w:rFonts w:hint="eastAsia" w:ascii="宋体" w:hAnsi="宋体"/>
                              <w:sz w:val="28"/>
                              <w:szCs w:val="28"/>
                            </w:rPr>
                            <w:t>—</w:t>
                          </w:r>
                        </w:p>
                      </w:txbxContent>
                    </wps:txbx>
                    <wps:bodyPr vert="horz" wrap="none" lIns="0" tIns="0" rIns="0" bIns="0" anchor="t">
                      <a:spAutoFit/>
                    </wps:bodyPr>
                  </wps:wsp>
                </a:graphicData>
              </a:graphic>
            </wp:anchor>
          </w:drawing>
        </mc:Choice>
        <mc:Fallback>
          <w:pict>
            <v:rect id="文本框 205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5PiyI8wBAACVAwAADgAAAAAAAAABACAAAAAfAQAAZHJzL2Uy&#10;b0RvYy54bWxQSwUGAAAAAAYABgBZAQAAXQUAAAAA&#10;">
              <v:fill on="f" focussize="0,0"/>
              <v:stroke on="f"/>
              <v:imagedata o:title=""/>
              <o:lock v:ext="edit" aspectratio="f"/>
              <v:textbox inset="0mm,0mm,0mm,0mm" style="mso-fit-shape-to-text:t;">
                <w:txbxContent>
                  <w:p>
                    <w:pPr>
                      <w:pStyle w:val="14"/>
                      <w:ind w:firstLine="560"/>
                      <w:rPr>
                        <w:rStyle w:val="28"/>
                        <w:rFonts w:ascii="宋体" w:hAnsi="宋体"/>
                        <w:sz w:val="28"/>
                        <w:szCs w:val="28"/>
                      </w:rPr>
                    </w:pPr>
                    <w:r>
                      <w:rPr>
                        <w:rStyle w:val="28"/>
                        <w:rFonts w:hint="eastAsia" w:ascii="宋体" w:hAnsi="宋体"/>
                        <w:sz w:val="28"/>
                        <w:szCs w:val="28"/>
                      </w:rPr>
                      <w:t>—</w:t>
                    </w: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10</w:t>
                    </w:r>
                    <w:r>
                      <w:rPr>
                        <w:rStyle w:val="28"/>
                        <w:rFonts w:ascii="宋体" w:hAnsi="宋体"/>
                        <w:sz w:val="26"/>
                        <w:szCs w:val="26"/>
                      </w:rPr>
                      <w:fldChar w:fldCharType="end"/>
                    </w:r>
                    <w:r>
                      <w:rPr>
                        <w:rStyle w:val="28"/>
                        <w:rFonts w:hint="eastAsia" w:ascii="宋体" w:hAnsi="宋体"/>
                        <w:sz w:val="28"/>
                        <w:szCs w:val="28"/>
                      </w:rPr>
                      <w:t>—</w:t>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205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4"/>
                            <w:ind w:firstLine="520"/>
                            <w:rPr>
                              <w:rStyle w:val="28"/>
                              <w:rFonts w:ascii="宋体" w:hAnsi="宋体"/>
                              <w:sz w:val="28"/>
                              <w:szCs w:val="28"/>
                            </w:rPr>
                          </w:pP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11</w:t>
                          </w:r>
                          <w:r>
                            <w:rPr>
                              <w:rStyle w:val="28"/>
                              <w:rFonts w:ascii="宋体" w:hAnsi="宋体"/>
                              <w:sz w:val="26"/>
                              <w:szCs w:val="26"/>
                            </w:rPr>
                            <w:fldChar w:fldCharType="end"/>
                          </w:r>
                        </w:p>
                      </w:txbxContent>
                    </wps:txbx>
                    <wps:bodyPr vert="horz" wrap="none" lIns="0" tIns="0" rIns="0" bIns="0" anchor="t">
                      <a:spAutoFit/>
                    </wps:bodyPr>
                  </wps:wsp>
                </a:graphicData>
              </a:graphic>
            </wp:anchor>
          </w:drawing>
        </mc:Choice>
        <mc:Fallback>
          <w:pict>
            <v:rect id="文本框 205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8A7kuywEAAJUDAAAOAAAAAAAAAAEAIAAAAB8BAABkcnMvZTJv&#10;RG9jLnhtbFBLBQYAAAAABgAGAFkBAABcBQAAAAA=&#10;">
              <v:fill on="f" focussize="0,0"/>
              <v:stroke on="f"/>
              <v:imagedata o:title=""/>
              <o:lock v:ext="edit" aspectratio="f"/>
              <v:textbox inset="0mm,0mm,0mm,0mm" style="mso-fit-shape-to-text:t;">
                <w:txbxContent>
                  <w:p>
                    <w:pPr>
                      <w:pStyle w:val="14"/>
                      <w:ind w:firstLine="520"/>
                      <w:rPr>
                        <w:rStyle w:val="28"/>
                        <w:rFonts w:ascii="宋体" w:hAnsi="宋体"/>
                        <w:sz w:val="28"/>
                        <w:szCs w:val="28"/>
                      </w:rPr>
                    </w:pP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11</w:t>
                    </w:r>
                    <w:r>
                      <w:rPr>
                        <w:rStyle w:val="28"/>
                        <w:rFonts w:ascii="宋体" w:hAnsi="宋体"/>
                        <w:sz w:val="26"/>
                        <w:szCs w:val="26"/>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w:rPr>
        <w:rFonts w:hint="eastAsia"/>
        <w:lang w:eastAsia="zh-CN"/>
      </w:rPr>
      <w:t>湘阴县惠丰农业投资开发有限公司</w:t>
    </w:r>
    <w:r>
      <w:rPr>
        <w:rFonts w:hint="eastAsia"/>
        <w:lang w:val="zh-CN"/>
      </w:rPr>
      <w:t>湘阴县食用菌产业融合示范区建设项目</w:t>
    </w:r>
    <w:r>
      <w:rPr>
        <w:rFonts w:hint="eastAsia"/>
      </w:rPr>
      <w:t>环境影响报告表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w:rPr>
        <w:rFonts w:hint="eastAsia"/>
        <w:lang w:eastAsia="zh-CN"/>
      </w:rPr>
      <w:t>湘阴县惠丰农业投资开发有限公司</w:t>
    </w:r>
    <w:r>
      <w:rPr>
        <w:rFonts w:hint="eastAsia"/>
        <w:lang w:val="zh-CN"/>
      </w:rPr>
      <w:t>湘阴县食用菌产业融合示范区建设项目</w:t>
    </w:r>
    <w:r>
      <w:rPr>
        <w:rFonts w:hint="eastAsia"/>
      </w:rPr>
      <w:t>环境影响报告表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664E66"/>
    <w:multiLevelType w:val="multilevel"/>
    <w:tmpl w:val="2A664E66"/>
    <w:lvl w:ilvl="0" w:tentative="0">
      <w:start w:val="1"/>
      <w:numFmt w:val="decimal"/>
      <w:isLgl/>
      <w:suff w:val="space"/>
      <w:lvlText w:val="%1"/>
      <w:lvlJc w:val="left"/>
      <w:pPr>
        <w:tabs>
          <w:tab w:val="left" w:pos="0"/>
        </w:tabs>
        <w:ind w:left="0" w:firstLine="0"/>
      </w:pPr>
      <w:rPr>
        <w:rFonts w:hint="default" w:ascii="Times New Roman" w:hAnsi="Times New Roman" w:eastAsia="宋体" w:cs="宋体"/>
        <w:b/>
        <w:sz w:val="30"/>
      </w:rPr>
    </w:lvl>
    <w:lvl w:ilvl="1" w:tentative="0">
      <w:start w:val="1"/>
      <w:numFmt w:val="decimal"/>
      <w:isLgl/>
      <w:suff w:val="space"/>
      <w:lvlText w:val="%1.%2"/>
      <w:lvlJc w:val="left"/>
      <w:pPr>
        <w:tabs>
          <w:tab w:val="left" w:pos="420"/>
        </w:tabs>
        <w:ind w:left="0" w:firstLine="0"/>
      </w:pPr>
      <w:rPr>
        <w:rFonts w:hint="default" w:ascii="Times New Roman" w:hAnsi="Times New Roman" w:eastAsia="宋体" w:cs="宋体"/>
        <w:b/>
        <w:sz w:val="28"/>
      </w:rPr>
    </w:lvl>
    <w:lvl w:ilvl="2" w:tentative="0">
      <w:start w:val="1"/>
      <w:numFmt w:val="decimal"/>
      <w:pStyle w:val="5"/>
      <w:isLgl/>
      <w:suff w:val="space"/>
      <w:lvlText w:val="%1.%2.%3"/>
      <w:lvlJc w:val="left"/>
      <w:pPr>
        <w:tabs>
          <w:tab w:val="left" w:pos="420"/>
        </w:tabs>
        <w:ind w:left="0" w:firstLine="0"/>
      </w:pPr>
      <w:rPr>
        <w:rFonts w:hint="default" w:ascii="Times New Roman" w:hAnsi="Times New Roman" w:eastAsia="宋体" w:cs="宋体"/>
        <w:b/>
        <w:sz w:val="28"/>
      </w:rPr>
    </w:lvl>
    <w:lvl w:ilvl="3" w:tentative="0">
      <w:start w:val="1"/>
      <w:numFmt w:val="decimal"/>
      <w:isLgl/>
      <w:suff w:val="space"/>
      <w:lvlText w:val="%1.%2.%3.%4"/>
      <w:lvlJc w:val="left"/>
      <w:pPr>
        <w:tabs>
          <w:tab w:val="left" w:pos="420"/>
        </w:tabs>
        <w:ind w:left="0" w:firstLine="0"/>
      </w:pPr>
      <w:rPr>
        <w:rFonts w:hint="default" w:ascii="Times New Roman" w:hAnsi="Times New Roman" w:eastAsia="宋体" w:cs="宋体"/>
        <w:b/>
      </w:rPr>
    </w:lvl>
    <w:lvl w:ilvl="4" w:tentative="0">
      <w:start w:val="1"/>
      <w:numFmt w:val="decimal"/>
      <w:isLgl/>
      <w:suff w:val="nothing"/>
      <w:lvlText w:val="表%1.%2-%5 "/>
      <w:lvlJc w:val="left"/>
      <w:pPr>
        <w:tabs>
          <w:tab w:val="left" w:pos="420"/>
        </w:tabs>
        <w:ind w:left="0" w:firstLine="0"/>
      </w:pPr>
      <w:rPr>
        <w:rFonts w:hint="default" w:ascii="Times New Roman" w:hAnsi="Times New Roman" w:eastAsia="宋体" w:cs="宋体"/>
        <w:b/>
        <w:sz w:val="24"/>
      </w:rPr>
    </w:lvl>
    <w:lvl w:ilvl="5" w:tentative="0">
      <w:start w:val="1"/>
      <w:numFmt w:val="decimal"/>
      <w:isLgl/>
      <w:suff w:val="nothing"/>
      <w:lvlText w:val="图%1.%2-%6"/>
      <w:lvlJc w:val="left"/>
      <w:pPr>
        <w:ind w:left="0" w:firstLine="0"/>
      </w:pPr>
      <w:rPr>
        <w:rFonts w:hint="default" w:ascii="Times New Roman" w:hAnsi="Times New Roman" w:eastAsia="宋体" w:cs="宋体"/>
        <w:b/>
        <w:sz w:val="24"/>
      </w:rPr>
    </w:lvl>
    <w:lvl w:ilvl="6" w:tentative="0">
      <w:start w:val="1"/>
      <w:numFmt w:val="lowerLetter"/>
      <w:suff w:val="nothing"/>
      <w:lvlText w:val="%7．"/>
      <w:lvlJc w:val="left"/>
      <w:pPr>
        <w:ind w:left="0" w:firstLine="402"/>
      </w:pPr>
      <w:rPr>
        <w:rFonts w:hint="default" w:ascii="宋体" w:hAnsi="宋体" w:eastAsia="宋体" w:cs="宋体"/>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36970A70"/>
    <w:multiLevelType w:val="multilevel"/>
    <w:tmpl w:val="36970A70"/>
    <w:lvl w:ilvl="0" w:tentative="0">
      <w:start w:val="1"/>
      <w:numFmt w:val="decimal"/>
      <w:pStyle w:val="59"/>
      <w:lvlText w:val="表%1 "/>
      <w:lvlJc w:val="left"/>
      <w:pPr>
        <w:ind w:left="4105" w:hanging="420"/>
      </w:pPr>
      <w:rPr>
        <w:rFonts w:hint="default"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6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I4MzhkOWU3MGI2ODNhYjIzNmY4ODAyMGU0NjI3ZmQifQ=="/>
  </w:docVars>
  <w:rsids>
    <w:rsidRoot w:val="00482187"/>
    <w:rsid w:val="0000265F"/>
    <w:rsid w:val="00006716"/>
    <w:rsid w:val="0001053C"/>
    <w:rsid w:val="00011C23"/>
    <w:rsid w:val="000231A4"/>
    <w:rsid w:val="000264B0"/>
    <w:rsid w:val="0003162C"/>
    <w:rsid w:val="00031CA2"/>
    <w:rsid w:val="00037E60"/>
    <w:rsid w:val="00040F01"/>
    <w:rsid w:val="000416FA"/>
    <w:rsid w:val="00042359"/>
    <w:rsid w:val="000464E4"/>
    <w:rsid w:val="000473F0"/>
    <w:rsid w:val="00050987"/>
    <w:rsid w:val="00051A62"/>
    <w:rsid w:val="00052015"/>
    <w:rsid w:val="0005355A"/>
    <w:rsid w:val="00055A54"/>
    <w:rsid w:val="00061BFD"/>
    <w:rsid w:val="0006374E"/>
    <w:rsid w:val="00063D51"/>
    <w:rsid w:val="00064197"/>
    <w:rsid w:val="00065262"/>
    <w:rsid w:val="000665FF"/>
    <w:rsid w:val="000667CA"/>
    <w:rsid w:val="00070402"/>
    <w:rsid w:val="00071D2D"/>
    <w:rsid w:val="000744DB"/>
    <w:rsid w:val="0007527E"/>
    <w:rsid w:val="00075283"/>
    <w:rsid w:val="00081526"/>
    <w:rsid w:val="00083B51"/>
    <w:rsid w:val="0008475A"/>
    <w:rsid w:val="000856EF"/>
    <w:rsid w:val="0008771B"/>
    <w:rsid w:val="00090668"/>
    <w:rsid w:val="00091627"/>
    <w:rsid w:val="000B0C78"/>
    <w:rsid w:val="000B253C"/>
    <w:rsid w:val="000B4F0E"/>
    <w:rsid w:val="000C1B2E"/>
    <w:rsid w:val="000C2E4D"/>
    <w:rsid w:val="000C3EF1"/>
    <w:rsid w:val="000C77E7"/>
    <w:rsid w:val="000D1C68"/>
    <w:rsid w:val="000D5CF1"/>
    <w:rsid w:val="000E228B"/>
    <w:rsid w:val="000E6D4C"/>
    <w:rsid w:val="000F02F3"/>
    <w:rsid w:val="000F456F"/>
    <w:rsid w:val="00107F90"/>
    <w:rsid w:val="001105EB"/>
    <w:rsid w:val="001126C8"/>
    <w:rsid w:val="00112B82"/>
    <w:rsid w:val="00113A62"/>
    <w:rsid w:val="00117030"/>
    <w:rsid w:val="00127903"/>
    <w:rsid w:val="001344EF"/>
    <w:rsid w:val="0015597E"/>
    <w:rsid w:val="00156C47"/>
    <w:rsid w:val="0016098C"/>
    <w:rsid w:val="00160B9F"/>
    <w:rsid w:val="00162BAA"/>
    <w:rsid w:val="0016322A"/>
    <w:rsid w:val="0017169F"/>
    <w:rsid w:val="00172A23"/>
    <w:rsid w:val="001765F4"/>
    <w:rsid w:val="00176856"/>
    <w:rsid w:val="00176DB7"/>
    <w:rsid w:val="00180C79"/>
    <w:rsid w:val="0018119A"/>
    <w:rsid w:val="001820D4"/>
    <w:rsid w:val="00184964"/>
    <w:rsid w:val="00185118"/>
    <w:rsid w:val="001864C5"/>
    <w:rsid w:val="00195A84"/>
    <w:rsid w:val="00195DB5"/>
    <w:rsid w:val="001A1FDF"/>
    <w:rsid w:val="001A20AC"/>
    <w:rsid w:val="001A20ED"/>
    <w:rsid w:val="001A36C5"/>
    <w:rsid w:val="001C36ED"/>
    <w:rsid w:val="001C6BE5"/>
    <w:rsid w:val="001D3BF6"/>
    <w:rsid w:val="001D6FDA"/>
    <w:rsid w:val="001E7758"/>
    <w:rsid w:val="001F123E"/>
    <w:rsid w:val="001F2A72"/>
    <w:rsid w:val="001F5B09"/>
    <w:rsid w:val="00200254"/>
    <w:rsid w:val="00207F2D"/>
    <w:rsid w:val="00213543"/>
    <w:rsid w:val="00215744"/>
    <w:rsid w:val="00224699"/>
    <w:rsid w:val="00225830"/>
    <w:rsid w:val="00227402"/>
    <w:rsid w:val="0022766B"/>
    <w:rsid w:val="00234DA2"/>
    <w:rsid w:val="0023691B"/>
    <w:rsid w:val="002373D5"/>
    <w:rsid w:val="00240C33"/>
    <w:rsid w:val="00240E7E"/>
    <w:rsid w:val="00241590"/>
    <w:rsid w:val="00243288"/>
    <w:rsid w:val="002443F6"/>
    <w:rsid w:val="002666D4"/>
    <w:rsid w:val="00266F46"/>
    <w:rsid w:val="002702DB"/>
    <w:rsid w:val="00270570"/>
    <w:rsid w:val="00270854"/>
    <w:rsid w:val="00271C85"/>
    <w:rsid w:val="0027259A"/>
    <w:rsid w:val="00275F60"/>
    <w:rsid w:val="002841D5"/>
    <w:rsid w:val="00292034"/>
    <w:rsid w:val="00295534"/>
    <w:rsid w:val="002972A9"/>
    <w:rsid w:val="002977DA"/>
    <w:rsid w:val="002A1D8A"/>
    <w:rsid w:val="002A6C62"/>
    <w:rsid w:val="002B4AEC"/>
    <w:rsid w:val="002C3AF2"/>
    <w:rsid w:val="002D0D2A"/>
    <w:rsid w:val="002D2763"/>
    <w:rsid w:val="002D2BA3"/>
    <w:rsid w:val="002D3A11"/>
    <w:rsid w:val="002D6058"/>
    <w:rsid w:val="002D7A9D"/>
    <w:rsid w:val="002E00C1"/>
    <w:rsid w:val="002E341F"/>
    <w:rsid w:val="002E3912"/>
    <w:rsid w:val="002E7D78"/>
    <w:rsid w:val="002F1341"/>
    <w:rsid w:val="002F1C3E"/>
    <w:rsid w:val="002F4A2F"/>
    <w:rsid w:val="0030523D"/>
    <w:rsid w:val="00305CC1"/>
    <w:rsid w:val="00313F8C"/>
    <w:rsid w:val="00315F93"/>
    <w:rsid w:val="00321262"/>
    <w:rsid w:val="00322938"/>
    <w:rsid w:val="00324BFF"/>
    <w:rsid w:val="003307C1"/>
    <w:rsid w:val="00330BB3"/>
    <w:rsid w:val="00350474"/>
    <w:rsid w:val="00351469"/>
    <w:rsid w:val="00356D29"/>
    <w:rsid w:val="00357EA8"/>
    <w:rsid w:val="00364552"/>
    <w:rsid w:val="0036566A"/>
    <w:rsid w:val="00365ADE"/>
    <w:rsid w:val="00370DB6"/>
    <w:rsid w:val="00376643"/>
    <w:rsid w:val="00376653"/>
    <w:rsid w:val="003829A7"/>
    <w:rsid w:val="00386454"/>
    <w:rsid w:val="0039274D"/>
    <w:rsid w:val="00393FE0"/>
    <w:rsid w:val="003A0E0D"/>
    <w:rsid w:val="003A1243"/>
    <w:rsid w:val="003A1F91"/>
    <w:rsid w:val="003A3C14"/>
    <w:rsid w:val="003A5A01"/>
    <w:rsid w:val="003B3780"/>
    <w:rsid w:val="003B7498"/>
    <w:rsid w:val="003C3AEF"/>
    <w:rsid w:val="003C6527"/>
    <w:rsid w:val="003C7709"/>
    <w:rsid w:val="003C7E75"/>
    <w:rsid w:val="003D07DB"/>
    <w:rsid w:val="003E5207"/>
    <w:rsid w:val="003E54F9"/>
    <w:rsid w:val="003F0C82"/>
    <w:rsid w:val="003F110A"/>
    <w:rsid w:val="003F529A"/>
    <w:rsid w:val="003F5F4B"/>
    <w:rsid w:val="00400A4E"/>
    <w:rsid w:val="00401C44"/>
    <w:rsid w:val="0042305B"/>
    <w:rsid w:val="00431410"/>
    <w:rsid w:val="004327FD"/>
    <w:rsid w:val="00433182"/>
    <w:rsid w:val="00433537"/>
    <w:rsid w:val="00433751"/>
    <w:rsid w:val="004352AE"/>
    <w:rsid w:val="00440595"/>
    <w:rsid w:val="00441389"/>
    <w:rsid w:val="0044506D"/>
    <w:rsid w:val="0044703E"/>
    <w:rsid w:val="00447443"/>
    <w:rsid w:val="00450AAF"/>
    <w:rsid w:val="0045617B"/>
    <w:rsid w:val="004610D2"/>
    <w:rsid w:val="0046172C"/>
    <w:rsid w:val="00463DE4"/>
    <w:rsid w:val="00474E25"/>
    <w:rsid w:val="00480FDC"/>
    <w:rsid w:val="00481A01"/>
    <w:rsid w:val="00482187"/>
    <w:rsid w:val="004872D4"/>
    <w:rsid w:val="0049279F"/>
    <w:rsid w:val="00492ED5"/>
    <w:rsid w:val="00493CD0"/>
    <w:rsid w:val="00493FAE"/>
    <w:rsid w:val="00495047"/>
    <w:rsid w:val="00496907"/>
    <w:rsid w:val="004A37A7"/>
    <w:rsid w:val="004A6AF4"/>
    <w:rsid w:val="004A6E90"/>
    <w:rsid w:val="004A7BBE"/>
    <w:rsid w:val="004A7FE6"/>
    <w:rsid w:val="004C089C"/>
    <w:rsid w:val="004C4FDA"/>
    <w:rsid w:val="004D0385"/>
    <w:rsid w:val="004D0FDA"/>
    <w:rsid w:val="004D39CC"/>
    <w:rsid w:val="004E7630"/>
    <w:rsid w:val="004F2EC6"/>
    <w:rsid w:val="00501F6D"/>
    <w:rsid w:val="00503C3A"/>
    <w:rsid w:val="00504C5E"/>
    <w:rsid w:val="00505316"/>
    <w:rsid w:val="005059DB"/>
    <w:rsid w:val="00514AB1"/>
    <w:rsid w:val="00516F36"/>
    <w:rsid w:val="00520578"/>
    <w:rsid w:val="00521287"/>
    <w:rsid w:val="00521549"/>
    <w:rsid w:val="00521BE2"/>
    <w:rsid w:val="00523076"/>
    <w:rsid w:val="0052509F"/>
    <w:rsid w:val="00526409"/>
    <w:rsid w:val="00526FCD"/>
    <w:rsid w:val="00527178"/>
    <w:rsid w:val="00532CBE"/>
    <w:rsid w:val="00536228"/>
    <w:rsid w:val="00536E8E"/>
    <w:rsid w:val="00537EBB"/>
    <w:rsid w:val="00544B8F"/>
    <w:rsid w:val="0054637A"/>
    <w:rsid w:val="00555040"/>
    <w:rsid w:val="00562EF5"/>
    <w:rsid w:val="00564D9B"/>
    <w:rsid w:val="00571EBE"/>
    <w:rsid w:val="005813C7"/>
    <w:rsid w:val="00582B44"/>
    <w:rsid w:val="00583542"/>
    <w:rsid w:val="00587351"/>
    <w:rsid w:val="005911C7"/>
    <w:rsid w:val="00593346"/>
    <w:rsid w:val="00595599"/>
    <w:rsid w:val="00597BDC"/>
    <w:rsid w:val="005A0E57"/>
    <w:rsid w:val="005A1C4B"/>
    <w:rsid w:val="005A1E6F"/>
    <w:rsid w:val="005A2ABC"/>
    <w:rsid w:val="005A49A0"/>
    <w:rsid w:val="005B2CD7"/>
    <w:rsid w:val="005B6AF7"/>
    <w:rsid w:val="005B76AE"/>
    <w:rsid w:val="005C00AA"/>
    <w:rsid w:val="005C55CA"/>
    <w:rsid w:val="005D16E3"/>
    <w:rsid w:val="005D564D"/>
    <w:rsid w:val="005D5B4C"/>
    <w:rsid w:val="005D6CBD"/>
    <w:rsid w:val="005D7497"/>
    <w:rsid w:val="005E2F16"/>
    <w:rsid w:val="0060158E"/>
    <w:rsid w:val="00601C3F"/>
    <w:rsid w:val="00602363"/>
    <w:rsid w:val="00604D70"/>
    <w:rsid w:val="006243A0"/>
    <w:rsid w:val="00635525"/>
    <w:rsid w:val="00643ADC"/>
    <w:rsid w:val="00651AFA"/>
    <w:rsid w:val="00651D82"/>
    <w:rsid w:val="00656B73"/>
    <w:rsid w:val="00657293"/>
    <w:rsid w:val="00661E43"/>
    <w:rsid w:val="00672773"/>
    <w:rsid w:val="00673C64"/>
    <w:rsid w:val="006825F0"/>
    <w:rsid w:val="00685376"/>
    <w:rsid w:val="0068633F"/>
    <w:rsid w:val="00687053"/>
    <w:rsid w:val="00690F7D"/>
    <w:rsid w:val="00696B95"/>
    <w:rsid w:val="006A0FB4"/>
    <w:rsid w:val="006A3E44"/>
    <w:rsid w:val="006B0120"/>
    <w:rsid w:val="006C1D94"/>
    <w:rsid w:val="006C4551"/>
    <w:rsid w:val="006C6315"/>
    <w:rsid w:val="006C738A"/>
    <w:rsid w:val="006D17A9"/>
    <w:rsid w:val="006D3DD4"/>
    <w:rsid w:val="006D46C9"/>
    <w:rsid w:val="006D7C09"/>
    <w:rsid w:val="006D7CD9"/>
    <w:rsid w:val="006E66ED"/>
    <w:rsid w:val="006F0BAD"/>
    <w:rsid w:val="006F1E37"/>
    <w:rsid w:val="00700578"/>
    <w:rsid w:val="007060AA"/>
    <w:rsid w:val="00713D05"/>
    <w:rsid w:val="007167EF"/>
    <w:rsid w:val="007210BC"/>
    <w:rsid w:val="00725703"/>
    <w:rsid w:val="00726043"/>
    <w:rsid w:val="00727AC7"/>
    <w:rsid w:val="00731B34"/>
    <w:rsid w:val="007346DA"/>
    <w:rsid w:val="00736CC3"/>
    <w:rsid w:val="007425DC"/>
    <w:rsid w:val="007504CA"/>
    <w:rsid w:val="00754918"/>
    <w:rsid w:val="00754974"/>
    <w:rsid w:val="0076017A"/>
    <w:rsid w:val="007604BB"/>
    <w:rsid w:val="00765399"/>
    <w:rsid w:val="00765453"/>
    <w:rsid w:val="007707B2"/>
    <w:rsid w:val="007724B4"/>
    <w:rsid w:val="007777B9"/>
    <w:rsid w:val="007858B3"/>
    <w:rsid w:val="00786FA2"/>
    <w:rsid w:val="00791E7E"/>
    <w:rsid w:val="0079267D"/>
    <w:rsid w:val="0079334A"/>
    <w:rsid w:val="007959E1"/>
    <w:rsid w:val="007A0416"/>
    <w:rsid w:val="007A3880"/>
    <w:rsid w:val="007A75A6"/>
    <w:rsid w:val="007B38C6"/>
    <w:rsid w:val="007B6D8D"/>
    <w:rsid w:val="007C0C85"/>
    <w:rsid w:val="007C4267"/>
    <w:rsid w:val="007C4F0C"/>
    <w:rsid w:val="007C6B0B"/>
    <w:rsid w:val="007D032B"/>
    <w:rsid w:val="007D287E"/>
    <w:rsid w:val="007D2CBB"/>
    <w:rsid w:val="007D4A86"/>
    <w:rsid w:val="007E2B7D"/>
    <w:rsid w:val="007E3831"/>
    <w:rsid w:val="007F178B"/>
    <w:rsid w:val="007F183F"/>
    <w:rsid w:val="007F3E74"/>
    <w:rsid w:val="007F47F6"/>
    <w:rsid w:val="00801155"/>
    <w:rsid w:val="00803840"/>
    <w:rsid w:val="00805721"/>
    <w:rsid w:val="00805A3A"/>
    <w:rsid w:val="008073D2"/>
    <w:rsid w:val="00814A9D"/>
    <w:rsid w:val="00815455"/>
    <w:rsid w:val="0082385F"/>
    <w:rsid w:val="00827E58"/>
    <w:rsid w:val="0084138B"/>
    <w:rsid w:val="00842AB6"/>
    <w:rsid w:val="00851D57"/>
    <w:rsid w:val="00852BD8"/>
    <w:rsid w:val="0086224D"/>
    <w:rsid w:val="00863085"/>
    <w:rsid w:val="00865866"/>
    <w:rsid w:val="00866F0F"/>
    <w:rsid w:val="008675DA"/>
    <w:rsid w:val="008734CC"/>
    <w:rsid w:val="00873D05"/>
    <w:rsid w:val="008747D2"/>
    <w:rsid w:val="00874A25"/>
    <w:rsid w:val="00881DA4"/>
    <w:rsid w:val="00882535"/>
    <w:rsid w:val="00883B94"/>
    <w:rsid w:val="00890F6D"/>
    <w:rsid w:val="008927C4"/>
    <w:rsid w:val="0089391D"/>
    <w:rsid w:val="00895178"/>
    <w:rsid w:val="008A09EE"/>
    <w:rsid w:val="008A1E19"/>
    <w:rsid w:val="008B0F81"/>
    <w:rsid w:val="008B7CCC"/>
    <w:rsid w:val="008C080A"/>
    <w:rsid w:val="008C16C9"/>
    <w:rsid w:val="008C4975"/>
    <w:rsid w:val="008C599D"/>
    <w:rsid w:val="008C673D"/>
    <w:rsid w:val="008D26C3"/>
    <w:rsid w:val="008D3FA1"/>
    <w:rsid w:val="008D531A"/>
    <w:rsid w:val="008E65B6"/>
    <w:rsid w:val="008F2D39"/>
    <w:rsid w:val="008F3AAE"/>
    <w:rsid w:val="0091049A"/>
    <w:rsid w:val="009104AA"/>
    <w:rsid w:val="00911347"/>
    <w:rsid w:val="009128BA"/>
    <w:rsid w:val="00913070"/>
    <w:rsid w:val="0092240B"/>
    <w:rsid w:val="009342C5"/>
    <w:rsid w:val="009347DA"/>
    <w:rsid w:val="009419BB"/>
    <w:rsid w:val="00943BE7"/>
    <w:rsid w:val="00943E8F"/>
    <w:rsid w:val="0094735E"/>
    <w:rsid w:val="00956876"/>
    <w:rsid w:val="0096576F"/>
    <w:rsid w:val="00966F70"/>
    <w:rsid w:val="009678F4"/>
    <w:rsid w:val="00973581"/>
    <w:rsid w:val="00974144"/>
    <w:rsid w:val="00977CC7"/>
    <w:rsid w:val="00980D34"/>
    <w:rsid w:val="00982501"/>
    <w:rsid w:val="009827FB"/>
    <w:rsid w:val="00991F47"/>
    <w:rsid w:val="00992BCE"/>
    <w:rsid w:val="009A524B"/>
    <w:rsid w:val="009A69E7"/>
    <w:rsid w:val="009A6CE9"/>
    <w:rsid w:val="009B3891"/>
    <w:rsid w:val="009C36E9"/>
    <w:rsid w:val="009C7EC5"/>
    <w:rsid w:val="009D1CCC"/>
    <w:rsid w:val="009E5DCD"/>
    <w:rsid w:val="009F61F6"/>
    <w:rsid w:val="00A027AA"/>
    <w:rsid w:val="00A15C25"/>
    <w:rsid w:val="00A217AD"/>
    <w:rsid w:val="00A2408C"/>
    <w:rsid w:val="00A2538B"/>
    <w:rsid w:val="00A30410"/>
    <w:rsid w:val="00A4168A"/>
    <w:rsid w:val="00A46137"/>
    <w:rsid w:val="00A506AF"/>
    <w:rsid w:val="00A52D75"/>
    <w:rsid w:val="00A55087"/>
    <w:rsid w:val="00A56F3B"/>
    <w:rsid w:val="00A628BB"/>
    <w:rsid w:val="00A718CE"/>
    <w:rsid w:val="00A7328F"/>
    <w:rsid w:val="00A77BAA"/>
    <w:rsid w:val="00A81873"/>
    <w:rsid w:val="00A862CC"/>
    <w:rsid w:val="00A87819"/>
    <w:rsid w:val="00A95F3D"/>
    <w:rsid w:val="00A96FF7"/>
    <w:rsid w:val="00AB5E11"/>
    <w:rsid w:val="00AB5FC1"/>
    <w:rsid w:val="00AC2280"/>
    <w:rsid w:val="00AC2AB4"/>
    <w:rsid w:val="00AC479C"/>
    <w:rsid w:val="00AC594B"/>
    <w:rsid w:val="00AD2052"/>
    <w:rsid w:val="00AD3142"/>
    <w:rsid w:val="00AD370C"/>
    <w:rsid w:val="00AE3417"/>
    <w:rsid w:val="00AE3E1D"/>
    <w:rsid w:val="00AE401D"/>
    <w:rsid w:val="00AE7DF9"/>
    <w:rsid w:val="00AF4689"/>
    <w:rsid w:val="00AF5201"/>
    <w:rsid w:val="00AF699E"/>
    <w:rsid w:val="00B04F34"/>
    <w:rsid w:val="00B05DEC"/>
    <w:rsid w:val="00B06BFD"/>
    <w:rsid w:val="00B10BAF"/>
    <w:rsid w:val="00B1254D"/>
    <w:rsid w:val="00B1294D"/>
    <w:rsid w:val="00B15231"/>
    <w:rsid w:val="00B1785B"/>
    <w:rsid w:val="00B25074"/>
    <w:rsid w:val="00B27583"/>
    <w:rsid w:val="00B306A8"/>
    <w:rsid w:val="00B3155E"/>
    <w:rsid w:val="00B32531"/>
    <w:rsid w:val="00B346CB"/>
    <w:rsid w:val="00B3771F"/>
    <w:rsid w:val="00B42D12"/>
    <w:rsid w:val="00B468CE"/>
    <w:rsid w:val="00B475B8"/>
    <w:rsid w:val="00B5229E"/>
    <w:rsid w:val="00B539FF"/>
    <w:rsid w:val="00B61B41"/>
    <w:rsid w:val="00B7349D"/>
    <w:rsid w:val="00B73553"/>
    <w:rsid w:val="00B8324F"/>
    <w:rsid w:val="00B85DD8"/>
    <w:rsid w:val="00B921B3"/>
    <w:rsid w:val="00B926DE"/>
    <w:rsid w:val="00BA66FD"/>
    <w:rsid w:val="00BB031D"/>
    <w:rsid w:val="00BB1E81"/>
    <w:rsid w:val="00BB280F"/>
    <w:rsid w:val="00BB3C3E"/>
    <w:rsid w:val="00BB4159"/>
    <w:rsid w:val="00BB7490"/>
    <w:rsid w:val="00BC44DA"/>
    <w:rsid w:val="00BC58E3"/>
    <w:rsid w:val="00BD0EE9"/>
    <w:rsid w:val="00BD7928"/>
    <w:rsid w:val="00BE3452"/>
    <w:rsid w:val="00BE72A1"/>
    <w:rsid w:val="00BF06B2"/>
    <w:rsid w:val="00BF6554"/>
    <w:rsid w:val="00C0014D"/>
    <w:rsid w:val="00C034B2"/>
    <w:rsid w:val="00C0713C"/>
    <w:rsid w:val="00C120B9"/>
    <w:rsid w:val="00C13E9D"/>
    <w:rsid w:val="00C22D9D"/>
    <w:rsid w:val="00C257A6"/>
    <w:rsid w:val="00C25F84"/>
    <w:rsid w:val="00C2620C"/>
    <w:rsid w:val="00C263EB"/>
    <w:rsid w:val="00C27113"/>
    <w:rsid w:val="00C43464"/>
    <w:rsid w:val="00C45D3D"/>
    <w:rsid w:val="00C50D8B"/>
    <w:rsid w:val="00C50EB2"/>
    <w:rsid w:val="00C52197"/>
    <w:rsid w:val="00C57F4D"/>
    <w:rsid w:val="00C625F3"/>
    <w:rsid w:val="00C669D7"/>
    <w:rsid w:val="00C67E2C"/>
    <w:rsid w:val="00C701A1"/>
    <w:rsid w:val="00C748DD"/>
    <w:rsid w:val="00C92415"/>
    <w:rsid w:val="00C93430"/>
    <w:rsid w:val="00C9604A"/>
    <w:rsid w:val="00CA5824"/>
    <w:rsid w:val="00CA6899"/>
    <w:rsid w:val="00CB2B30"/>
    <w:rsid w:val="00CB56C0"/>
    <w:rsid w:val="00CC04E1"/>
    <w:rsid w:val="00CC0BEE"/>
    <w:rsid w:val="00CC701E"/>
    <w:rsid w:val="00CC7860"/>
    <w:rsid w:val="00CD2450"/>
    <w:rsid w:val="00CD6EF1"/>
    <w:rsid w:val="00CE2C42"/>
    <w:rsid w:val="00CE5529"/>
    <w:rsid w:val="00CE5BA8"/>
    <w:rsid w:val="00CE69FB"/>
    <w:rsid w:val="00CF4EA2"/>
    <w:rsid w:val="00CF64ED"/>
    <w:rsid w:val="00D032AA"/>
    <w:rsid w:val="00D05C49"/>
    <w:rsid w:val="00D104E7"/>
    <w:rsid w:val="00D11701"/>
    <w:rsid w:val="00D12E5D"/>
    <w:rsid w:val="00D15153"/>
    <w:rsid w:val="00D27331"/>
    <w:rsid w:val="00D33D92"/>
    <w:rsid w:val="00D37597"/>
    <w:rsid w:val="00D41865"/>
    <w:rsid w:val="00D41C30"/>
    <w:rsid w:val="00D461C7"/>
    <w:rsid w:val="00D47085"/>
    <w:rsid w:val="00D55B6B"/>
    <w:rsid w:val="00D56097"/>
    <w:rsid w:val="00D606A9"/>
    <w:rsid w:val="00D804FC"/>
    <w:rsid w:val="00D828FB"/>
    <w:rsid w:val="00D906DB"/>
    <w:rsid w:val="00D953FB"/>
    <w:rsid w:val="00DA19A8"/>
    <w:rsid w:val="00DA22FA"/>
    <w:rsid w:val="00DA44C4"/>
    <w:rsid w:val="00DB4969"/>
    <w:rsid w:val="00DB6F18"/>
    <w:rsid w:val="00DC0F6A"/>
    <w:rsid w:val="00DC2151"/>
    <w:rsid w:val="00DC350C"/>
    <w:rsid w:val="00DC76E7"/>
    <w:rsid w:val="00DD012B"/>
    <w:rsid w:val="00DD0F3B"/>
    <w:rsid w:val="00DE0C67"/>
    <w:rsid w:val="00DE5B06"/>
    <w:rsid w:val="00DE5F6E"/>
    <w:rsid w:val="00DF1209"/>
    <w:rsid w:val="00DF24E3"/>
    <w:rsid w:val="00DF2DB2"/>
    <w:rsid w:val="00DF76A2"/>
    <w:rsid w:val="00E03197"/>
    <w:rsid w:val="00E0506E"/>
    <w:rsid w:val="00E06B26"/>
    <w:rsid w:val="00E07473"/>
    <w:rsid w:val="00E17F72"/>
    <w:rsid w:val="00E31666"/>
    <w:rsid w:val="00E33B76"/>
    <w:rsid w:val="00E369EA"/>
    <w:rsid w:val="00E4113B"/>
    <w:rsid w:val="00E442BA"/>
    <w:rsid w:val="00E4723D"/>
    <w:rsid w:val="00E55395"/>
    <w:rsid w:val="00E5609F"/>
    <w:rsid w:val="00E57550"/>
    <w:rsid w:val="00E6252E"/>
    <w:rsid w:val="00E679E8"/>
    <w:rsid w:val="00E72403"/>
    <w:rsid w:val="00E731D4"/>
    <w:rsid w:val="00E74876"/>
    <w:rsid w:val="00E763C6"/>
    <w:rsid w:val="00E7734B"/>
    <w:rsid w:val="00E82B74"/>
    <w:rsid w:val="00E854E6"/>
    <w:rsid w:val="00E87008"/>
    <w:rsid w:val="00E91799"/>
    <w:rsid w:val="00E9224F"/>
    <w:rsid w:val="00E955A0"/>
    <w:rsid w:val="00EA1922"/>
    <w:rsid w:val="00EA4454"/>
    <w:rsid w:val="00EA56E3"/>
    <w:rsid w:val="00EB171D"/>
    <w:rsid w:val="00EB44BC"/>
    <w:rsid w:val="00EB4E02"/>
    <w:rsid w:val="00EB63CF"/>
    <w:rsid w:val="00EC58D4"/>
    <w:rsid w:val="00EC5C70"/>
    <w:rsid w:val="00ED05D5"/>
    <w:rsid w:val="00ED2235"/>
    <w:rsid w:val="00ED6AC4"/>
    <w:rsid w:val="00EE08E4"/>
    <w:rsid w:val="00EE2269"/>
    <w:rsid w:val="00EE358F"/>
    <w:rsid w:val="00EE5EA3"/>
    <w:rsid w:val="00EF708F"/>
    <w:rsid w:val="00F03477"/>
    <w:rsid w:val="00F05CA5"/>
    <w:rsid w:val="00F0740A"/>
    <w:rsid w:val="00F116A1"/>
    <w:rsid w:val="00F11C33"/>
    <w:rsid w:val="00F12869"/>
    <w:rsid w:val="00F16836"/>
    <w:rsid w:val="00F16AAC"/>
    <w:rsid w:val="00F22F23"/>
    <w:rsid w:val="00F263DC"/>
    <w:rsid w:val="00F270D1"/>
    <w:rsid w:val="00F278E7"/>
    <w:rsid w:val="00F317DF"/>
    <w:rsid w:val="00F322B4"/>
    <w:rsid w:val="00F32CC3"/>
    <w:rsid w:val="00F37DA3"/>
    <w:rsid w:val="00F406BF"/>
    <w:rsid w:val="00F45238"/>
    <w:rsid w:val="00F472C4"/>
    <w:rsid w:val="00F47CBA"/>
    <w:rsid w:val="00F50376"/>
    <w:rsid w:val="00F70B6E"/>
    <w:rsid w:val="00F8106E"/>
    <w:rsid w:val="00F81C19"/>
    <w:rsid w:val="00F86FB7"/>
    <w:rsid w:val="00F94F9B"/>
    <w:rsid w:val="00F96F2A"/>
    <w:rsid w:val="00FA19ED"/>
    <w:rsid w:val="00FA59E6"/>
    <w:rsid w:val="00FB2BAA"/>
    <w:rsid w:val="00FB5266"/>
    <w:rsid w:val="00FC1BD4"/>
    <w:rsid w:val="00FC6D02"/>
    <w:rsid w:val="00FE22B5"/>
    <w:rsid w:val="00FF16E4"/>
    <w:rsid w:val="00FF26CF"/>
    <w:rsid w:val="00FF6E47"/>
    <w:rsid w:val="016A4B3A"/>
    <w:rsid w:val="01776B0E"/>
    <w:rsid w:val="01DC2D6C"/>
    <w:rsid w:val="01F425E6"/>
    <w:rsid w:val="02C671EF"/>
    <w:rsid w:val="036F3F90"/>
    <w:rsid w:val="054A4287"/>
    <w:rsid w:val="057C24F9"/>
    <w:rsid w:val="05B51235"/>
    <w:rsid w:val="068F3712"/>
    <w:rsid w:val="07896009"/>
    <w:rsid w:val="07D60CA5"/>
    <w:rsid w:val="097A05BD"/>
    <w:rsid w:val="0B1D58ED"/>
    <w:rsid w:val="0B3D1543"/>
    <w:rsid w:val="0B90261B"/>
    <w:rsid w:val="11585D1B"/>
    <w:rsid w:val="11F34228"/>
    <w:rsid w:val="12406EF8"/>
    <w:rsid w:val="133C016F"/>
    <w:rsid w:val="137327C5"/>
    <w:rsid w:val="137E3045"/>
    <w:rsid w:val="13C576FF"/>
    <w:rsid w:val="14593607"/>
    <w:rsid w:val="14ED3819"/>
    <w:rsid w:val="15356163"/>
    <w:rsid w:val="15800741"/>
    <w:rsid w:val="162E20AE"/>
    <w:rsid w:val="168121C4"/>
    <w:rsid w:val="168746A1"/>
    <w:rsid w:val="17FA50A9"/>
    <w:rsid w:val="188A1F7B"/>
    <w:rsid w:val="19934DF8"/>
    <w:rsid w:val="1A824104"/>
    <w:rsid w:val="1C3E6F00"/>
    <w:rsid w:val="1D7644EC"/>
    <w:rsid w:val="1D7B35F6"/>
    <w:rsid w:val="1FC75FFB"/>
    <w:rsid w:val="204D5FEA"/>
    <w:rsid w:val="206562AB"/>
    <w:rsid w:val="20856E02"/>
    <w:rsid w:val="22690E5C"/>
    <w:rsid w:val="22726163"/>
    <w:rsid w:val="22CE674F"/>
    <w:rsid w:val="2378694D"/>
    <w:rsid w:val="238F4CDB"/>
    <w:rsid w:val="23977EAB"/>
    <w:rsid w:val="243523CB"/>
    <w:rsid w:val="2478187D"/>
    <w:rsid w:val="25300395"/>
    <w:rsid w:val="25822292"/>
    <w:rsid w:val="259455FA"/>
    <w:rsid w:val="26226081"/>
    <w:rsid w:val="27554102"/>
    <w:rsid w:val="27675221"/>
    <w:rsid w:val="27BD2DAD"/>
    <w:rsid w:val="27CC5A46"/>
    <w:rsid w:val="27EE01B0"/>
    <w:rsid w:val="28694820"/>
    <w:rsid w:val="28FC4D8F"/>
    <w:rsid w:val="29567CBD"/>
    <w:rsid w:val="2A0D6A9A"/>
    <w:rsid w:val="2A670385"/>
    <w:rsid w:val="2A673FD5"/>
    <w:rsid w:val="2C6E2F15"/>
    <w:rsid w:val="2D0D29A9"/>
    <w:rsid w:val="2ED7322E"/>
    <w:rsid w:val="2F475B9D"/>
    <w:rsid w:val="2FD40216"/>
    <w:rsid w:val="309951E9"/>
    <w:rsid w:val="30B26121"/>
    <w:rsid w:val="30E3277E"/>
    <w:rsid w:val="3157554A"/>
    <w:rsid w:val="31B77723"/>
    <w:rsid w:val="31E06B02"/>
    <w:rsid w:val="328F4D4B"/>
    <w:rsid w:val="32C6730D"/>
    <w:rsid w:val="343E5DCB"/>
    <w:rsid w:val="3466478F"/>
    <w:rsid w:val="35BA0F02"/>
    <w:rsid w:val="36277986"/>
    <w:rsid w:val="363F316A"/>
    <w:rsid w:val="364F707D"/>
    <w:rsid w:val="3716406C"/>
    <w:rsid w:val="3863485D"/>
    <w:rsid w:val="388842E5"/>
    <w:rsid w:val="38BB3F20"/>
    <w:rsid w:val="399D3F87"/>
    <w:rsid w:val="39B66CB3"/>
    <w:rsid w:val="39EF5B24"/>
    <w:rsid w:val="3AD60C5E"/>
    <w:rsid w:val="3B111AD0"/>
    <w:rsid w:val="3B266B0C"/>
    <w:rsid w:val="3B4F4281"/>
    <w:rsid w:val="3B5C280D"/>
    <w:rsid w:val="3B872438"/>
    <w:rsid w:val="3C362F39"/>
    <w:rsid w:val="3CC475E4"/>
    <w:rsid w:val="3CD3695C"/>
    <w:rsid w:val="3E52170B"/>
    <w:rsid w:val="3E7D2142"/>
    <w:rsid w:val="3E87325C"/>
    <w:rsid w:val="3F2463D9"/>
    <w:rsid w:val="3F485BAD"/>
    <w:rsid w:val="3FC13917"/>
    <w:rsid w:val="40652B9A"/>
    <w:rsid w:val="4093139F"/>
    <w:rsid w:val="419F0DC1"/>
    <w:rsid w:val="41A2625F"/>
    <w:rsid w:val="42F05BBE"/>
    <w:rsid w:val="42FC322C"/>
    <w:rsid w:val="438F4AAD"/>
    <w:rsid w:val="43CF6B92"/>
    <w:rsid w:val="43DD3039"/>
    <w:rsid w:val="454A2B90"/>
    <w:rsid w:val="45824F56"/>
    <w:rsid w:val="45ED50AE"/>
    <w:rsid w:val="467642F4"/>
    <w:rsid w:val="46DA5377"/>
    <w:rsid w:val="470C750D"/>
    <w:rsid w:val="4735655E"/>
    <w:rsid w:val="476C6247"/>
    <w:rsid w:val="480E642A"/>
    <w:rsid w:val="486F7E00"/>
    <w:rsid w:val="492E3E51"/>
    <w:rsid w:val="49971F00"/>
    <w:rsid w:val="49A61BB2"/>
    <w:rsid w:val="49B564C3"/>
    <w:rsid w:val="49B74350"/>
    <w:rsid w:val="4A206ADD"/>
    <w:rsid w:val="4A6776EF"/>
    <w:rsid w:val="4ADE75E4"/>
    <w:rsid w:val="4B276142"/>
    <w:rsid w:val="4C521AA9"/>
    <w:rsid w:val="4E474F0A"/>
    <w:rsid w:val="4E4E16AF"/>
    <w:rsid w:val="4EB60FAA"/>
    <w:rsid w:val="4EFD45B3"/>
    <w:rsid w:val="4FA9473B"/>
    <w:rsid w:val="500A51FA"/>
    <w:rsid w:val="504736F2"/>
    <w:rsid w:val="505F7CE7"/>
    <w:rsid w:val="50F67EE7"/>
    <w:rsid w:val="51820043"/>
    <w:rsid w:val="519B1EA6"/>
    <w:rsid w:val="51F44051"/>
    <w:rsid w:val="52641A17"/>
    <w:rsid w:val="53384E1F"/>
    <w:rsid w:val="53A145B2"/>
    <w:rsid w:val="53E85C8A"/>
    <w:rsid w:val="5577328A"/>
    <w:rsid w:val="55A41882"/>
    <w:rsid w:val="55B44E67"/>
    <w:rsid w:val="57A90FD4"/>
    <w:rsid w:val="587D55C8"/>
    <w:rsid w:val="596C7DBF"/>
    <w:rsid w:val="59A67059"/>
    <w:rsid w:val="5A811420"/>
    <w:rsid w:val="5ABB3F6B"/>
    <w:rsid w:val="5AC962C1"/>
    <w:rsid w:val="5AEF405A"/>
    <w:rsid w:val="5B8609F1"/>
    <w:rsid w:val="5C485A5B"/>
    <w:rsid w:val="5C6F4617"/>
    <w:rsid w:val="5CD92562"/>
    <w:rsid w:val="5DBC65F2"/>
    <w:rsid w:val="5E2F5753"/>
    <w:rsid w:val="5E5D0D8B"/>
    <w:rsid w:val="5EA64260"/>
    <w:rsid w:val="5F477DAD"/>
    <w:rsid w:val="5F6B7317"/>
    <w:rsid w:val="5F717CD2"/>
    <w:rsid w:val="5FF03396"/>
    <w:rsid w:val="62D858DA"/>
    <w:rsid w:val="63F56545"/>
    <w:rsid w:val="643B09D5"/>
    <w:rsid w:val="654407C7"/>
    <w:rsid w:val="65D05B6C"/>
    <w:rsid w:val="66CA2E55"/>
    <w:rsid w:val="66F422E8"/>
    <w:rsid w:val="67BF11A0"/>
    <w:rsid w:val="685755C8"/>
    <w:rsid w:val="68594D39"/>
    <w:rsid w:val="68EF2D67"/>
    <w:rsid w:val="692E7D33"/>
    <w:rsid w:val="69C42BC1"/>
    <w:rsid w:val="6A294057"/>
    <w:rsid w:val="6A6E5F0E"/>
    <w:rsid w:val="6A7B01D9"/>
    <w:rsid w:val="6BDA3257"/>
    <w:rsid w:val="6D5E3A41"/>
    <w:rsid w:val="6E2730CB"/>
    <w:rsid w:val="6E6164B5"/>
    <w:rsid w:val="707C0F66"/>
    <w:rsid w:val="71590A43"/>
    <w:rsid w:val="71816E6E"/>
    <w:rsid w:val="7182265A"/>
    <w:rsid w:val="72233A82"/>
    <w:rsid w:val="72402885"/>
    <w:rsid w:val="73AF1A71"/>
    <w:rsid w:val="742A69A8"/>
    <w:rsid w:val="74D57CB1"/>
    <w:rsid w:val="74D844E5"/>
    <w:rsid w:val="75381BD3"/>
    <w:rsid w:val="7572746A"/>
    <w:rsid w:val="768E6E3B"/>
    <w:rsid w:val="770B295E"/>
    <w:rsid w:val="78241D03"/>
    <w:rsid w:val="78F373A1"/>
    <w:rsid w:val="79992EB2"/>
    <w:rsid w:val="7A4B626B"/>
    <w:rsid w:val="7BD95379"/>
    <w:rsid w:val="7F427C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39" w:name="toc 2"/>
    <w:lsdException w:uiPriority="39" w:name="toc 3"/>
    <w:lsdException w:uiPriority="39" w:name="toc 4"/>
    <w:lsdException w:uiPriority="39" w:name="toc 5"/>
    <w:lsdException w:uiPriority="39" w:name="toc 6"/>
    <w:lsdException w:uiPriority="39" w:name="toc 7"/>
    <w:lsdException w:qFormat="1" w:uiPriority="39" w:name="toc 8"/>
    <w:lsdException w:qFormat="1" w:unhideWhenUsed="0" w:uiPriority="0"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35"/>
    <w:qFormat/>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semiHidden/>
    <w:unhideWhenUsed/>
    <w:qFormat/>
    <w:uiPriority w:val="9"/>
    <w:pPr>
      <w:spacing w:before="100" w:beforeAutospacing="1" w:after="100" w:afterAutospacing="1"/>
      <w:jc w:val="left"/>
      <w:outlineLvl w:val="1"/>
    </w:pPr>
    <w:rPr>
      <w:rFonts w:hint="eastAsia" w:ascii="宋体" w:hAnsi="宋体"/>
      <w:b/>
      <w:bCs/>
      <w:kern w:val="0"/>
      <w:sz w:val="36"/>
      <w:szCs w:val="36"/>
    </w:rPr>
  </w:style>
  <w:style w:type="paragraph" w:styleId="5">
    <w:name w:val="heading 3"/>
    <w:basedOn w:val="1"/>
    <w:next w:val="1"/>
    <w:unhideWhenUsed/>
    <w:qFormat/>
    <w:uiPriority w:val="9"/>
    <w:pPr>
      <w:keepNext/>
      <w:keepLines/>
      <w:numPr>
        <w:ilvl w:val="2"/>
        <w:numId w:val="1"/>
      </w:numPr>
      <w:ind w:firstLineChars="0"/>
      <w:jc w:val="left"/>
      <w:outlineLvl w:val="2"/>
    </w:pPr>
    <w:rPr>
      <w:b/>
      <w:sz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7"/>
    <w:qFormat/>
    <w:uiPriority w:val="0"/>
    <w:pPr>
      <w:widowControl/>
      <w:snapToGrid w:val="0"/>
      <w:spacing w:before="60" w:after="160" w:line="259" w:lineRule="auto"/>
      <w:ind w:right="113"/>
    </w:pPr>
    <w:rPr>
      <w:kern w:val="0"/>
      <w:sz w:val="18"/>
      <w:szCs w:val="20"/>
    </w:rPr>
  </w:style>
  <w:style w:type="paragraph" w:styleId="6">
    <w:name w:val="Normal Indent"/>
    <w:basedOn w:val="1"/>
    <w:qFormat/>
    <w:uiPriority w:val="99"/>
    <w:pPr>
      <w:ind w:firstLine="420"/>
    </w:pPr>
  </w:style>
  <w:style w:type="paragraph" w:styleId="7">
    <w:name w:val="caption"/>
    <w:basedOn w:val="1"/>
    <w:next w:val="1"/>
    <w:qFormat/>
    <w:uiPriority w:val="0"/>
    <w:pPr>
      <w:spacing w:line="240" w:lineRule="auto"/>
      <w:ind w:firstLine="0" w:firstLineChars="0"/>
      <w:jc w:val="center"/>
    </w:pPr>
    <w:rPr>
      <w:b/>
    </w:rPr>
  </w:style>
  <w:style w:type="paragraph" w:styleId="8">
    <w:name w:val="annotation text"/>
    <w:basedOn w:val="1"/>
    <w:link w:val="36"/>
    <w:qFormat/>
    <w:uiPriority w:val="0"/>
    <w:pPr>
      <w:jc w:val="left"/>
    </w:pPr>
    <w:rPr>
      <w:kern w:val="0"/>
      <w:szCs w:val="20"/>
    </w:rPr>
  </w:style>
  <w:style w:type="paragraph" w:styleId="9">
    <w:name w:val="Body Text Indent"/>
    <w:basedOn w:val="1"/>
    <w:next w:val="10"/>
    <w:link w:val="38"/>
    <w:qFormat/>
    <w:uiPriority w:val="0"/>
    <w:pPr>
      <w:spacing w:after="120"/>
      <w:ind w:left="420" w:leftChars="200"/>
    </w:pPr>
    <w:rPr>
      <w:kern w:val="0"/>
      <w:szCs w:val="20"/>
    </w:rPr>
  </w:style>
  <w:style w:type="paragraph" w:styleId="10">
    <w:name w:val="Body Text Indent 2"/>
    <w:basedOn w:val="1"/>
    <w:next w:val="2"/>
    <w:qFormat/>
    <w:uiPriority w:val="0"/>
    <w:pPr>
      <w:ind w:left="105" w:firstLine="465"/>
    </w:pPr>
    <w:rPr>
      <w:rFonts w:ascii="Times New Roman" w:hAnsi="Times New Roman"/>
      <w:kern w:val="0"/>
      <w:sz w:val="28"/>
      <w:szCs w:val="20"/>
    </w:rPr>
  </w:style>
  <w:style w:type="paragraph" w:styleId="11">
    <w:name w:val="toc 8"/>
    <w:basedOn w:val="1"/>
    <w:next w:val="1"/>
    <w:semiHidden/>
    <w:unhideWhenUsed/>
    <w:qFormat/>
    <w:uiPriority w:val="39"/>
    <w:pPr>
      <w:ind w:left="2940" w:leftChars="1400"/>
    </w:pPr>
  </w:style>
  <w:style w:type="paragraph" w:styleId="12">
    <w:name w:val="Date"/>
    <w:basedOn w:val="1"/>
    <w:next w:val="1"/>
    <w:link w:val="39"/>
    <w:qFormat/>
    <w:uiPriority w:val="0"/>
    <w:pPr>
      <w:ind w:left="100" w:leftChars="2500"/>
    </w:pPr>
    <w:rPr>
      <w:kern w:val="0"/>
      <w:szCs w:val="20"/>
    </w:rPr>
  </w:style>
  <w:style w:type="paragraph" w:styleId="13">
    <w:name w:val="Balloon Text"/>
    <w:basedOn w:val="1"/>
    <w:link w:val="40"/>
    <w:qFormat/>
    <w:uiPriority w:val="0"/>
    <w:rPr>
      <w:kern w:val="0"/>
      <w:sz w:val="18"/>
      <w:szCs w:val="20"/>
    </w:rPr>
  </w:style>
  <w:style w:type="paragraph" w:styleId="14">
    <w:name w:val="footer"/>
    <w:basedOn w:val="1"/>
    <w:link w:val="41"/>
    <w:qFormat/>
    <w:uiPriority w:val="99"/>
    <w:pPr>
      <w:tabs>
        <w:tab w:val="center" w:pos="4153"/>
        <w:tab w:val="right" w:pos="8306"/>
      </w:tabs>
      <w:snapToGrid w:val="0"/>
      <w:jc w:val="left"/>
    </w:pPr>
    <w:rPr>
      <w:kern w:val="0"/>
      <w:sz w:val="18"/>
      <w:szCs w:val="20"/>
    </w:rPr>
  </w:style>
  <w:style w:type="paragraph" w:styleId="15">
    <w:name w:val="header"/>
    <w:basedOn w:val="1"/>
    <w:link w:val="42"/>
    <w:qFormat/>
    <w:uiPriority w:val="99"/>
    <w:pPr>
      <w:pBdr>
        <w:bottom w:val="single" w:color="auto" w:sz="6" w:space="1"/>
      </w:pBdr>
      <w:tabs>
        <w:tab w:val="center" w:pos="4153"/>
        <w:tab w:val="right" w:pos="8306"/>
      </w:tabs>
      <w:snapToGrid w:val="0"/>
      <w:jc w:val="center"/>
    </w:pPr>
    <w:rPr>
      <w:kern w:val="0"/>
      <w:sz w:val="18"/>
      <w:szCs w:val="20"/>
    </w:rPr>
  </w:style>
  <w:style w:type="paragraph" w:styleId="16">
    <w:name w:val="toc 1"/>
    <w:basedOn w:val="1"/>
    <w:next w:val="1"/>
    <w:qFormat/>
    <w:uiPriority w:val="0"/>
  </w:style>
  <w:style w:type="paragraph" w:styleId="17">
    <w:name w:val="toc 2"/>
    <w:basedOn w:val="1"/>
    <w:next w:val="1"/>
    <w:semiHidden/>
    <w:unhideWhenUsed/>
    <w:qFormat/>
    <w:uiPriority w:val="39"/>
    <w:pPr>
      <w:ind w:left="420" w:leftChars="200"/>
    </w:pPr>
  </w:style>
  <w:style w:type="paragraph" w:styleId="18">
    <w:name w:val="toc 9"/>
    <w:basedOn w:val="1"/>
    <w:next w:val="1"/>
    <w:qFormat/>
    <w:uiPriority w:val="0"/>
    <w:pPr>
      <w:widowControl/>
      <w:wordWrap w:val="0"/>
      <w:ind w:left="2975"/>
    </w:pPr>
    <w:rPr>
      <w:sz w:val="21"/>
      <w:szCs w:val="22"/>
    </w:rPr>
  </w:style>
  <w:style w:type="paragraph" w:styleId="19">
    <w:name w:val="Normal (Web)"/>
    <w:basedOn w:val="1"/>
    <w:link w:val="43"/>
    <w:qFormat/>
    <w:uiPriority w:val="99"/>
    <w:pPr>
      <w:widowControl/>
      <w:spacing w:before="100" w:beforeAutospacing="1" w:after="100" w:afterAutospacing="1"/>
      <w:jc w:val="left"/>
    </w:pPr>
    <w:rPr>
      <w:rFonts w:ascii="宋体" w:hAnsi="宋体"/>
      <w:kern w:val="0"/>
      <w:szCs w:val="20"/>
    </w:rPr>
  </w:style>
  <w:style w:type="paragraph" w:styleId="20">
    <w:name w:val="Title"/>
    <w:basedOn w:val="1"/>
    <w:next w:val="1"/>
    <w:link w:val="50"/>
    <w:qFormat/>
    <w:uiPriority w:val="10"/>
    <w:pPr>
      <w:spacing w:before="240" w:after="60"/>
      <w:jc w:val="center"/>
      <w:outlineLvl w:val="0"/>
    </w:pPr>
    <w:rPr>
      <w:rFonts w:ascii="Cambria" w:hAnsi="Cambria" w:cs="宋体"/>
      <w:b/>
      <w:bCs/>
      <w:sz w:val="32"/>
      <w:szCs w:val="32"/>
    </w:rPr>
  </w:style>
  <w:style w:type="paragraph" w:styleId="21">
    <w:name w:val="annotation subject"/>
    <w:basedOn w:val="8"/>
    <w:next w:val="8"/>
    <w:link w:val="44"/>
    <w:qFormat/>
    <w:uiPriority w:val="0"/>
    <w:rPr>
      <w:b/>
    </w:rPr>
  </w:style>
  <w:style w:type="paragraph" w:styleId="22">
    <w:name w:val="Body Text First Indent"/>
    <w:basedOn w:val="2"/>
    <w:qFormat/>
    <w:uiPriority w:val="0"/>
    <w:pPr>
      <w:ind w:firstLine="420" w:firstLineChars="100"/>
    </w:pPr>
  </w:style>
  <w:style w:type="paragraph" w:styleId="23">
    <w:name w:val="Body Text First Indent 2"/>
    <w:basedOn w:val="9"/>
    <w:qFormat/>
    <w:uiPriority w:val="99"/>
    <w:pPr>
      <w:ind w:firstLine="420"/>
    </w:pPr>
    <w:rPr>
      <w:rFonts w:ascii="Calibri" w:hAnsi="Calibri"/>
      <w:sz w:val="21"/>
      <w:szCs w:val="22"/>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character" w:styleId="28">
    <w:name w:val="page number"/>
    <w:basedOn w:val="26"/>
    <w:qFormat/>
    <w:uiPriority w:val="0"/>
  </w:style>
  <w:style w:type="character" w:styleId="29">
    <w:name w:val="Hyperlink"/>
    <w:basedOn w:val="26"/>
    <w:qFormat/>
    <w:uiPriority w:val="0"/>
    <w:rPr>
      <w:color w:val="0000FF"/>
      <w:u w:val="single"/>
    </w:rPr>
  </w:style>
  <w:style w:type="character" w:styleId="30">
    <w:name w:val="annotation reference"/>
    <w:qFormat/>
    <w:uiPriority w:val="0"/>
    <w:rPr>
      <w:sz w:val="21"/>
    </w:rPr>
  </w:style>
  <w:style w:type="paragraph" w:customStyle="1" w:styleId="31">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32">
    <w:name w:val="样式 样式 样式 样式 小四 左 首行缩进:  2 字符 + 首行缩进:  2 字符 Char + 右  0 字符1 + 首行缩...3"/>
    <w:basedOn w:val="1"/>
    <w:qFormat/>
    <w:uiPriority w:val="0"/>
    <w:pPr>
      <w:adjustRightInd w:val="0"/>
      <w:spacing w:line="360" w:lineRule="auto"/>
      <w:ind w:firstLine="480" w:firstLineChars="200"/>
      <w:jc w:val="left"/>
      <w:textAlignment w:val="baseline"/>
    </w:pPr>
    <w:rPr>
      <w:rFonts w:cs="宋体"/>
      <w:sz w:val="24"/>
      <w:szCs w:val="20"/>
    </w:rPr>
  </w:style>
  <w:style w:type="paragraph" w:customStyle="1" w:styleId="33">
    <w:name w:val="Default"/>
    <w:basedOn w:val="34"/>
    <w:qFormat/>
    <w:uiPriority w:val="0"/>
    <w:pPr>
      <w:widowControl w:val="0"/>
      <w:autoSpaceDE w:val="0"/>
      <w:autoSpaceDN w:val="0"/>
      <w:adjustRightInd w:val="0"/>
    </w:pPr>
    <w:rPr>
      <w:rFonts w:ascii="幼圆" w:hAnsi="Times New Roman" w:eastAsia="幼圆" w:cs="幼圆"/>
      <w:color w:val="000000"/>
      <w:sz w:val="24"/>
      <w:szCs w:val="24"/>
      <w:lang w:val="en-US" w:eastAsia="zh-CN" w:bidi="ar-SA"/>
    </w:rPr>
  </w:style>
  <w:style w:type="paragraph" w:customStyle="1" w:styleId="34">
    <w:name w:val="纯文本1"/>
    <w:basedOn w:val="1"/>
    <w:qFormat/>
    <w:uiPriority w:val="0"/>
    <w:rPr>
      <w:rFonts w:ascii="宋体" w:hAnsi="Courier New"/>
      <w:szCs w:val="20"/>
    </w:rPr>
  </w:style>
  <w:style w:type="character" w:customStyle="1" w:styleId="35">
    <w:name w:val="标题 1 字符"/>
    <w:link w:val="3"/>
    <w:qFormat/>
    <w:uiPriority w:val="99"/>
    <w:rPr>
      <w:rFonts w:eastAsia="黑体"/>
      <w:b/>
      <w:bCs/>
      <w:color w:val="000000"/>
      <w:kern w:val="44"/>
      <w:sz w:val="30"/>
      <w:szCs w:val="30"/>
    </w:rPr>
  </w:style>
  <w:style w:type="character" w:customStyle="1" w:styleId="36">
    <w:name w:val="批注文字 字符"/>
    <w:link w:val="8"/>
    <w:qFormat/>
    <w:uiPriority w:val="0"/>
    <w:rPr>
      <w:rFonts w:ascii="Times New Roman" w:hAnsi="Times New Roman" w:eastAsia="宋体"/>
      <w:sz w:val="24"/>
    </w:rPr>
  </w:style>
  <w:style w:type="character" w:customStyle="1" w:styleId="37">
    <w:name w:val="正文文本 字符"/>
    <w:link w:val="2"/>
    <w:qFormat/>
    <w:uiPriority w:val="0"/>
    <w:rPr>
      <w:sz w:val="18"/>
    </w:rPr>
  </w:style>
  <w:style w:type="character" w:customStyle="1" w:styleId="38">
    <w:name w:val="正文文本缩进 字符"/>
    <w:link w:val="9"/>
    <w:qFormat/>
    <w:uiPriority w:val="0"/>
    <w:rPr>
      <w:rFonts w:ascii="Times New Roman" w:hAnsi="Times New Roman" w:eastAsia="宋体"/>
      <w:sz w:val="24"/>
    </w:rPr>
  </w:style>
  <w:style w:type="character" w:customStyle="1" w:styleId="39">
    <w:name w:val="日期 字符"/>
    <w:link w:val="12"/>
    <w:qFormat/>
    <w:uiPriority w:val="0"/>
    <w:rPr>
      <w:rFonts w:ascii="Times New Roman" w:hAnsi="Times New Roman" w:eastAsia="宋体"/>
      <w:sz w:val="24"/>
    </w:rPr>
  </w:style>
  <w:style w:type="character" w:customStyle="1" w:styleId="40">
    <w:name w:val="批注框文本 字符"/>
    <w:link w:val="13"/>
    <w:qFormat/>
    <w:uiPriority w:val="0"/>
    <w:rPr>
      <w:rFonts w:ascii="Times New Roman" w:hAnsi="Times New Roman" w:eastAsia="宋体"/>
      <w:sz w:val="18"/>
    </w:rPr>
  </w:style>
  <w:style w:type="character" w:customStyle="1" w:styleId="41">
    <w:name w:val="页脚 字符"/>
    <w:link w:val="14"/>
    <w:qFormat/>
    <w:uiPriority w:val="99"/>
    <w:rPr>
      <w:sz w:val="18"/>
    </w:rPr>
  </w:style>
  <w:style w:type="character" w:customStyle="1" w:styleId="42">
    <w:name w:val="页眉 字符"/>
    <w:link w:val="15"/>
    <w:qFormat/>
    <w:uiPriority w:val="99"/>
    <w:rPr>
      <w:sz w:val="18"/>
    </w:rPr>
  </w:style>
  <w:style w:type="character" w:customStyle="1" w:styleId="43">
    <w:name w:val="普通(网站) 字符"/>
    <w:link w:val="19"/>
    <w:qFormat/>
    <w:uiPriority w:val="0"/>
    <w:rPr>
      <w:rFonts w:ascii="宋体" w:hAnsi="宋体" w:eastAsia="宋体"/>
      <w:sz w:val="24"/>
    </w:rPr>
  </w:style>
  <w:style w:type="character" w:customStyle="1" w:styleId="44">
    <w:name w:val="批注主题 字符"/>
    <w:link w:val="21"/>
    <w:qFormat/>
    <w:uiPriority w:val="0"/>
    <w:rPr>
      <w:rFonts w:ascii="Times New Roman" w:hAnsi="Times New Roman" w:eastAsia="宋体"/>
      <w:b/>
      <w:kern w:val="2"/>
      <w:sz w:val="24"/>
    </w:rPr>
  </w:style>
  <w:style w:type="paragraph" w:customStyle="1" w:styleId="45">
    <w:name w:val="表头"/>
    <w:basedOn w:val="1"/>
    <w:next w:val="1"/>
    <w:link w:val="46"/>
    <w:qFormat/>
    <w:uiPriority w:val="0"/>
    <w:pPr>
      <w:keepNext/>
      <w:keepLines/>
      <w:tabs>
        <w:tab w:val="left" w:pos="420"/>
      </w:tabs>
      <w:spacing w:line="240" w:lineRule="auto"/>
      <w:ind w:firstLine="0"/>
      <w:jc w:val="center"/>
      <w:outlineLvl w:val="2"/>
    </w:pPr>
    <w:rPr>
      <w:b/>
    </w:rPr>
  </w:style>
  <w:style w:type="character" w:customStyle="1" w:styleId="46">
    <w:name w:val="表头 Char"/>
    <w:link w:val="45"/>
    <w:qFormat/>
    <w:uiPriority w:val="0"/>
    <w:rPr>
      <w:b/>
      <w:kern w:val="2"/>
      <w:sz w:val="24"/>
      <w:szCs w:val="24"/>
    </w:rPr>
  </w:style>
  <w:style w:type="paragraph" w:customStyle="1" w:styleId="47">
    <w:name w:val="标准正文"/>
    <w:basedOn w:val="1"/>
    <w:link w:val="69"/>
    <w:qFormat/>
    <w:uiPriority w:val="0"/>
    <w:pPr>
      <w:spacing w:line="240" w:lineRule="auto"/>
      <w:ind w:firstLine="0" w:firstLineChars="0"/>
      <w:jc w:val="center"/>
    </w:pPr>
    <w:rPr>
      <w:sz w:val="21"/>
      <w:szCs w:val="28"/>
    </w:rPr>
  </w:style>
  <w:style w:type="paragraph" w:customStyle="1" w:styleId="48">
    <w:name w:val="表格"/>
    <w:link w:val="49"/>
    <w:qFormat/>
    <w:uiPriority w:val="0"/>
    <w:pPr>
      <w:jc w:val="center"/>
    </w:pPr>
    <w:rPr>
      <w:rFonts w:ascii="Times New Roman" w:hAnsi="Times New Roman" w:eastAsia="宋体" w:cs="Times New Roman"/>
      <w:sz w:val="21"/>
      <w:lang w:val="en-US" w:eastAsia="zh-CN" w:bidi="ar-SA"/>
    </w:rPr>
  </w:style>
  <w:style w:type="character" w:customStyle="1" w:styleId="49">
    <w:name w:val="表格 Char"/>
    <w:link w:val="48"/>
    <w:qFormat/>
    <w:uiPriority w:val="0"/>
    <w:rPr>
      <w:rFonts w:ascii="Times New Roman" w:hAnsi="Times New Roman" w:eastAsia="宋体" w:cs="Times New Roman"/>
      <w:sz w:val="21"/>
      <w:lang w:val="en-US" w:eastAsia="zh-CN" w:bidi="ar-SA"/>
    </w:rPr>
  </w:style>
  <w:style w:type="character" w:customStyle="1" w:styleId="50">
    <w:name w:val="标题 字符"/>
    <w:basedOn w:val="26"/>
    <w:link w:val="20"/>
    <w:qFormat/>
    <w:uiPriority w:val="0"/>
    <w:rPr>
      <w:rFonts w:ascii="Cambria" w:hAnsi="Cambria" w:eastAsia="宋体" w:cs="宋体"/>
      <w:b/>
      <w:bCs/>
      <w:kern w:val="2"/>
      <w:sz w:val="32"/>
      <w:szCs w:val="32"/>
    </w:rPr>
  </w:style>
  <w:style w:type="character" w:customStyle="1" w:styleId="51">
    <w:name w:val="font61"/>
    <w:basedOn w:val="26"/>
    <w:qFormat/>
    <w:uiPriority w:val="0"/>
    <w:rPr>
      <w:rFonts w:hint="eastAsia" w:ascii="宋体" w:hAnsi="宋体" w:eastAsia="宋体"/>
      <w:color w:val="000000"/>
      <w:sz w:val="22"/>
      <w:szCs w:val="22"/>
      <w:u w:val="none"/>
    </w:rPr>
  </w:style>
  <w:style w:type="character" w:customStyle="1" w:styleId="52">
    <w:name w:val="font71"/>
    <w:basedOn w:val="26"/>
    <w:qFormat/>
    <w:uiPriority w:val="0"/>
    <w:rPr>
      <w:rFonts w:hint="eastAsia" w:ascii="宋体" w:hAnsi="宋体" w:eastAsia="宋体"/>
      <w:color w:val="000000"/>
      <w:sz w:val="20"/>
      <w:szCs w:val="20"/>
      <w:u w:val="none"/>
    </w:rPr>
  </w:style>
  <w:style w:type="character" w:customStyle="1" w:styleId="53">
    <w:name w:val="font81"/>
    <w:basedOn w:val="26"/>
    <w:qFormat/>
    <w:uiPriority w:val="0"/>
    <w:rPr>
      <w:rFonts w:hint="eastAsia" w:ascii="宋体" w:hAnsi="宋体" w:eastAsia="宋体"/>
      <w:color w:val="FF0000"/>
      <w:sz w:val="20"/>
      <w:szCs w:val="20"/>
      <w:u w:val="none"/>
    </w:rPr>
  </w:style>
  <w:style w:type="character" w:customStyle="1" w:styleId="54">
    <w:name w:val="font31"/>
    <w:basedOn w:val="26"/>
    <w:qFormat/>
    <w:uiPriority w:val="0"/>
    <w:rPr>
      <w:rFonts w:hint="default" w:ascii="Times New Roman" w:hAnsi="Times New Roman" w:cs="Times New Roman"/>
      <w:color w:val="000000"/>
      <w:sz w:val="20"/>
      <w:szCs w:val="20"/>
      <w:u w:val="none"/>
    </w:rPr>
  </w:style>
  <w:style w:type="character" w:customStyle="1" w:styleId="55">
    <w:name w:val="font91"/>
    <w:basedOn w:val="26"/>
    <w:qFormat/>
    <w:uiPriority w:val="0"/>
    <w:rPr>
      <w:rFonts w:hint="default" w:ascii="Times New Roman" w:hAnsi="Times New Roman" w:cs="Times New Roman"/>
      <w:color w:val="000000"/>
      <w:sz w:val="20"/>
      <w:szCs w:val="20"/>
      <w:u w:val="none"/>
      <w:vertAlign w:val="superscript"/>
    </w:rPr>
  </w:style>
  <w:style w:type="character" w:customStyle="1" w:styleId="56">
    <w:name w:val="font21"/>
    <w:basedOn w:val="26"/>
    <w:qFormat/>
    <w:uiPriority w:val="0"/>
    <w:rPr>
      <w:rFonts w:hint="default" w:ascii="Times New Roman" w:hAnsi="Times New Roman" w:cs="Times New Roman"/>
      <w:color w:val="000000"/>
      <w:sz w:val="22"/>
      <w:szCs w:val="22"/>
      <w:u w:val="none"/>
    </w:rPr>
  </w:style>
  <w:style w:type="paragraph" w:styleId="57">
    <w:name w:val="List Paragraph"/>
    <w:basedOn w:val="1"/>
    <w:qFormat/>
    <w:uiPriority w:val="99"/>
    <w:pPr>
      <w:ind w:firstLine="420"/>
    </w:pPr>
  </w:style>
  <w:style w:type="paragraph" w:customStyle="1" w:styleId="58">
    <w:name w:val="段落(G)"/>
    <w:basedOn w:val="1"/>
    <w:qFormat/>
    <w:uiPriority w:val="0"/>
    <w:pPr>
      <w:tabs>
        <w:tab w:val="left" w:pos="1320"/>
      </w:tabs>
      <w:ind w:firstLine="200"/>
    </w:pPr>
    <w:rPr>
      <w:rFonts w:ascii="Arial" w:hAnsi="Arial"/>
      <w:color w:val="000000"/>
      <w:kern w:val="24"/>
      <w:lang w:val="zh-CN"/>
    </w:rPr>
  </w:style>
  <w:style w:type="paragraph" w:customStyle="1" w:styleId="59">
    <w:name w:val="lh-表题--报告表"/>
    <w:basedOn w:val="1"/>
    <w:qFormat/>
    <w:uiPriority w:val="0"/>
    <w:pPr>
      <w:keepNext/>
      <w:widowControl/>
      <w:numPr>
        <w:ilvl w:val="0"/>
        <w:numId w:val="2"/>
      </w:numPr>
      <w:spacing w:before="156" w:beforeLines="50"/>
      <w:ind w:left="0" w:firstLine="0"/>
      <w:jc w:val="center"/>
    </w:pPr>
    <w:rPr>
      <w:snapToGrid w:val="0"/>
      <w:kern w:val="0"/>
      <w:szCs w:val="21"/>
    </w:rPr>
  </w:style>
  <w:style w:type="paragraph" w:customStyle="1" w:styleId="60">
    <w:name w:val="lh-表格文字-报告表"/>
    <w:qFormat/>
    <w:uiPriority w:val="0"/>
    <w:pPr>
      <w:jc w:val="center"/>
    </w:pPr>
    <w:rPr>
      <w:rFonts w:ascii="Times New Roman" w:hAnsi="Times New Roman" w:eastAsia="宋体" w:cs="Times New Roman"/>
      <w:snapToGrid w:val="0"/>
      <w:sz w:val="21"/>
      <w:szCs w:val="24"/>
      <w:lang w:val="en-US" w:eastAsia="zh-CN" w:bidi="ar-SA"/>
    </w:rPr>
  </w:style>
  <w:style w:type="table" w:customStyle="1" w:styleId="61">
    <w:name w:val="Table Normal"/>
    <w:semiHidden/>
    <w:unhideWhenUsed/>
    <w:qFormat/>
    <w:uiPriority w:val="0"/>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62">
    <w:name w:val="Table Paragraph"/>
    <w:basedOn w:val="1"/>
    <w:qFormat/>
    <w:uiPriority w:val="1"/>
    <w:pPr>
      <w:autoSpaceDE w:val="0"/>
      <w:autoSpaceDN w:val="0"/>
      <w:spacing w:line="240" w:lineRule="auto"/>
      <w:ind w:firstLine="0" w:firstLineChars="0"/>
      <w:jc w:val="center"/>
    </w:pPr>
    <w:rPr>
      <w:rFonts w:ascii="宋体" w:hAnsi="宋体" w:cs="宋体"/>
      <w:kern w:val="0"/>
      <w:sz w:val="22"/>
      <w:szCs w:val="22"/>
    </w:rPr>
  </w:style>
  <w:style w:type="paragraph" w:customStyle="1" w:styleId="63">
    <w:name w:val="7表格文字"/>
    <w:basedOn w:val="1"/>
    <w:link w:val="64"/>
    <w:qFormat/>
    <w:uiPriority w:val="0"/>
    <w:pPr>
      <w:spacing w:line="240" w:lineRule="auto"/>
      <w:ind w:firstLine="0" w:firstLineChars="0"/>
      <w:jc w:val="center"/>
    </w:pPr>
    <w:rPr>
      <w:sz w:val="21"/>
    </w:rPr>
  </w:style>
  <w:style w:type="character" w:customStyle="1" w:styleId="64">
    <w:name w:val="7表格文字 Char"/>
    <w:link w:val="63"/>
    <w:qFormat/>
    <w:uiPriority w:val="0"/>
    <w:rPr>
      <w:kern w:val="2"/>
      <w:sz w:val="21"/>
      <w:szCs w:val="24"/>
    </w:rPr>
  </w:style>
  <w:style w:type="character" w:customStyle="1" w:styleId="65">
    <w:name w:val="正文文本缩进 字符2"/>
    <w:semiHidden/>
    <w:qFormat/>
    <w:uiPriority w:val="99"/>
    <w:rPr>
      <w:rFonts w:ascii="仿宋" w:hAnsi="仿宋" w:eastAsia="仿宋" w:cs="Times New Roman"/>
      <w:szCs w:val="21"/>
    </w:rPr>
  </w:style>
  <w:style w:type="paragraph" w:customStyle="1" w:styleId="66">
    <w:name w:val="（正文）"/>
    <w:basedOn w:val="1"/>
    <w:qFormat/>
    <w:uiPriority w:val="0"/>
    <w:pPr>
      <w:spacing w:line="240" w:lineRule="auto"/>
      <w:ind w:firstLine="200"/>
    </w:pPr>
    <w:rPr>
      <w:rFonts w:eastAsia="仿宋"/>
      <w:sz w:val="21"/>
      <w:szCs w:val="20"/>
    </w:rPr>
  </w:style>
  <w:style w:type="paragraph" w:customStyle="1" w:styleId="67">
    <w:name w:val="表格文字2"/>
    <w:basedOn w:val="1"/>
    <w:qFormat/>
    <w:uiPriority w:val="0"/>
    <w:pPr>
      <w:tabs>
        <w:tab w:val="left" w:pos="277"/>
        <w:tab w:val="left" w:pos="600"/>
        <w:tab w:val="left" w:pos="780"/>
        <w:tab w:val="left" w:pos="2517"/>
      </w:tabs>
      <w:adjustRightInd w:val="0"/>
      <w:spacing w:line="240" w:lineRule="auto"/>
      <w:ind w:firstLine="0" w:firstLineChars="0"/>
      <w:jc w:val="center"/>
      <w:textAlignment w:val="baseline"/>
    </w:pPr>
    <w:rPr>
      <w:rFonts w:ascii="宋体" w:hAnsi="宋体"/>
      <w:kern w:val="0"/>
      <w:sz w:val="21"/>
      <w:szCs w:val="20"/>
    </w:rPr>
  </w:style>
  <w:style w:type="paragraph" w:customStyle="1" w:styleId="68">
    <w:name w:val="_Style 1"/>
    <w:basedOn w:val="1"/>
    <w:next w:val="1"/>
    <w:qFormat/>
    <w:uiPriority w:val="0"/>
    <w:pPr>
      <w:spacing w:line="240" w:lineRule="auto"/>
      <w:ind w:firstLine="420"/>
    </w:pPr>
    <w:rPr>
      <w:rFonts w:ascii="Calibri" w:hAnsi="Calibri"/>
      <w:sz w:val="21"/>
      <w:szCs w:val="22"/>
    </w:rPr>
  </w:style>
  <w:style w:type="character" w:customStyle="1" w:styleId="69">
    <w:name w:val="标准正文 Char"/>
    <w:link w:val="47"/>
    <w:qFormat/>
    <w:locked/>
    <w:uiPriority w:val="0"/>
    <w:rPr>
      <w:kern w:val="2"/>
      <w:sz w:val="21"/>
      <w:szCs w:val="28"/>
    </w:rPr>
  </w:style>
  <w:style w:type="paragraph" w:customStyle="1" w:styleId="70">
    <w:name w:val="样式1"/>
    <w:basedOn w:val="1"/>
    <w:qFormat/>
    <w:uiPriority w:val="0"/>
    <w:pPr>
      <w:ind w:firstLine="567" w:firstLineChars="0"/>
    </w:pPr>
    <w:rPr>
      <w:szCs w:val="20"/>
    </w:rPr>
  </w:style>
  <w:style w:type="paragraph" w:customStyle="1" w:styleId="71">
    <w:name w:val="4正文"/>
    <w:basedOn w:val="1"/>
    <w:qFormat/>
    <w:uiPriority w:val="0"/>
    <w:pPr>
      <w:ind w:firstLine="480"/>
    </w:pPr>
    <w:rPr>
      <w:rFonts w:cs="宋体"/>
      <w:szCs w:val="20"/>
    </w:rPr>
  </w:style>
  <w:style w:type="character" w:customStyle="1" w:styleId="72">
    <w:name w:val="font41"/>
    <w:basedOn w:val="26"/>
    <w:qFormat/>
    <w:uiPriority w:val="0"/>
    <w:rPr>
      <w:rFonts w:hint="default" w:ascii="Times New Roman" w:hAnsi="Times New Roman" w:cs="Times New Roman"/>
      <w:color w:val="000000"/>
      <w:sz w:val="20"/>
      <w:szCs w:val="20"/>
      <w:u w:val="none"/>
    </w:rPr>
  </w:style>
  <w:style w:type="character" w:customStyle="1" w:styleId="73">
    <w:name w:val="font51"/>
    <w:basedOn w:val="26"/>
    <w:qFormat/>
    <w:uiPriority w:val="0"/>
    <w:rPr>
      <w:rFonts w:hint="eastAsia" w:ascii="宋体" w:hAnsi="宋体" w:eastAsia="宋体"/>
      <w:color w:val="000000"/>
      <w:sz w:val="28"/>
      <w:szCs w:val="28"/>
      <w:u w:val="none"/>
    </w:rPr>
  </w:style>
  <w:style w:type="paragraph" w:customStyle="1" w:styleId="74">
    <w:name w:val="Table Text"/>
    <w:basedOn w:val="1"/>
    <w:semiHidden/>
    <w:qFormat/>
    <w:uiPriority w:val="0"/>
    <w:pPr>
      <w:widowControl/>
      <w:kinsoku w:val="0"/>
      <w:autoSpaceDE w:val="0"/>
      <w:autoSpaceDN w:val="0"/>
      <w:adjustRightInd w:val="0"/>
      <w:snapToGrid w:val="0"/>
      <w:spacing w:line="240" w:lineRule="auto"/>
      <w:ind w:firstLine="0" w:firstLineChars="0"/>
      <w:jc w:val="left"/>
      <w:textAlignment w:val="baseline"/>
    </w:pPr>
    <w:rPr>
      <w:rFonts w:ascii="宋体" w:hAnsi="宋体" w:cs="宋体"/>
      <w:snapToGrid w:val="0"/>
      <w:color w:val="000000"/>
      <w:kern w:val="0"/>
      <w:sz w:val="20"/>
      <w:szCs w:val="20"/>
      <w:lang w:eastAsia="en-US"/>
    </w:rPr>
  </w:style>
  <w:style w:type="paragraph" w:customStyle="1" w:styleId="75">
    <w:name w:val="样式 样式 首行缩进:  2 字符 + 首行缩进:  2 字符"/>
    <w:basedOn w:val="1"/>
    <w:next w:val="16"/>
    <w:qFormat/>
    <w:uiPriority w:val="0"/>
    <w:pPr>
      <w:snapToGrid w:val="0"/>
      <w:spacing w:line="360" w:lineRule="auto"/>
      <w:ind w:firstLine="560" w:firstLineChars="200"/>
    </w:pPr>
    <w:rPr>
      <w:spacing w:val="0"/>
      <w:sz w:val="28"/>
    </w:rPr>
  </w:style>
  <w:style w:type="paragraph" w:customStyle="1" w:styleId="76">
    <w:name w:val="A-正文"/>
    <w:basedOn w:val="1"/>
    <w:qFormat/>
    <w:uiPriority w:val="0"/>
    <w:pPr>
      <w:spacing w:line="480" w:lineRule="exact"/>
      <w:ind w:firstLine="480"/>
    </w:pPr>
    <w:rPr>
      <w:szCs w:val="24"/>
    </w:rPr>
  </w:style>
  <w:style w:type="paragraph" w:customStyle="1" w:styleId="77">
    <w:name w:val="B-表头"/>
    <w:basedOn w:val="1"/>
    <w:qFormat/>
    <w:uiPriority w:val="0"/>
    <w:pPr>
      <w:adjustRightInd w:val="0"/>
      <w:snapToGrid w:val="0"/>
      <w:spacing w:before="25" w:beforeLines="25" w:line="300" w:lineRule="auto"/>
      <w:jc w:val="center"/>
    </w:pPr>
    <w:rPr>
      <w:rFonts w:hAnsi="宋体"/>
      <w:b/>
      <w:sz w:val="24"/>
    </w:rPr>
  </w:style>
  <w:style w:type="paragraph" w:customStyle="1" w:styleId="78">
    <w:name w:val="黄酒表格标题"/>
    <w:qFormat/>
    <w:uiPriority w:val="0"/>
    <w:pPr>
      <w:tabs>
        <w:tab w:val="left" w:pos="-2848"/>
      </w:tabs>
      <w:jc w:val="center"/>
    </w:pPr>
    <w:rPr>
      <w:rFonts w:ascii="Calibri" w:hAnsi="Calibri" w:eastAsia="宋体" w:cs="宋体"/>
      <w:b/>
      <w:sz w:val="21"/>
      <w:szCs w:val="21"/>
      <w:lang w:val="en-US" w:eastAsia="zh-CN" w:bidi="ar-SA"/>
    </w:rPr>
  </w:style>
  <w:style w:type="character" w:customStyle="1" w:styleId="79">
    <w:name w:val="样式 正文01 + Times New Roman Char"/>
    <w:link w:val="80"/>
    <w:qFormat/>
    <w:uiPriority w:val="0"/>
    <w:rPr>
      <w:rFonts w:ascii="Times New Roman" w:hAnsi="Times New Roman"/>
      <w:bCs/>
      <w:kern w:val="0"/>
      <w:sz w:val="20"/>
    </w:rPr>
  </w:style>
  <w:style w:type="paragraph" w:customStyle="1" w:styleId="80">
    <w:name w:val="样式 正文01 + Times New Roman"/>
    <w:basedOn w:val="81"/>
    <w:link w:val="79"/>
    <w:qFormat/>
    <w:uiPriority w:val="0"/>
    <w:pPr>
      <w:ind w:firstLine="0" w:firstLineChars="0"/>
    </w:pPr>
    <w:rPr>
      <w:rFonts w:ascii="Times New Roman" w:hAnsi="Times New Roman"/>
      <w:bCs/>
      <w:kern w:val="0"/>
      <w:sz w:val="20"/>
    </w:rPr>
  </w:style>
  <w:style w:type="paragraph" w:customStyle="1" w:styleId="81">
    <w:name w:val="正文01"/>
    <w:basedOn w:val="6"/>
    <w:qFormat/>
    <w:uiPriority w:val="0"/>
    <w:pPr>
      <w:ind w:firstLine="480" w:firstLineChars="200"/>
    </w:pPr>
  </w:style>
  <w:style w:type="character" w:customStyle="1" w:styleId="82">
    <w:name w:val="font11"/>
    <w:basedOn w:val="26"/>
    <w:qFormat/>
    <w:uiPriority w:val="0"/>
    <w:rPr>
      <w:rFonts w:hint="eastAsia" w:ascii="宋体" w:hAnsi="宋体" w:eastAsia="宋体" w:cs="宋体"/>
      <w:color w:val="000000"/>
      <w:sz w:val="21"/>
      <w:szCs w:val="21"/>
      <w:u w:val="none"/>
    </w:rPr>
  </w:style>
  <w:style w:type="paragraph" w:customStyle="1" w:styleId="83">
    <w:name w:val="东岳正文"/>
    <w:basedOn w:val="1"/>
    <w:qFormat/>
    <w:uiPriority w:val="0"/>
    <w:pPr>
      <w:autoSpaceDE w:val="0"/>
      <w:autoSpaceDN w:val="0"/>
      <w:adjustRightInd w:val="0"/>
      <w:snapToGrid w:val="0"/>
      <w:spacing w:line="360" w:lineRule="auto"/>
      <w:ind w:firstLine="200" w:firstLineChars="200"/>
    </w:pPr>
    <w:rPr>
      <w:color w:val="000000"/>
      <w:kern w:val="0"/>
      <w:sz w:val="24"/>
      <w:lang w:val="zh-CN"/>
    </w:rPr>
  </w:style>
  <w:style w:type="paragraph" w:customStyle="1" w:styleId="84">
    <w:name w:val="5表名阳选清"/>
    <w:qFormat/>
    <w:uiPriority w:val="0"/>
    <w:pPr>
      <w:widowControl w:val="0"/>
      <w:adjustRightInd w:val="0"/>
      <w:snapToGrid w:val="0"/>
      <w:jc w:val="center"/>
    </w:pPr>
    <w:rPr>
      <w:rFonts w:ascii="Times New Roman" w:hAnsi="Times New Roman" w:eastAsia="宋体" w:cs="Times New Roman"/>
      <w:color w:val="000000"/>
      <w:kern w:val="2"/>
      <w:sz w:val="21"/>
      <w:szCs w:val="21"/>
      <w:lang w:val="en-US" w:eastAsia="zh-CN" w:bidi="ar-SA"/>
    </w:rPr>
  </w:style>
  <w:style w:type="paragraph" w:customStyle="1" w:styleId="85">
    <w:name w:val="表格文字"/>
    <w:basedOn w:val="22"/>
    <w:qFormat/>
    <w:uiPriority w:val="0"/>
    <w:pPr>
      <w:spacing w:line="240" w:lineRule="auto"/>
      <w:ind w:firstLine="0" w:firstLineChars="0"/>
      <w:jc w:val="center"/>
    </w:pPr>
    <w:rPr>
      <w:sz w:val="21"/>
    </w:rPr>
  </w:style>
  <w:style w:type="paragraph" w:customStyle="1" w:styleId="86">
    <w:name w:val="首行缩进2"/>
    <w:qFormat/>
    <w:uiPriority w:val="0"/>
    <w:pPr>
      <w:spacing w:before="120" w:line="360" w:lineRule="auto"/>
      <w:ind w:firstLine="640" w:firstLineChars="200"/>
    </w:pPr>
    <w:rPr>
      <w:rFonts w:ascii="Times New Roman" w:hAnsi="Times New Roman" w:eastAsia="宋体" w:cs="Times New Roman"/>
      <w:sz w:val="24"/>
      <w:lang w:val="en-US" w:eastAsia="zh-CN" w:bidi="ar-SA"/>
    </w:rPr>
  </w:style>
  <w:style w:type="paragraph" w:customStyle="1" w:styleId="87">
    <w:name w:val="表头、图脚"/>
    <w:next w:val="23"/>
    <w:qFormat/>
    <w:uiPriority w:val="0"/>
    <w:pPr>
      <w:jc w:val="center"/>
    </w:pPr>
    <w:rPr>
      <w:rFonts w:ascii="Times New Roman" w:hAnsi="Times New Roman" w:eastAsia="宋体" w:cs="Times New Roman"/>
      <w:b/>
      <w:sz w:val="21"/>
      <w:lang w:val="en-US" w:eastAsia="zh-CN" w:bidi="ar-SA"/>
    </w:rPr>
  </w:style>
  <w:style w:type="paragraph" w:customStyle="1" w:styleId="88">
    <w:name w:val="正文首行缩进1"/>
    <w:basedOn w:val="2"/>
    <w:unhideWhenUsed/>
    <w:qFormat/>
    <w:uiPriority w:val="99"/>
    <w:pPr>
      <w:adjustRightInd w:val="0"/>
      <w:spacing w:before="0" w:after="0" w:line="360" w:lineRule="auto"/>
      <w:ind w:right="0" w:firstLine="200" w:firstLineChars="200"/>
    </w:pPr>
    <w:rPr>
      <w:kern w:val="2"/>
      <w:sz w:val="24"/>
      <w:szCs w:val="21"/>
    </w:rPr>
  </w:style>
  <w:style w:type="paragraph" w:customStyle="1" w:styleId="89">
    <w:name w:val="表格标题"/>
    <w:basedOn w:val="1"/>
    <w:next w:val="90"/>
    <w:qFormat/>
    <w:uiPriority w:val="0"/>
    <w:pPr>
      <w:keepNext/>
      <w:widowControl/>
      <w:overflowPunct w:val="0"/>
      <w:adjustRightInd w:val="0"/>
      <w:snapToGrid w:val="0"/>
      <w:spacing w:after="120" w:line="360" w:lineRule="auto"/>
      <w:jc w:val="center"/>
      <w:textAlignment w:val="baseline"/>
    </w:pPr>
    <w:rPr>
      <w:rFonts w:ascii="Arial" w:hAnsi="Arial" w:eastAsia="黑体"/>
      <w:color w:val="000000"/>
      <w:sz w:val="21"/>
      <w:szCs w:val="20"/>
    </w:rPr>
  </w:style>
  <w:style w:type="paragraph" w:customStyle="1" w:styleId="90">
    <w:name w:val="图表标题"/>
    <w:basedOn w:val="1"/>
    <w:qFormat/>
    <w:uiPriority w:val="0"/>
    <w:pPr>
      <w:spacing w:before="48" w:beforeLines="20" w:line="240" w:lineRule="auto"/>
      <w:jc w:val="center"/>
      <w:outlineLvl w:val="4"/>
    </w:pPr>
    <w:rPr>
      <w:rFonts w:ascii="Calibri" w:hAnsi="Calibri" w:eastAsia="黑体"/>
      <w:kern w:val="28"/>
      <w:szCs w:val="20"/>
    </w:rPr>
  </w:style>
  <w:style w:type="paragraph" w:customStyle="1" w:styleId="91">
    <w:name w:val="S报告正文"/>
    <w:basedOn w:val="1"/>
    <w:qFormat/>
    <w:uiPriority w:val="0"/>
    <w:pPr>
      <w:keepNext w:val="0"/>
      <w:keepLines w:val="0"/>
      <w:widowControl w:val="0"/>
      <w:suppressLineNumbers w:val="0"/>
      <w:adjustRightInd w:val="0"/>
      <w:snapToGrid w:val="0"/>
      <w:spacing w:before="0" w:beforeAutospacing="0" w:after="0" w:afterAutospacing="0" w:line="480" w:lineRule="exact"/>
      <w:ind w:left="0" w:right="0" w:firstLine="510" w:firstLineChars="200"/>
      <w:jc w:val="left"/>
    </w:pPr>
    <w:rPr>
      <w:rFonts w:hint="default" w:ascii="Times New Roman" w:hAnsi="Times New Roman" w:eastAsia="宋体" w:cs="Times New Roman"/>
      <w:kern w:val="2"/>
      <w:sz w:val="24"/>
      <w:szCs w:val="20"/>
      <w:lang w:val="en-US" w:eastAsia="zh-CN" w:bidi="ar"/>
    </w:rPr>
  </w:style>
  <w:style w:type="character" w:customStyle="1" w:styleId="92">
    <w:name w:val="15"/>
    <w:qFormat/>
    <w:uiPriority w:val="0"/>
    <w:rPr>
      <w:sz w:val="21"/>
      <w:szCs w:val="21"/>
    </w:rPr>
  </w:style>
  <w:style w:type="paragraph" w:customStyle="1" w:styleId="93">
    <w:name w:val="表格内容"/>
    <w:basedOn w:val="1"/>
    <w:next w:val="94"/>
    <w:qFormat/>
    <w:uiPriority w:val="0"/>
    <w:pPr>
      <w:spacing w:line="240" w:lineRule="auto"/>
      <w:ind w:firstLine="0" w:firstLineChars="0"/>
      <w:jc w:val="center"/>
    </w:pPr>
    <w:rPr>
      <w:rFonts w:ascii="Times New Roman" w:hAnsi="Times New Roman"/>
      <w:bCs/>
      <w:sz w:val="21"/>
    </w:rPr>
  </w:style>
  <w:style w:type="paragraph" w:customStyle="1" w:styleId="94">
    <w:name w:val="表格表头"/>
    <w:basedOn w:val="1"/>
    <w:unhideWhenUsed/>
    <w:qFormat/>
    <w:uiPriority w:val="0"/>
    <w:pPr>
      <w:adjustRightInd w:val="0"/>
      <w:snapToGrid w:val="0"/>
      <w:jc w:val="center"/>
    </w:pPr>
    <w:rPr>
      <w:rFonts w:hint="eastAsia"/>
      <w:b/>
    </w:rPr>
  </w:style>
  <w:style w:type="paragraph" w:customStyle="1" w:styleId="95">
    <w:name w:val="正文 2 字符"/>
    <w:basedOn w:val="1"/>
    <w:qFormat/>
    <w:uiPriority w:val="0"/>
    <w:pPr>
      <w:spacing w:line="360" w:lineRule="auto"/>
      <w:ind w:firstLine="480" w:firstLineChars="200"/>
    </w:pPr>
    <w:rPr>
      <w:sz w:val="24"/>
    </w:rPr>
  </w:style>
  <w:style w:type="paragraph" w:customStyle="1" w:styleId="96">
    <w:name w:val="1文章"/>
    <w:basedOn w:val="1"/>
    <w:qFormat/>
    <w:uiPriority w:val="0"/>
    <w:pPr>
      <w:spacing w:line="360" w:lineRule="auto"/>
      <w:ind w:firstLine="573"/>
    </w:pPr>
    <w:rPr>
      <w:rFonts w:eastAsia="楷体_GB2312"/>
      <w:sz w:val="28"/>
    </w:rPr>
  </w:style>
  <w:style w:type="paragraph" w:customStyle="1" w:styleId="97">
    <w:name w:val="报告表正文"/>
    <w:basedOn w:val="1"/>
    <w:qFormat/>
    <w:uiPriority w:val="0"/>
    <w:pPr>
      <w:spacing w:line="360" w:lineRule="auto"/>
      <w:ind w:firstLine="200" w:firstLineChars="200"/>
    </w:pPr>
    <w:rPr>
      <w:color w:val="000000"/>
      <w:sz w:val="24"/>
      <w:lang w:val="zh-CN"/>
    </w:rPr>
  </w:style>
  <w:style w:type="paragraph" w:customStyle="1" w:styleId="98">
    <w:name w:val="a表格标题"/>
    <w:basedOn w:val="1"/>
    <w:qFormat/>
    <w:uiPriority w:val="0"/>
    <w:pPr>
      <w:widowControl/>
      <w:spacing w:line="360" w:lineRule="auto"/>
      <w:jc w:val="center"/>
    </w:pPr>
    <w:rPr>
      <w:b/>
      <w:kern w:val="0"/>
      <w:szCs w:val="21"/>
    </w:rPr>
  </w:style>
  <w:style w:type="character" w:customStyle="1" w:styleId="99">
    <w:name w:val="bjh-p"/>
    <w:qFormat/>
    <w:uiPriority w:val="0"/>
  </w:style>
  <w:style w:type="paragraph" w:customStyle="1" w:styleId="100">
    <w:name w:val="A正文"/>
    <w:basedOn w:val="1"/>
    <w:next w:val="2"/>
    <w:qFormat/>
    <w:uiPriority w:val="0"/>
    <w:pPr>
      <w:spacing w:line="360" w:lineRule="auto"/>
      <w:ind w:firstLine="200" w:firstLineChars="200"/>
    </w:pPr>
    <w:rPr>
      <w:sz w:val="24"/>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emf"/><Relationship Id="rId21" Type="http://schemas.openxmlformats.org/officeDocument/2006/relationships/oleObject" Target="embeddings/oleObject2.bin"/><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w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118</Pages>
  <Words>1393</Words>
  <Characters>1550</Characters>
  <Lines>207</Lines>
  <Paragraphs>58</Paragraphs>
  <TotalTime>16</TotalTime>
  <ScaleCrop>false</ScaleCrop>
  <LinksUpToDate>false</LinksUpToDate>
  <CharactersWithSpaces>1578</CharactersWithSpaces>
  <Application>WPS Office_11.8.2.11978_F1E327BC-269C-435d-A152-05C5408002CA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2024-01-06T05:48:00Z</dcterms:created>
  <dc:creator>lhj</dc:creator>
  <cp:lastModifiedBy>Administrator</cp:lastModifiedBy>
  <cp:lastPrinted>2024-01-15T03:32:00Z</cp:lastPrinted>
  <dcterms:modified xsi:type="dcterms:W3CDTF">2025-06-03T06:33:45Z</dcterms:modified>
  <dc:title>附件2</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2052-11.8.2.11978</vt:lpwstr>
  </property>
  <property fmtid="{D5CDD505-2E9C-101B-9397-08002B2CF9AE}" pid="3" name="ICV">
    <vt:lpwstr>92B8DED3E564459AA7A58300222DF742</vt:lpwstr>
  </property>
  <property fmtid="{D5CDD505-2E9C-101B-9397-08002B2CF9AE}" pid="4" name="KSOTemplateDocerSaveRecord">
    <vt:lpwstr>eyJoZGlkIjoiNDAxNzIyMjExZGNkNTNhM2ZmOTBhNmQ5YTEzZGViNjgiLCJ1c2VySWQiOiIxNDc4NDY0NDUzIn0=</vt:lpwstr>
  </property>
</Properties>
</file>