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岳湘阴环评〔2025〕</w:t>
      </w:r>
      <w:r>
        <w:rPr>
          <w:rFonts w:hint="eastAsia" w:ascii="Times New Roman" w:hAnsi="Times New Roman" w:eastAsia="仿宋_GB2312" w:cs="Times New Roman"/>
          <w:bCs/>
          <w:kern w:val="2"/>
          <w:sz w:val="32"/>
          <w:szCs w:val="32"/>
          <w:lang w:val="en-US" w:eastAsia="zh-CN" w:bidi="ar-SA"/>
        </w:rPr>
        <w:t>1</w:t>
      </w:r>
      <w:r>
        <w:rPr>
          <w:rFonts w:hint="eastAsia" w:eastAsia="仿宋_GB2312" w:cs="Times New Roman"/>
          <w:bCs/>
          <w:kern w:val="2"/>
          <w:sz w:val="32"/>
          <w:szCs w:val="32"/>
          <w:lang w:val="en-US" w:eastAsia="zh-CN" w:bidi="ar-SA"/>
        </w:rPr>
        <w:t>1</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关于湖南省鸿运升节能保温新材料有限公司年产200万平方米热固保温板、100万平方</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米保温装饰一体板、10万吨砂浆生产项目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bookmarkStart w:id="1" w:name="_GoBack"/>
      <w:bookmarkEnd w:id="1"/>
      <w:r>
        <w:rPr>
          <w:rFonts w:hint="default" w:ascii="Times New Roman" w:hAnsi="Times New Roman" w:eastAsia="仿宋_GB2312" w:cs="Times New Roman"/>
          <w:bCs/>
          <w:sz w:val="32"/>
          <w:szCs w:val="32"/>
          <w:lang w:val="en-US" w:eastAsia="zh-CN"/>
        </w:rPr>
        <w:t>湖南省鸿运升节能保温新材料有限公司</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你公司（</w:t>
      </w:r>
      <w:r>
        <w:rPr>
          <w:rFonts w:hint="default" w:ascii="Times New Roman" w:hAnsi="Times New Roman" w:eastAsia="仿宋_GB2312" w:cs="Times New Roman"/>
          <w:bCs/>
          <w:sz w:val="32"/>
          <w:szCs w:val="32"/>
          <w:lang w:val="en-US" w:eastAsia="zh-CN"/>
        </w:rPr>
        <w:t>地址：湖南省岳阳市湘阴县高新技术产业开发区洋沙湖片区华隆重工厂内，法定代表人：</w:t>
      </w:r>
      <w:r>
        <w:rPr>
          <w:rFonts w:hint="eastAsia" w:ascii="Times New Roman" w:hAnsi="Times New Roman" w:eastAsia="仿宋_GB2312" w:cs="Times New Roman"/>
          <w:bCs/>
          <w:sz w:val="32"/>
          <w:szCs w:val="32"/>
          <w:lang w:val="en-US" w:eastAsia="zh-CN"/>
        </w:rPr>
        <w:t>黄娟华</w:t>
      </w:r>
      <w:r>
        <w:rPr>
          <w:rFonts w:hint="default" w:ascii="Times New Roman" w:hAnsi="Times New Roman" w:eastAsia="仿宋_GB2312" w:cs="Times New Roman"/>
          <w:bCs/>
          <w:sz w:val="32"/>
          <w:szCs w:val="32"/>
          <w:lang w:val="en-US" w:eastAsia="zh-CN"/>
        </w:rPr>
        <w:t>，统一社会信用代码：91430624MAD37U8E9Y</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于2025年</w:t>
      </w:r>
      <w:r>
        <w:rPr>
          <w:rFonts w:hint="eastAsia" w:ascii="Times New Roman" w:hAnsi="Times New Roman" w:eastAsia="仿宋_GB2312" w:cs="Times New Roman"/>
          <w:bCs/>
          <w:sz w:val="32"/>
          <w:szCs w:val="32"/>
          <w:lang w:val="en-US" w:eastAsia="zh-CN"/>
        </w:rPr>
        <w:t>05</w:t>
      </w:r>
      <w:r>
        <w:rPr>
          <w:rFonts w:hint="default" w:ascii="Times New Roman" w:hAnsi="Times New Roman" w:eastAsia="仿宋_GB2312" w:cs="Times New Roman"/>
          <w:bCs/>
          <w:sz w:val="32"/>
          <w:szCs w:val="32"/>
          <w:lang w:val="en-US" w:eastAsia="zh-CN"/>
        </w:rPr>
        <w:t>月</w:t>
      </w:r>
      <w:r>
        <w:rPr>
          <w:rFonts w:hint="eastAsia" w:ascii="Times New Roman" w:hAnsi="Times New Roman" w:eastAsia="仿宋_GB2312" w:cs="Times New Roman"/>
          <w:bCs/>
          <w:sz w:val="32"/>
          <w:szCs w:val="32"/>
          <w:lang w:val="en-US" w:eastAsia="zh-CN"/>
        </w:rPr>
        <w:t>13</w:t>
      </w:r>
      <w:r>
        <w:rPr>
          <w:rFonts w:hint="default" w:ascii="Times New Roman" w:hAnsi="Times New Roman"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ascii="Times New Roman" w:hAnsi="Times New Roman" w:eastAsia="仿宋_GB2312" w:cs="Times New Roman"/>
          <w:bCs/>
          <w:sz w:val="32"/>
          <w:szCs w:val="32"/>
          <w:lang w:val="en-US" w:eastAsia="zh-CN"/>
        </w:rPr>
        <w:t>专家评审意见、岳阳市湘阴生态环境事务中心《关于&lt;湖南省鸿运升节能保温新材料有限公司年产200万平方米热固保温板、100万平方米保温装饰一体板、10万吨砂浆生产项目环境影响报告表&gt;技术评估意见的报告》（岳湘环事评估〔2025〕06号）。</w:t>
      </w:r>
      <w:r>
        <w:rPr>
          <w:rFonts w:hint="default" w:ascii="Times New Roman" w:hAnsi="Times New Roman" w:eastAsia="仿宋_GB2312" w:cs="Times New Roman"/>
          <w:bCs/>
          <w:sz w:val="32"/>
          <w:szCs w:val="32"/>
          <w:lang w:val="en-US" w:eastAsia="zh-CN"/>
        </w:rPr>
        <w:t>经审查，你公司</w:t>
      </w:r>
      <w:r>
        <w:rPr>
          <w:rFonts w:hint="eastAsia" w:ascii="Times New Roman" w:hAnsi="Times New Roman" w:eastAsia="仿宋_GB2312" w:cs="Times New Roman"/>
          <w:bCs/>
          <w:sz w:val="32"/>
          <w:szCs w:val="32"/>
          <w:lang w:val="en-US" w:eastAsia="zh-CN"/>
        </w:rPr>
        <w:t>委托湖南中昇环境科技有限公司</w:t>
      </w:r>
      <w:r>
        <w:rPr>
          <w:rFonts w:hint="default" w:ascii="Times New Roman" w:hAnsi="Times New Roman" w:eastAsia="仿宋_GB2312" w:cs="Times New Roman"/>
          <w:bCs/>
          <w:sz w:val="32"/>
          <w:szCs w:val="32"/>
          <w:lang w:val="en-US" w:eastAsia="zh-CN"/>
        </w:rPr>
        <w:t>编制</w:t>
      </w:r>
      <w:r>
        <w:rPr>
          <w:rFonts w:hint="eastAsia" w:ascii="Times New Roman" w:hAnsi="Times New Roman" w:eastAsia="仿宋_GB2312" w:cs="Times New Roman"/>
          <w:bCs/>
          <w:sz w:val="32"/>
          <w:szCs w:val="32"/>
          <w:lang w:val="en-US" w:eastAsia="zh-CN"/>
        </w:rPr>
        <w:t>《湖南省鸿运升节能保温新材料有限公司年产200万平方米热固保温板、100万平方米保温装饰一体板、10万吨砂浆生产项目环境影响报告表》（以下简称“《报告表》”）,</w:t>
      </w:r>
      <w:r>
        <w:rPr>
          <w:rFonts w:hint="default" w:ascii="Times New Roman" w:hAnsi="Times New Roman"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湖南省鸿运升节能保温新材料有限公司</w:t>
      </w:r>
      <w:r>
        <w:rPr>
          <w:rFonts w:hint="default" w:ascii="Times New Roman" w:hAnsi="Times New Roman" w:eastAsia="仿宋_GB2312" w:cs="Times New Roman"/>
          <w:bCs/>
          <w:sz w:val="32"/>
          <w:szCs w:val="32"/>
          <w:lang w:val="en-US" w:eastAsia="zh-CN"/>
        </w:rPr>
        <w:t>拟投资</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lang w:val="en-US" w:eastAsia="zh-CN"/>
        </w:rPr>
        <w:t>000</w:t>
      </w:r>
      <w:r>
        <w:rPr>
          <w:rFonts w:hint="default" w:ascii="Times New Roman" w:hAnsi="Times New Roman" w:eastAsia="仿宋_GB2312" w:cs="Times New Roman"/>
          <w:bCs/>
          <w:sz w:val="32"/>
          <w:szCs w:val="32"/>
          <w:lang w:val="en-US" w:eastAsia="zh-CN"/>
        </w:rPr>
        <w:t>万元（其中环保投资</w:t>
      </w:r>
      <w:r>
        <w:rPr>
          <w:rFonts w:hint="eastAsia" w:ascii="Times New Roman" w:hAnsi="Times New Roman" w:eastAsia="仿宋_GB2312" w:cs="Times New Roman"/>
          <w:bCs/>
          <w:sz w:val="32"/>
          <w:szCs w:val="32"/>
          <w:lang w:val="en-US" w:eastAsia="zh-CN"/>
        </w:rPr>
        <w:t>245</w:t>
      </w:r>
      <w:r>
        <w:rPr>
          <w:rFonts w:hint="default" w:ascii="Times New Roman" w:hAnsi="Times New Roman" w:eastAsia="仿宋_GB2312" w:cs="Times New Roman"/>
          <w:bCs/>
          <w:sz w:val="32"/>
          <w:szCs w:val="32"/>
          <w:lang w:val="en-US" w:eastAsia="zh-CN"/>
        </w:rPr>
        <w:t>万元），于湖南省岳阳市湘阴县高新技术产业开发区洋沙湖片区华隆重工厂内建设年产200万平方米热固保温板、100万平方米保温装饰一体板、10万吨砂浆生产项目。项目总用地面积为</w:t>
      </w:r>
      <w:r>
        <w:rPr>
          <w:rFonts w:hint="eastAsia" w:ascii="Times New Roman" w:hAnsi="Times New Roman" w:eastAsia="仿宋_GB2312" w:cs="Times New Roman"/>
          <w:bCs/>
          <w:sz w:val="32"/>
          <w:szCs w:val="32"/>
          <w:lang w:val="en-US" w:eastAsia="zh-CN"/>
        </w:rPr>
        <w:t>20071.86</w:t>
      </w:r>
      <w:r>
        <w:rPr>
          <w:rFonts w:hint="default" w:ascii="Times New Roman" w:hAnsi="Times New Roman" w:eastAsia="仿宋_GB2312" w:cs="Times New Roman"/>
          <w:bCs/>
          <w:sz w:val="32"/>
          <w:szCs w:val="32"/>
          <w:lang w:val="en-US" w:eastAsia="zh-CN"/>
        </w:rPr>
        <w:t>m2</w:t>
      </w:r>
      <w:r>
        <w:rPr>
          <w:rFonts w:hint="default" w:ascii="Times New Roman" w:hAnsi="Times New Roman" w:eastAsia="仿宋_GB2312" w:cs="Times New Roman"/>
          <w:bCs/>
          <w:sz w:val="32"/>
          <w:szCs w:val="32"/>
          <w:lang w:val="en-US" w:eastAsia="zh-CN"/>
        </w:rPr>
        <w:t>。主要建设内容包括：</w:t>
      </w:r>
      <w:r>
        <w:rPr>
          <w:rFonts w:hint="eastAsia" w:ascii="Times New Roman" w:hAnsi="Times New Roman" w:eastAsia="仿宋_GB2312" w:cs="Times New Roman"/>
          <w:bCs/>
          <w:sz w:val="32"/>
          <w:szCs w:val="32"/>
          <w:lang w:val="en-US" w:eastAsia="zh-CN"/>
        </w:rPr>
        <w:t>生产车间、原材料仓库区、成品仓库区、办公区等</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并配套建设环保、排水、供电、消防等辅助生产设施。（详见建设项目环境影响报告表）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）落实废水污染防治措施。</w:t>
      </w:r>
      <w:r>
        <w:rPr>
          <w:rFonts w:hint="eastAsia" w:ascii="Times New Roman" w:hAnsi="Times New Roman" w:eastAsia="仿宋_GB2312" w:cs="Times New Roman"/>
          <w:bCs/>
          <w:sz w:val="32"/>
          <w:szCs w:val="32"/>
          <w:lang w:eastAsia="zh-CN"/>
        </w:rPr>
        <w:t>建设好雨污分流</w:t>
      </w:r>
      <w:r>
        <w:rPr>
          <w:rFonts w:hint="eastAsia" w:ascii="Times New Roman" w:hAnsi="Times New Roman" w:eastAsia="仿宋_GB2312" w:cs="Times New Roman"/>
          <w:bCs/>
          <w:sz w:val="32"/>
          <w:szCs w:val="32"/>
          <w:lang w:val="en-US" w:eastAsia="zh-CN"/>
        </w:rPr>
        <w:t>设施。本项目无生产废水，</w:t>
      </w:r>
      <w:r>
        <w:rPr>
          <w:rFonts w:hint="eastAsia" w:ascii="Times New Roman" w:hAnsi="Times New Roman" w:eastAsia="仿宋_GB2312" w:cs="Times New Roman"/>
          <w:bCs/>
          <w:sz w:val="32"/>
          <w:szCs w:val="32"/>
          <w:lang w:val="en-US" w:eastAsia="zh-CN"/>
        </w:rPr>
        <w:t>生活污水依托厂区“化粪池”处理后达到《污水综合排放标准》（GB8978-1996）三级标准及湘阴县第二污水处理厂进水水质标准要求后排入市政污水管网，进入湘阴县第二污水处理厂深度处理达到《城镇污水处理厂污染物排放标准》（GB18918-2002）一级A类标准后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）落实废气污染防治措施。按《报告表》要求做好有组织工艺废气处理，各排气筒高度应符合《报告表》要求，确保大气污染物排放满足国家和地方有关标准要求。项目对废气分类收集、分质处理。</w:t>
      </w:r>
      <w:r>
        <w:rPr>
          <w:rFonts w:hint="eastAsia" w:ascii="Times New Roman" w:hAnsi="Times New Roman" w:eastAsia="仿宋_GB2312" w:cs="Times New Roman"/>
          <w:bCs/>
          <w:sz w:val="32"/>
          <w:szCs w:val="32"/>
          <w:lang w:val="en-US" w:eastAsia="zh-CN"/>
        </w:rPr>
        <w:t>发泡工序、裁切、下脚料破碎、</w:t>
      </w:r>
      <w:r>
        <w:rPr>
          <w:rFonts w:hint="default" w:ascii="Times New Roman" w:hAnsi="Times New Roman" w:eastAsia="仿宋_GB2312" w:cs="Times New Roman"/>
          <w:bCs/>
          <w:sz w:val="32"/>
          <w:szCs w:val="32"/>
          <w:lang w:val="en-US" w:eastAsia="zh-CN"/>
        </w:rPr>
        <w:t>砂光打磨工序</w:t>
      </w:r>
      <w:r>
        <w:rPr>
          <w:rFonts w:hint="eastAsia" w:ascii="Times New Roman" w:hAnsi="Times New Roman" w:eastAsia="仿宋_GB2312" w:cs="Times New Roman"/>
          <w:bCs/>
          <w:sz w:val="32"/>
          <w:szCs w:val="32"/>
          <w:lang w:val="en-US" w:eastAsia="zh-CN"/>
        </w:rPr>
        <w:t>产生的非甲烷总烃、苯乙烯、甲苯、乙苯、颗粒物满足《合成树脂工业污染物排放标准》（GB31572-2015）中表4大气污染物排放限值要求经处理后通过1根25m高排气筒（1#）高空排放；天然气锅炉废气满足</w:t>
      </w:r>
      <w:r>
        <w:rPr>
          <w:rFonts w:hint="default" w:ascii="Times New Roman" w:hAnsi="Times New Roman" w:eastAsia="仿宋_GB2312" w:cs="Times New Roman"/>
          <w:bCs/>
          <w:sz w:val="32"/>
          <w:szCs w:val="32"/>
          <w:lang w:val="zh-CN" w:eastAsia="zh-CN"/>
        </w:rPr>
        <w:t>《锅炉大气污染物排放标准》（GB13271-2014</w:t>
      </w:r>
      <w:r>
        <w:rPr>
          <w:rFonts w:hint="eastAsia" w:ascii="Times New Roman" w:hAnsi="Times New Roman" w:eastAsia="仿宋_GB2312" w:cs="Times New Roman"/>
          <w:bCs/>
          <w:sz w:val="32"/>
          <w:szCs w:val="32"/>
          <w:lang w:val="zh-CN" w:eastAsia="zh-CN"/>
        </w:rPr>
        <w:t>）</w:t>
      </w:r>
      <w:r>
        <w:rPr>
          <w:rFonts w:hint="eastAsia" w:ascii="Times New Roman" w:hAnsi="Times New Roman" w:eastAsia="仿宋_GB2312" w:cs="Times New Roman"/>
          <w:bCs/>
          <w:sz w:val="32"/>
          <w:szCs w:val="32"/>
          <w:lang w:val="en-US" w:eastAsia="zh-CN"/>
        </w:rPr>
        <w:t>表3大气污染物燃气锅炉特别排放限值要求后通过1根25m高排气筒（2#）高空排放；</w:t>
      </w:r>
      <w:r>
        <w:rPr>
          <w:rFonts w:hint="eastAsia" w:ascii="Times New Roman" w:hAnsi="Times New Roman" w:eastAsia="仿宋_GB2312" w:cs="Times New Roman"/>
          <w:bCs/>
          <w:sz w:val="32"/>
          <w:szCs w:val="32"/>
          <w:lang w:val="en-US" w:eastAsia="zh-CN"/>
        </w:rPr>
        <w:t>喷漆、辊涂、烘干、涂胶工序产生的废气经处理后，其中有机废气满足</w:t>
      </w:r>
      <w:r>
        <w:rPr>
          <w:rFonts w:hint="default" w:ascii="Times New Roman" w:hAnsi="Times New Roman" w:eastAsia="仿宋_GB2312" w:cs="Times New Roman"/>
          <w:bCs/>
          <w:sz w:val="32"/>
          <w:szCs w:val="32"/>
          <w:lang w:val="en-US" w:eastAsia="zh-CN"/>
        </w:rPr>
        <w:t>《表面涂装（汽车制造及维修）有机物、镍排放标准》（DB43 1356-2017）表3限</w:t>
      </w:r>
      <w:r>
        <w:rPr>
          <w:rFonts w:hint="eastAsia" w:ascii="Times New Roman" w:hAnsi="Times New Roman" w:eastAsia="仿宋_GB2312" w:cs="Times New Roman"/>
          <w:bCs/>
          <w:sz w:val="32"/>
          <w:szCs w:val="32"/>
          <w:lang w:val="en-US" w:eastAsia="zh-CN"/>
        </w:rPr>
        <w:t>值要求，颗粒物满足《大气污染物综合排放标准》（GB16297-1996）表 2 的二级排放限值要求，二氧化硫、氮氧化物、烟尘需符合《湖南省工业炉窑大气污染综合治理实施方案》（湘环发【2020】6号）中相关排放限值要求后共用1根25m高排气筒（3#）高空排放。搅拌、包装工序产生的颗粒物经处理后满足《水泥工业大气污染物排放标准》（GB4915-2013）表1排放限值和</w:t>
      </w:r>
      <w:r>
        <w:rPr>
          <w:rFonts w:hint="eastAsia" w:ascii="Times New Roman" w:hAnsi="Times New Roman" w:eastAsia="仿宋_GB2312" w:cs="Times New Roman"/>
          <w:bCs/>
          <w:sz w:val="32"/>
          <w:szCs w:val="32"/>
          <w:lang w:val="en-US" w:eastAsia="zh-CN"/>
        </w:rPr>
        <w:t>《大气污染物综合排放标准》（GB16297-1996）表2二级排放限值要求</w:t>
      </w:r>
      <w:r>
        <w:rPr>
          <w:rFonts w:hint="eastAsia" w:ascii="Times New Roman" w:hAnsi="Times New Roman" w:eastAsia="仿宋_GB2312" w:cs="Times New Roman"/>
          <w:bCs/>
          <w:sz w:val="32"/>
          <w:szCs w:val="32"/>
          <w:lang w:val="en-US" w:eastAsia="zh-CN"/>
        </w:rPr>
        <w:t>要求后通过1根25m高排气筒（4#）高空排放。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加强无组织废气污染防治，厂区内有机废气满足《挥发性有机物无组织排放控制标准》（GB37822-2019）中表Al排放限值要求。厂界有机废气满足《表面涂装（汽车制造及维修）有机物、镍排放标准》（DB43 1356-2017）表3排放限值要求，甲苯满足《合成树脂工业污染物排放标准》（GB31572-2015）表9排放限值要求，颗粒物满足《水泥工业大气污染物排放标准》（GB4915-2013）表1排放限值要求。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三</w:t>
      </w:r>
      <w:r>
        <w:rPr>
          <w:rFonts w:hint="default" w:ascii="Times New Roman" w:hAnsi="Times New Roman" w:eastAsia="仿宋_GB2312" w:cs="Times New Roman"/>
          <w:bCs/>
          <w:sz w:val="32"/>
          <w:szCs w:val="32"/>
          <w:lang w:val="en-US" w:eastAsia="zh-CN"/>
        </w:rPr>
        <w:t>）落实噪声污染防治措施。</w:t>
      </w:r>
      <w:r>
        <w:rPr>
          <w:rFonts w:hint="eastAsia" w:ascii="Times New Roman" w:hAnsi="Times New Roman" w:eastAsia="仿宋_GB2312" w:cs="Times New Roman"/>
          <w:bCs/>
          <w:sz w:val="32"/>
          <w:szCs w:val="32"/>
          <w:lang w:val="en-US" w:eastAsia="zh-CN"/>
        </w:rPr>
        <w:t>采取</w:t>
      </w:r>
      <w:r>
        <w:rPr>
          <w:rFonts w:hint="default" w:ascii="Times New Roman" w:hAnsi="Times New Roman" w:eastAsia="仿宋_GB2312" w:cs="Times New Roman"/>
          <w:bCs/>
          <w:sz w:val="32"/>
          <w:szCs w:val="32"/>
          <w:lang w:val="en-US" w:eastAsia="zh-CN"/>
        </w:rPr>
        <w:t>基础减振、合理布置、合理安排作业时间、设备基础安装减震软垫等防治措施，厂界噪声满足《工业企业厂界环境噪声排放标准》（GB12348-2008）3类标准要求。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四</w:t>
      </w:r>
      <w:r>
        <w:rPr>
          <w:rFonts w:hint="default" w:ascii="Times New Roman" w:hAnsi="Times New Roman" w:eastAsia="仿宋_GB2312" w:cs="Times New Roman"/>
          <w:bCs/>
          <w:sz w:val="32"/>
          <w:szCs w:val="32"/>
          <w:lang w:val="en-US" w:eastAsia="zh-CN"/>
        </w:rPr>
        <w:t>）落实工业固废管理措施。</w:t>
      </w:r>
      <w:r>
        <w:rPr>
          <w:rFonts w:hint="eastAsia" w:ascii="Times New Roman" w:hAnsi="Times New Roman" w:eastAsia="仿宋_GB2312" w:cs="Times New Roman"/>
          <w:bCs/>
          <w:sz w:val="32"/>
          <w:szCs w:val="32"/>
          <w:lang w:val="en-US" w:eastAsia="zh-CN"/>
        </w:rPr>
        <w:t>按照“减量化、资源化、无害化”原则，对固体废物进行分类收集、贮存、利用和处置，落实《报告表》提出的各项要求与措施，确保不造成二次污染。</w:t>
      </w:r>
      <w:r>
        <w:rPr>
          <w:rFonts w:hint="eastAsia" w:ascii="Times New Roman" w:hAnsi="Times New Roman" w:eastAsia="仿宋_GB2312" w:cs="Times New Roman"/>
          <w:bCs/>
          <w:sz w:val="32"/>
          <w:szCs w:val="32"/>
          <w:lang w:val="en-US" w:eastAsia="zh-CN"/>
        </w:rPr>
        <w:t>废活性炭、废机油、废机油桶、含油抹布及手套、废油漆桶、废胶桶、废过滤棉、喷涂设备清洗废液等危险废物应严格执行《危险废物贮存污染控制标准》（GB18597-2023）要求，收集暂存在危险废物贮存库，定期委托有资质单位妥善处理；废水性漆桶、水性漆渣</w:t>
      </w:r>
      <w:r>
        <w:rPr>
          <w:rFonts w:hint="default" w:ascii="Times New Roman" w:hAnsi="Times New Roman" w:eastAsia="仿宋_GB2312" w:cs="Times New Roman"/>
          <w:bCs/>
          <w:sz w:val="32"/>
          <w:szCs w:val="32"/>
          <w:lang w:val="en-US" w:eastAsia="zh-CN"/>
        </w:rPr>
        <w:t>需</w:t>
      </w:r>
      <w:r>
        <w:rPr>
          <w:rFonts w:hint="eastAsia" w:ascii="Times New Roman" w:hAnsi="Times New Roman" w:eastAsia="仿宋_GB2312" w:cs="Times New Roman"/>
          <w:bCs/>
          <w:sz w:val="32"/>
          <w:szCs w:val="32"/>
          <w:lang w:val="en-US" w:eastAsia="zh-CN"/>
        </w:rPr>
        <w:t>进行</w:t>
      </w:r>
      <w:r>
        <w:rPr>
          <w:rFonts w:hint="default" w:ascii="Times New Roman" w:hAnsi="Times New Roman" w:eastAsia="仿宋_GB2312" w:cs="Times New Roman"/>
          <w:bCs/>
          <w:sz w:val="32"/>
          <w:szCs w:val="32"/>
          <w:lang w:val="en-US" w:eastAsia="zh-CN"/>
        </w:rPr>
        <w:t>鉴</w:t>
      </w:r>
      <w:r>
        <w:rPr>
          <w:rFonts w:hint="default" w:ascii="Times New Roman" w:hAnsi="Times New Roman" w:eastAsia="仿宋_GB2312" w:cs="Times New Roman"/>
          <w:bCs/>
          <w:sz w:val="32"/>
          <w:szCs w:val="32"/>
          <w:lang w:val="en-US" w:eastAsia="zh-CN"/>
        </w:rPr>
        <w:t>别处置</w:t>
      </w:r>
      <w:r>
        <w:rPr>
          <w:rFonts w:hint="eastAsia" w:ascii="Times New Roman" w:hAnsi="Times New Roman" w:eastAsia="仿宋_GB2312" w:cs="Times New Roman"/>
          <w:bCs/>
          <w:sz w:val="32"/>
          <w:szCs w:val="32"/>
          <w:lang w:val="en-US" w:eastAsia="zh-CN"/>
        </w:rPr>
        <w:t>；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五）</w:t>
      </w:r>
      <w:r>
        <w:rPr>
          <w:rFonts w:hint="default" w:ascii="Times New Roman" w:hAnsi="Times New Roman"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六）</w:t>
      </w:r>
      <w:r>
        <w:rPr>
          <w:rFonts w:hint="default" w:ascii="Times New Roman" w:hAnsi="Times New Roman"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七</w:t>
      </w:r>
      <w:r>
        <w:rPr>
          <w:rFonts w:hint="default" w:ascii="Times New Roman" w:hAnsi="Times New Roman" w:eastAsia="仿宋_GB2312" w:cs="Times New Roman"/>
          <w:bCs/>
          <w:sz w:val="32"/>
          <w:szCs w:val="32"/>
          <w:lang w:val="en-US" w:eastAsia="zh-CN"/>
        </w:rPr>
        <w:t>）该项目污染物排放总量控制指标为：VOCs≤3.</w:t>
      </w: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lang w:val="en-US" w:eastAsia="zh-CN"/>
        </w:rPr>
        <w:t>t/a、二氧化硫≤0.</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t/a、氮氧化物≤0.</w:t>
      </w:r>
      <w:r>
        <w:rPr>
          <w:rFonts w:hint="eastAsia"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三、项目建设必须严格执行环境保护</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三同时</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四、按照《排污许可管理条例》、《排污许可管理办法》等相关法律法规规定进行排污许可申领工作，运营期依法排污。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w:t>
      </w:r>
      <w:r>
        <w:rPr>
          <w:rFonts w:hint="eastAsia" w:ascii="Times New Roman" w:hAnsi="Times New Roman" w:eastAsia="仿宋_GB2312" w:cs="Times New Roman"/>
          <w:bCs/>
          <w:sz w:val="32"/>
          <w:szCs w:val="32"/>
          <w:lang w:val="en-US" w:eastAsia="zh-CN"/>
        </w:rPr>
        <w:t>湖南中昇环境科技有限公司</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你公司如对本批复不服，可以在接到决定书之日起六十日内向岳阳市人民政府申请行政复议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2025年</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lang w:val="en-US" w:eastAsia="zh-CN"/>
        </w:rPr>
        <w:t>月</w:t>
      </w:r>
      <w:r>
        <w:rPr>
          <w:rFonts w:hint="eastAsia" w:ascii="Times New Roman" w:hAnsi="Times New Roman" w:eastAsia="仿宋_GB2312" w:cs="Times New Roman"/>
          <w:bCs/>
          <w:sz w:val="32"/>
          <w:szCs w:val="32"/>
          <w:lang w:val="en-US" w:eastAsia="zh-CN"/>
        </w:rPr>
        <w:t>13</w:t>
      </w:r>
      <w:r>
        <w:rPr>
          <w:rFonts w:hint="default" w:ascii="Times New Roman" w:hAnsi="Times New Roman"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4127A33"/>
    <w:rsid w:val="05031C1C"/>
    <w:rsid w:val="052177D2"/>
    <w:rsid w:val="05BD2E07"/>
    <w:rsid w:val="063D115E"/>
    <w:rsid w:val="065B567D"/>
    <w:rsid w:val="068B047B"/>
    <w:rsid w:val="06957FBA"/>
    <w:rsid w:val="06DF1684"/>
    <w:rsid w:val="080F2686"/>
    <w:rsid w:val="09714054"/>
    <w:rsid w:val="09BD2F54"/>
    <w:rsid w:val="0A524D98"/>
    <w:rsid w:val="0AC0410C"/>
    <w:rsid w:val="0BBE4AEF"/>
    <w:rsid w:val="0C253AE3"/>
    <w:rsid w:val="0C46547E"/>
    <w:rsid w:val="0C962284"/>
    <w:rsid w:val="0DA41AC3"/>
    <w:rsid w:val="0DB91576"/>
    <w:rsid w:val="0DC1163E"/>
    <w:rsid w:val="0DC932D7"/>
    <w:rsid w:val="0E90736F"/>
    <w:rsid w:val="0E9D21B1"/>
    <w:rsid w:val="0EA0672E"/>
    <w:rsid w:val="0F657030"/>
    <w:rsid w:val="1075552C"/>
    <w:rsid w:val="107820F3"/>
    <w:rsid w:val="107A6B0B"/>
    <w:rsid w:val="110F1C95"/>
    <w:rsid w:val="112F3D99"/>
    <w:rsid w:val="117B6FDE"/>
    <w:rsid w:val="13372CB9"/>
    <w:rsid w:val="135B2C24"/>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E4A2212"/>
    <w:rsid w:val="1E6A10F9"/>
    <w:rsid w:val="1F8D2690"/>
    <w:rsid w:val="1F980D5B"/>
    <w:rsid w:val="20337402"/>
    <w:rsid w:val="203E6F7B"/>
    <w:rsid w:val="21154D5A"/>
    <w:rsid w:val="21EC1E61"/>
    <w:rsid w:val="2277734E"/>
    <w:rsid w:val="22FB1D2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3FF0BD6"/>
    <w:rsid w:val="342752C8"/>
    <w:rsid w:val="342B39EB"/>
    <w:rsid w:val="344572AC"/>
    <w:rsid w:val="344928A1"/>
    <w:rsid w:val="36681030"/>
    <w:rsid w:val="38516299"/>
    <w:rsid w:val="38740160"/>
    <w:rsid w:val="39462CB6"/>
    <w:rsid w:val="399428F2"/>
    <w:rsid w:val="3A2D05C6"/>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E91F79"/>
    <w:rsid w:val="3F46769F"/>
    <w:rsid w:val="3F5F0DCC"/>
    <w:rsid w:val="3FC759B0"/>
    <w:rsid w:val="3FEE6A4A"/>
    <w:rsid w:val="3FFC1167"/>
    <w:rsid w:val="4044258D"/>
    <w:rsid w:val="4068306E"/>
    <w:rsid w:val="40716E79"/>
    <w:rsid w:val="40A11D0E"/>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2075749"/>
    <w:rsid w:val="526D7CA2"/>
    <w:rsid w:val="528A0854"/>
    <w:rsid w:val="5290573F"/>
    <w:rsid w:val="535F7ADD"/>
    <w:rsid w:val="53604C5E"/>
    <w:rsid w:val="5362532D"/>
    <w:rsid w:val="53D31D87"/>
    <w:rsid w:val="53E67D0C"/>
    <w:rsid w:val="53ED01C1"/>
    <w:rsid w:val="54363BAA"/>
    <w:rsid w:val="54540146"/>
    <w:rsid w:val="54817A35"/>
    <w:rsid w:val="54992FD0"/>
    <w:rsid w:val="54A60BCF"/>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AA7FFC"/>
    <w:rsid w:val="5E350BEB"/>
    <w:rsid w:val="5E547F68"/>
    <w:rsid w:val="5E8D26AE"/>
    <w:rsid w:val="5EF8626D"/>
    <w:rsid w:val="5F6366B5"/>
    <w:rsid w:val="5F6661A5"/>
    <w:rsid w:val="601E082E"/>
    <w:rsid w:val="61E8637C"/>
    <w:rsid w:val="620A0A24"/>
    <w:rsid w:val="629D1DAB"/>
    <w:rsid w:val="62C456BC"/>
    <w:rsid w:val="62FF5A4C"/>
    <w:rsid w:val="631C4748"/>
    <w:rsid w:val="63604CB9"/>
    <w:rsid w:val="63AD4A3F"/>
    <w:rsid w:val="6401024A"/>
    <w:rsid w:val="64C6740E"/>
    <w:rsid w:val="64E57B6C"/>
    <w:rsid w:val="652F768E"/>
    <w:rsid w:val="65AE1FF2"/>
    <w:rsid w:val="66195D1F"/>
    <w:rsid w:val="66C00C96"/>
    <w:rsid w:val="67396EFC"/>
    <w:rsid w:val="67713939"/>
    <w:rsid w:val="68556DB7"/>
    <w:rsid w:val="690031C6"/>
    <w:rsid w:val="69794D27"/>
    <w:rsid w:val="69AD15A7"/>
    <w:rsid w:val="69EA2B06"/>
    <w:rsid w:val="6A90057A"/>
    <w:rsid w:val="6AAE5B2F"/>
    <w:rsid w:val="6B256F14"/>
    <w:rsid w:val="6B560E7C"/>
    <w:rsid w:val="6B637A3C"/>
    <w:rsid w:val="6C423AF6"/>
    <w:rsid w:val="6CA05A67"/>
    <w:rsid w:val="6E1B45FE"/>
    <w:rsid w:val="6E2A4841"/>
    <w:rsid w:val="6F6B6EC0"/>
    <w:rsid w:val="6FB92D61"/>
    <w:rsid w:val="70A26911"/>
    <w:rsid w:val="70D6480D"/>
    <w:rsid w:val="70D74514"/>
    <w:rsid w:val="711B64C4"/>
    <w:rsid w:val="717B5AE0"/>
    <w:rsid w:val="721F290F"/>
    <w:rsid w:val="724802B8"/>
    <w:rsid w:val="73571B73"/>
    <w:rsid w:val="747550E2"/>
    <w:rsid w:val="74D8759C"/>
    <w:rsid w:val="75134281"/>
    <w:rsid w:val="7564748C"/>
    <w:rsid w:val="75AB270C"/>
    <w:rsid w:val="772B58B2"/>
    <w:rsid w:val="77387FCF"/>
    <w:rsid w:val="779D09FF"/>
    <w:rsid w:val="78083900"/>
    <w:rsid w:val="78EC2FE0"/>
    <w:rsid w:val="792E51E6"/>
    <w:rsid w:val="796C5D0E"/>
    <w:rsid w:val="7A2C215F"/>
    <w:rsid w:val="7A8772A3"/>
    <w:rsid w:val="7B845591"/>
    <w:rsid w:val="7BEC3136"/>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Default"/>
    <w:basedOn w:val="25"/>
    <w:next w:val="21"/>
    <w:qFormat/>
    <w:uiPriority w:val="0"/>
    <w:pPr>
      <w:autoSpaceDE w:val="0"/>
      <w:autoSpaceDN w:val="0"/>
      <w:adjustRightInd w:val="0"/>
    </w:pPr>
    <w:rPr>
      <w:rFonts w:ascii="宋体" w:hAnsi="宋体" w:cs="宋体"/>
      <w:kern w:val="0"/>
      <w:sz w:val="24"/>
    </w:rPr>
  </w:style>
  <w:style w:type="paragraph" w:customStyle="1" w:styleId="25">
    <w:name w:val="！正文 Alt+0"/>
    <w:basedOn w:val="1"/>
    <w:qFormat/>
    <w:uiPriority w:val="0"/>
    <w:pPr>
      <w:ind w:firstLine="200"/>
    </w:pPr>
    <w:rPr>
      <w:sz w:val="28"/>
      <w:szCs w:val="28"/>
    </w:rPr>
  </w:style>
  <w:style w:type="paragraph" w:customStyle="1" w:styleId="26">
    <w:name w:val="正文1"/>
    <w:basedOn w:val="1"/>
    <w:link w:val="27"/>
    <w:qFormat/>
    <w:uiPriority w:val="0"/>
    <w:pPr>
      <w:spacing w:line="360" w:lineRule="auto"/>
      <w:ind w:firstLine="480" w:firstLineChars="200"/>
    </w:pPr>
    <w:rPr>
      <w:rFonts w:ascii="Times New Roman" w:hAnsi="Times New Roman" w:eastAsia="宋体"/>
      <w:sz w:val="24"/>
    </w:rPr>
  </w:style>
  <w:style w:type="character" w:customStyle="1" w:styleId="27">
    <w:name w:val="正文1 Char"/>
    <w:link w:val="26"/>
    <w:qFormat/>
    <w:uiPriority w:val="0"/>
    <w:rPr>
      <w:rFonts w:ascii="Times New Roman" w:hAnsi="Times New Roman" w:eastAsia="宋体"/>
      <w:sz w:val="24"/>
    </w:rPr>
  </w:style>
  <w:style w:type="character" w:customStyle="1" w:styleId="28">
    <w:name w:val="标题 1 字符"/>
    <w:link w:val="4"/>
    <w:qFormat/>
    <w:uiPriority w:val="0"/>
    <w:rPr>
      <w:rFonts w:ascii="Times New Roman" w:hAnsi="Times New Roman" w:eastAsia="宋体" w:cs="Times New Roman"/>
      <w:b/>
      <w:bCs/>
      <w:kern w:val="44"/>
      <w:sz w:val="36"/>
      <w:szCs w:val="32"/>
    </w:rPr>
  </w:style>
  <w:style w:type="paragraph" w:customStyle="1" w:styleId="29">
    <w:name w:val="表字体"/>
    <w:next w:val="1"/>
    <w:qFormat/>
    <w:uiPriority w:val="0"/>
    <w:pPr>
      <w:jc w:val="center"/>
    </w:pPr>
    <w:rPr>
      <w:rFonts w:hint="eastAsia" w:ascii="Arial" w:hAnsi="Arial" w:cs="Arial" w:eastAsiaTheme="minorEastAsia"/>
      <w:sz w:val="21"/>
    </w:rPr>
  </w:style>
  <w:style w:type="paragraph" w:customStyle="1" w:styleId="30">
    <w:name w:val="表图标题"/>
    <w:basedOn w:val="1"/>
    <w:link w:val="31"/>
    <w:qFormat/>
    <w:uiPriority w:val="0"/>
    <w:pPr>
      <w:spacing w:line="240" w:lineRule="auto"/>
      <w:jc w:val="center"/>
    </w:pPr>
    <w:rPr>
      <w:rFonts w:ascii="Times New Roman" w:hAnsi="Times New Roman" w:eastAsia="宋体"/>
      <w:b/>
      <w:bCs/>
      <w:sz w:val="21"/>
    </w:rPr>
  </w:style>
  <w:style w:type="character" w:customStyle="1" w:styleId="31">
    <w:name w:val="表图标题 Char"/>
    <w:link w:val="30"/>
    <w:qFormat/>
    <w:uiPriority w:val="0"/>
    <w:rPr>
      <w:rFonts w:ascii="Times New Roman" w:hAnsi="Times New Roman" w:eastAsia="宋体"/>
      <w:b/>
      <w:bCs/>
      <w:sz w:val="21"/>
    </w:rPr>
  </w:style>
  <w:style w:type="paragraph" w:customStyle="1" w:styleId="32">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3">
    <w:name w:val="表格内容 Char"/>
    <w:link w:val="32"/>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0"/>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2911</Words>
  <Characters>3223</Characters>
  <Lines>0</Lines>
  <Paragraphs>0</Paragraphs>
  <TotalTime>58</TotalTime>
  <ScaleCrop>false</ScaleCrop>
  <LinksUpToDate>false</LinksUpToDate>
  <CharactersWithSpaces>3307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2025-05-09T08:30:00Z</cp:lastPrinted>
  <dcterms:modified xsi:type="dcterms:W3CDTF">2025-06-13T00:08:14Z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0E9BD9EF102F4906A2E6ECBADC8A1891_13</vt:lpwstr>
  </property>
  <property fmtid="{D5CDD505-2E9C-101B-9397-08002B2CF9AE}" pid="4" name="KSOTemplateDocerSaveRecord">
    <vt:lpwstr>eyJoZGlkIjoiMzVmZjdhMWI3MmE2N2M2NGNiZDE5OTY3YzY3MWY5MzIiLCJ1c2VySWQiOiIzNTc2MjQyMjgifQ==</vt:lpwstr>
  </property>
</Properties>
</file>