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19</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岳阳湘创新能源开发有限公司蒸汽供热项目环境影响报告表</w:t>
      </w:r>
      <w:r>
        <w:rPr>
          <w:rFonts w:hint="default" w:ascii="Times New Roman" w:hAnsi="Times New Roman" w:eastAsia="方正小标宋_GBK" w:cs="Times New Roman"/>
          <w:bCs/>
          <w:sz w:val="44"/>
          <w:szCs w:val="44"/>
          <w:lang w:val="en-US" w:eastAsia="zh-CN"/>
        </w:rPr>
        <w:t>的批复</w:t>
      </w:r>
    </w:p>
    <w:p>
      <w:pPr>
        <w:pStyle w:val="2"/>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岳阳湘创新能源开发有限公司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你公司（地址：</w:t>
      </w:r>
      <w:r>
        <w:rPr>
          <w:rFonts w:hint="eastAsia" w:eastAsia="仿宋_GB2312" w:cs="Times New Roman"/>
          <w:bCs/>
          <w:sz w:val="32"/>
          <w:szCs w:val="32"/>
          <w:lang w:val="en-US" w:eastAsia="zh-CN"/>
        </w:rPr>
        <w:t>岳阳市湘阴县湘阴高新技术产业开发区湘阴佳海绿色食品产业园内B8栋</w:t>
      </w:r>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欧阳苏明</w:t>
      </w:r>
      <w:r>
        <w:rPr>
          <w:rFonts w:hint="default" w:eastAsia="仿宋_GB2312" w:cs="Times New Roman"/>
          <w:bCs/>
          <w:sz w:val="32"/>
          <w:szCs w:val="32"/>
          <w:lang w:val="en-US" w:eastAsia="zh-CN"/>
        </w:rPr>
        <w:t>，统一社会信用代码：91430624MAEFKUQ7XJ）于2025年</w:t>
      </w:r>
      <w:r>
        <w:rPr>
          <w:rFonts w:hint="eastAsia" w:eastAsia="仿宋_GB2312" w:cs="Times New Roman"/>
          <w:bCs/>
          <w:sz w:val="32"/>
          <w:szCs w:val="32"/>
          <w:lang w:val="en-US" w:eastAsia="zh-CN"/>
        </w:rPr>
        <w:t>06</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30</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eastAsia="仿宋_GB2312" w:cs="Times New Roman"/>
          <w:bCs/>
          <w:sz w:val="32"/>
          <w:szCs w:val="32"/>
          <w:lang w:val="en-US" w:eastAsia="zh-CN"/>
        </w:rPr>
        <w:t>专家评审意见、岳阳市湘阴生态环境事务中心《关于&lt;岳阳湘创新能源开发有限公司蒸汽供热项目环境影响报告表&gt;技术评估意见的报告》（岳湘环事评估〔2025〕12号</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经审查，你公司</w:t>
      </w:r>
      <w:r>
        <w:rPr>
          <w:rFonts w:hint="eastAsia" w:eastAsia="仿宋_GB2312" w:cs="Times New Roman"/>
          <w:bCs/>
          <w:sz w:val="32"/>
          <w:szCs w:val="32"/>
          <w:lang w:val="en-US" w:eastAsia="zh-CN"/>
        </w:rPr>
        <w:t>委托长沙羽宸环保科技有限公司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《岳阳湘创新能源开发有限公司蒸汽供热项目环境影响</w:t>
      </w:r>
      <w:bookmarkStart w:id="1" w:name="_GoBack"/>
      <w:bookmarkEnd w:id="1"/>
      <w:r>
        <w:rPr>
          <w:rFonts w:hint="eastAsia" w:eastAsia="仿宋_GB2312" w:cs="Times New Roman"/>
          <w:bCs/>
          <w:sz w:val="32"/>
          <w:szCs w:val="32"/>
          <w:lang w:val="en-US" w:eastAsia="zh-CN"/>
        </w:rPr>
        <w:t>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岳阳湘创新能源开发有限公司</w:t>
      </w:r>
      <w:r>
        <w:rPr>
          <w:rFonts w:hint="default" w:eastAsia="仿宋_GB2312" w:cs="Times New Roman"/>
          <w:bCs/>
          <w:sz w:val="32"/>
          <w:szCs w:val="32"/>
          <w:lang w:val="en-US" w:eastAsia="zh-CN"/>
        </w:rPr>
        <w:t>拟投资</w:t>
      </w:r>
      <w:r>
        <w:rPr>
          <w:rFonts w:hint="eastAsia" w:eastAsia="仿宋_GB2312" w:cs="Times New Roman"/>
          <w:bCs/>
          <w:sz w:val="32"/>
          <w:szCs w:val="32"/>
          <w:lang w:val="en-US" w:eastAsia="zh-CN"/>
        </w:rPr>
        <w:t>700</w:t>
      </w:r>
      <w:r>
        <w:rPr>
          <w:rFonts w:hint="default" w:eastAsia="仿宋_GB2312" w:cs="Times New Roman"/>
          <w:bCs/>
          <w:sz w:val="32"/>
          <w:szCs w:val="32"/>
          <w:lang w:val="en-US" w:eastAsia="zh-CN"/>
        </w:rPr>
        <w:t>万元（其中环保投资</w:t>
      </w:r>
      <w:r>
        <w:rPr>
          <w:rFonts w:hint="eastAsia" w:eastAsia="仿宋_GB2312" w:cs="Times New Roman"/>
          <w:bCs/>
          <w:sz w:val="32"/>
          <w:szCs w:val="32"/>
          <w:lang w:val="en-US" w:eastAsia="zh-CN"/>
        </w:rPr>
        <w:t>128</w:t>
      </w:r>
      <w:r>
        <w:rPr>
          <w:rFonts w:hint="default" w:eastAsia="仿宋_GB2312" w:cs="Times New Roman"/>
          <w:bCs/>
          <w:sz w:val="32"/>
          <w:szCs w:val="32"/>
          <w:lang w:val="en-US" w:eastAsia="zh-CN"/>
        </w:rPr>
        <w:t>万元），于湖南省岳阳市湘阴县湘阴高新技术产业开发区湘阴佳海绿色食品产业园内B8栋1楼东半部建设</w:t>
      </w:r>
      <w:r>
        <w:rPr>
          <w:rFonts w:hint="eastAsia" w:eastAsia="仿宋_GB2312" w:cs="Times New Roman"/>
          <w:bCs/>
          <w:sz w:val="32"/>
          <w:szCs w:val="32"/>
          <w:lang w:val="en-US" w:eastAsia="zh-CN"/>
        </w:rPr>
        <w:t>岳阳湘创新能源开发有限公司蒸汽供热项目</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项目</w:t>
      </w:r>
      <w:r>
        <w:rPr>
          <w:rFonts w:hint="default" w:eastAsia="仿宋_GB2312" w:cs="Times New Roman"/>
          <w:bCs/>
          <w:sz w:val="32"/>
          <w:szCs w:val="32"/>
          <w:lang w:val="en-US" w:eastAsia="zh-CN"/>
        </w:rPr>
        <w:t>为湘阴佳海绿色食品产业园的配套蒸汽供热项目，总</w:t>
      </w:r>
      <w:r>
        <w:rPr>
          <w:rFonts w:hint="eastAsia" w:eastAsia="仿宋_GB2312" w:cs="Times New Roman"/>
          <w:bCs/>
          <w:sz w:val="32"/>
          <w:szCs w:val="32"/>
          <w:lang w:val="en-US" w:eastAsia="zh-CN"/>
        </w:rPr>
        <w:t>建筑</w:t>
      </w:r>
      <w:r>
        <w:rPr>
          <w:rFonts w:hint="default" w:eastAsia="仿宋_GB2312" w:cs="Times New Roman"/>
          <w:bCs/>
          <w:sz w:val="32"/>
          <w:szCs w:val="32"/>
          <w:lang w:val="en-US" w:eastAsia="zh-CN"/>
        </w:rPr>
        <w:t>面积为</w:t>
      </w:r>
      <w:r>
        <w:rPr>
          <w:rFonts w:hint="eastAsia" w:eastAsia="仿宋_GB2312" w:cs="Times New Roman"/>
          <w:bCs/>
          <w:sz w:val="32"/>
          <w:szCs w:val="32"/>
          <w:lang w:val="en-US" w:eastAsia="zh-CN"/>
        </w:rPr>
        <w:t>560</w:t>
      </w:r>
      <w:r>
        <w:rPr>
          <w:rFonts w:hint="default" w:eastAsia="仿宋_GB2312" w:cs="Times New Roman"/>
          <w:bCs/>
          <w:sz w:val="32"/>
          <w:szCs w:val="32"/>
          <w:lang w:val="en-US" w:eastAsia="zh-CN"/>
        </w:rPr>
        <w:t>m</w:t>
      </w:r>
      <w:r>
        <w:rPr>
          <w:rFonts w:hint="default" w:eastAsia="仿宋_GB2312" w:cs="Times New Roman"/>
          <w:bCs/>
          <w:sz w:val="32"/>
          <w:szCs w:val="32"/>
          <w:vertAlign w:val="superscript"/>
          <w:lang w:val="en-US" w:eastAsia="zh-CN"/>
        </w:rPr>
        <w:t>2</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主要建设内容包括：一期</w:t>
      </w:r>
      <w:r>
        <w:rPr>
          <w:rFonts w:hint="eastAsia" w:eastAsia="仿宋_GB2312" w:cs="Times New Roman"/>
          <w:bCs/>
          <w:sz w:val="32"/>
          <w:szCs w:val="32"/>
          <w:lang w:val="en-US" w:eastAsia="zh-CN"/>
        </w:rPr>
        <w:t>建设</w:t>
      </w:r>
      <w:r>
        <w:rPr>
          <w:rFonts w:hint="default" w:eastAsia="仿宋_GB2312" w:cs="Times New Roman"/>
          <w:bCs/>
          <w:sz w:val="32"/>
          <w:szCs w:val="32"/>
          <w:lang w:val="en-US" w:eastAsia="zh-CN"/>
        </w:rPr>
        <w:t>2台8t/h链条炉排层燃式生物质锅炉，一用一备；二期</w:t>
      </w:r>
      <w:r>
        <w:rPr>
          <w:rFonts w:hint="eastAsia" w:eastAsia="仿宋_GB2312" w:cs="Times New Roman"/>
          <w:bCs/>
          <w:sz w:val="32"/>
          <w:szCs w:val="32"/>
          <w:lang w:val="en-US" w:eastAsia="zh-CN"/>
        </w:rPr>
        <w:t>建设</w:t>
      </w:r>
      <w:r>
        <w:rPr>
          <w:rFonts w:hint="default" w:eastAsia="仿宋_GB2312" w:cs="Times New Roman"/>
          <w:bCs/>
          <w:sz w:val="32"/>
          <w:szCs w:val="32"/>
          <w:lang w:val="en-US" w:eastAsia="zh-CN"/>
        </w:rPr>
        <w:t>1台10t/h链条炉排层燃式生物质锅炉。并配套建设燃料暂存区</w:t>
      </w:r>
      <w:r>
        <w:rPr>
          <w:rFonts w:hint="eastAsia" w:eastAsia="仿宋_GB2312" w:cs="Times New Roman"/>
          <w:bCs/>
          <w:sz w:val="32"/>
          <w:szCs w:val="32"/>
          <w:lang w:val="en-US" w:eastAsia="zh-CN"/>
        </w:rPr>
        <w:t>和</w:t>
      </w:r>
      <w:r>
        <w:rPr>
          <w:rFonts w:hint="default" w:eastAsia="仿宋_GB2312" w:cs="Times New Roman"/>
          <w:bCs/>
          <w:sz w:val="32"/>
          <w:szCs w:val="32"/>
          <w:lang w:val="en-US" w:eastAsia="zh-CN"/>
        </w:rPr>
        <w:t>环保设施</w:t>
      </w:r>
      <w:r>
        <w:rPr>
          <w:rFonts w:hint="eastAsia" w:eastAsia="仿宋_GB2312" w:cs="Times New Roman"/>
          <w:bCs/>
          <w:sz w:val="32"/>
          <w:szCs w:val="32"/>
          <w:lang w:val="en-US" w:eastAsia="zh-CN"/>
        </w:rPr>
        <w:t>，配电、给排水、消防等基础设施均依托湘阴佳海绿色食品产业园现有工程。（详见建设项目环境影响报告表）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二、建设单位在工程设计、建设和运营管理过程中，做好污染治理工作，必须全面落实《报告表》提出的各项污染防治措施并着重做好如下工作：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一</w:t>
      </w:r>
      <w:r>
        <w:rPr>
          <w:rFonts w:hint="default" w:eastAsia="仿宋_GB2312" w:cs="Times New Roman"/>
          <w:bCs/>
          <w:sz w:val="32"/>
          <w:szCs w:val="32"/>
          <w:lang w:val="en-US" w:eastAsia="zh-CN"/>
        </w:rPr>
        <w:t>）落实废水污染防治措施。</w:t>
      </w:r>
      <w:r>
        <w:rPr>
          <w:rFonts w:hint="eastAsia" w:eastAsia="仿宋_GB2312" w:cs="Times New Roman"/>
          <w:bCs/>
          <w:sz w:val="32"/>
          <w:szCs w:val="32"/>
          <w:lang w:val="en-US" w:eastAsia="zh-CN"/>
        </w:rPr>
        <w:t>建设好雨污分流设施。</w:t>
      </w:r>
      <w:r>
        <w:rPr>
          <w:rFonts w:hint="default" w:eastAsia="仿宋_GB2312" w:cs="Times New Roman"/>
          <w:bCs/>
          <w:sz w:val="32"/>
          <w:szCs w:val="32"/>
          <w:lang w:val="en-US" w:eastAsia="zh-CN"/>
        </w:rPr>
        <w:t>项目锅炉排污水、锅炉软化处理废水及锅炉纯水装备反冲洗废水依托佳海食品产业园的配套污水处理站处理后满足《污水综合排放标准》（GB8978-1996）三级标准及湘阴县第二污水处理厂进水水质要求后，通过污水管网进入湘阴县第二污水处理厂处理满足《城镇污水处理厂污染物排放标准》（GB18918-2002）一级A标准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）落实废气污染防治措施。</w:t>
      </w:r>
      <w:r>
        <w:rPr>
          <w:rFonts w:hint="eastAsia" w:eastAsia="仿宋_GB2312" w:cs="Times New Roman"/>
          <w:bCs/>
          <w:sz w:val="32"/>
          <w:szCs w:val="32"/>
          <w:lang w:val="en-US" w:eastAsia="zh-CN"/>
        </w:rPr>
        <w:t>按《报告表》要求做好有组织工艺废气处理，排气筒高度应符合《报告表》要求，</w:t>
      </w:r>
      <w:r>
        <w:rPr>
          <w:rFonts w:hint="default" w:eastAsia="仿宋_GB2312" w:cs="Times New Roman"/>
          <w:bCs/>
          <w:sz w:val="32"/>
          <w:szCs w:val="32"/>
          <w:lang w:val="en-US" w:eastAsia="zh-CN"/>
        </w:rPr>
        <w:t>锅炉</w:t>
      </w:r>
      <w:r>
        <w:rPr>
          <w:rFonts w:hint="eastAsia" w:eastAsia="仿宋_GB2312" w:cs="Times New Roman"/>
          <w:bCs/>
          <w:sz w:val="32"/>
          <w:szCs w:val="32"/>
          <w:lang w:val="en-US" w:eastAsia="zh-CN"/>
        </w:rPr>
        <w:t>工序产生的颗粒物、二氧化硫、氮氧化物</w:t>
      </w:r>
      <w:r>
        <w:rPr>
          <w:rFonts w:hint="default" w:eastAsia="仿宋_GB2312" w:cs="Times New Roman"/>
          <w:bCs/>
          <w:sz w:val="32"/>
          <w:szCs w:val="32"/>
          <w:lang w:val="en-US" w:eastAsia="zh-CN"/>
        </w:rPr>
        <w:t>经处理后满足《锅炉大气污染物排放标准》（GB13271-2014）中表3中大气污染物特别限值燃煤锅炉标准要求</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氨排放浓度参照执行《火电厂烟气脱硝工程技术规范选择性非催化还原法（HJ563-2010）》氨逃逸的规定（低于8.0mg/m3</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要求</w:t>
      </w:r>
      <w:r>
        <w:rPr>
          <w:rFonts w:hint="default" w:eastAsia="仿宋_GB2312" w:cs="Times New Roman"/>
          <w:bCs/>
          <w:sz w:val="32"/>
          <w:szCs w:val="32"/>
          <w:lang w:val="en-US" w:eastAsia="zh-CN"/>
        </w:rPr>
        <w:t>后通过1根</w:t>
      </w:r>
      <w:r>
        <w:rPr>
          <w:rFonts w:hint="eastAsia" w:eastAsia="仿宋_GB2312" w:cs="Times New Roman"/>
          <w:bCs/>
          <w:sz w:val="32"/>
          <w:szCs w:val="32"/>
          <w:lang w:val="en-US" w:eastAsia="zh-CN"/>
        </w:rPr>
        <w:t>4</w:t>
      </w:r>
      <w:r>
        <w:rPr>
          <w:rFonts w:hint="default" w:eastAsia="仿宋_GB2312" w:cs="Times New Roman"/>
          <w:bCs/>
          <w:sz w:val="32"/>
          <w:szCs w:val="32"/>
          <w:lang w:val="en-US" w:eastAsia="zh-CN"/>
        </w:rPr>
        <w:t>0m高的烟囱高空排放。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加强无组织废气污染防治，</w:t>
      </w:r>
      <w:r>
        <w:rPr>
          <w:rFonts w:hint="default" w:eastAsia="仿宋_GB2312" w:cs="Times New Roman"/>
          <w:bCs/>
          <w:sz w:val="32"/>
          <w:szCs w:val="32"/>
          <w:lang w:val="en-US" w:eastAsia="zh-CN"/>
        </w:rPr>
        <w:t>生物质燃料装卸、储存及运输产生的颗粒物经围墙阻挡、自然沉降后呈无组织排放，确保厂界颗粒物满足《大气污染物综合排放标准》（GB16297-1996）表2中新污染源大气污染物排放限值无组织</w:t>
      </w:r>
      <w:r>
        <w:rPr>
          <w:rFonts w:hint="eastAsia" w:eastAsia="仿宋_GB2312" w:cs="Times New Roman"/>
          <w:bCs/>
          <w:sz w:val="32"/>
          <w:szCs w:val="32"/>
          <w:lang w:val="en-US" w:eastAsia="zh-CN"/>
        </w:rPr>
        <w:t>排放监控</w:t>
      </w:r>
      <w:r>
        <w:rPr>
          <w:rFonts w:hint="default" w:eastAsia="仿宋_GB2312" w:cs="Times New Roman"/>
          <w:bCs/>
          <w:sz w:val="32"/>
          <w:szCs w:val="32"/>
          <w:lang w:val="en-US" w:eastAsia="zh-CN"/>
        </w:rPr>
        <w:t>浓度限值要求。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）落实噪声污染防治措施。选用低噪声设备，合理布局，并做好基础减振、隔音和降噪等防治措施，厂界噪声满足《工业企业厂界环境噪声排放标准》（GB12348-2008）中3类标准要求。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生活垃圾收集后交由当地环卫部门处置；废润滑油、废机油、含油抹布及手套、废润滑油及机油包装桶等危险废物应严格执行《危险废物贮存污染控制标准》（GB18597-2023）要求，收集暂存在危险废物贮存间，定期委托有资质单位妥善处理；一般工业固体废物贮存过程应满足相应防渗漏、防雨淋、防扬尘等环境保护要求。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（五）</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七</w:t>
      </w:r>
      <w:r>
        <w:rPr>
          <w:rFonts w:hint="default" w:eastAsia="仿宋_GB2312" w:cs="Times New Roman"/>
          <w:bCs/>
          <w:sz w:val="32"/>
          <w:szCs w:val="32"/>
          <w:lang w:val="en-US" w:eastAsia="zh-CN"/>
        </w:rPr>
        <w:t>）该项目</w:t>
      </w:r>
      <w:r>
        <w:rPr>
          <w:rFonts w:hint="eastAsia" w:eastAsia="仿宋_GB2312" w:cs="Times New Roman"/>
          <w:bCs/>
          <w:sz w:val="32"/>
          <w:szCs w:val="32"/>
          <w:lang w:val="en-US" w:eastAsia="zh-CN"/>
        </w:rPr>
        <w:t>建成</w:t>
      </w:r>
      <w:r>
        <w:rPr>
          <w:rFonts w:hint="default" w:eastAsia="仿宋_GB2312" w:cs="Times New Roman"/>
          <w:bCs/>
          <w:sz w:val="32"/>
          <w:szCs w:val="32"/>
          <w:lang w:val="en-US" w:eastAsia="zh-CN"/>
        </w:rPr>
        <w:t>后全厂污染物排放总量控制指标为：</w:t>
      </w:r>
      <w:r>
        <w:rPr>
          <w:rFonts w:hint="eastAsia" w:ascii="Times New Roman" w:hAnsi="Times New Roman" w:eastAsia="仿宋_GB2312" w:cs="Times New Roman"/>
          <w:bCs/>
          <w:sz w:val="32"/>
          <w:szCs w:val="32"/>
          <w:lang w:val="en-US" w:eastAsia="zh-CN"/>
        </w:rPr>
        <w:t>SO</w:t>
      </w:r>
      <w:r>
        <w:rPr>
          <w:rFonts w:hint="eastAsia" w:ascii="Times New Roman" w:hAnsi="Times New Roman" w:eastAsia="仿宋_GB2312" w:cs="Times New Roman"/>
          <w:bCs/>
          <w:sz w:val="32"/>
          <w:szCs w:val="32"/>
          <w:vertAlign w:val="subscript"/>
          <w:lang w:val="en-US" w:eastAsia="zh-CN"/>
        </w:rPr>
        <w:t>2</w:t>
      </w:r>
      <w:r>
        <w:rPr>
          <w:rFonts w:hint="eastAsia"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4</w:t>
      </w:r>
      <w:r>
        <w:rPr>
          <w:rFonts w:hint="eastAsia" w:ascii="Times New Roman" w:hAnsi="Times New Roman" w:eastAsia="仿宋_GB2312" w:cs="Times New Roman"/>
          <w:bCs/>
          <w:sz w:val="32"/>
          <w:szCs w:val="32"/>
          <w:lang w:val="en-US" w:eastAsia="zh-CN"/>
        </w:rPr>
        <w:t>t/a、NO</w:t>
      </w:r>
      <w:r>
        <w:rPr>
          <w:rFonts w:hint="eastAsia" w:ascii="Times New Roman" w:hAnsi="Times New Roman" w:eastAsia="仿宋_GB2312" w:cs="Times New Roman"/>
          <w:bCs/>
          <w:sz w:val="32"/>
          <w:szCs w:val="32"/>
          <w:vertAlign w:val="subscript"/>
          <w:lang w:val="en-US" w:eastAsia="zh-CN"/>
        </w:rPr>
        <w:t>x</w:t>
      </w:r>
      <w:r>
        <w:rPr>
          <w:rFonts w:hint="eastAsia" w:ascii="Times New Roman" w:hAnsi="Times New Roman" w:eastAsia="仿宋_GB2312" w:cs="Times New Roman"/>
          <w:bCs/>
          <w:sz w:val="32"/>
          <w:szCs w:val="32"/>
          <w:lang w:val="en-US" w:eastAsia="zh-CN"/>
        </w:rPr>
        <w:t>≤3.</w:t>
      </w:r>
      <w:r>
        <w:rPr>
          <w:rFonts w:hint="eastAsia" w:eastAsia="仿宋_GB2312" w:cs="Times New Roman"/>
          <w:bCs/>
          <w:sz w:val="32"/>
          <w:szCs w:val="32"/>
          <w:lang w:val="en-US" w:eastAsia="zh-CN"/>
        </w:rPr>
        <w:t>9</w:t>
      </w:r>
      <w:r>
        <w:rPr>
          <w:rFonts w:hint="eastAsia" w:ascii="Times New Roman" w:hAnsi="Times New Roman" w:eastAsia="仿宋_GB2312" w:cs="Times New Roman"/>
          <w:bCs/>
          <w:sz w:val="32"/>
          <w:szCs w:val="32"/>
          <w:lang w:val="en-US" w:eastAsia="zh-CN"/>
        </w:rPr>
        <w:t>t/a</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w:t>
      </w:r>
      <w:r>
        <w:rPr>
          <w:rFonts w:hint="default" w:ascii="Times New Roman" w:hAnsi="Times New Roman" w:eastAsia="仿宋_GB2312" w:cs="Times New Roman"/>
          <w:bCs/>
          <w:sz w:val="32"/>
          <w:szCs w:val="32"/>
          <w:lang w:val="en-US" w:eastAsia="zh-CN"/>
        </w:rPr>
        <w:t>你公司应在收到本批复后7个工作日内，将批复及批准的环评报告文本送至湖南湘阴高新技术产业开发区管理委员会、岳阳市湘阴县生态环境保护综合行政执法大队、长沙羽宸环保科技有限公司。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2025年</w:t>
      </w:r>
      <w:r>
        <w:rPr>
          <w:rFonts w:hint="eastAsia"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26C8B8D-D178-403F-9ACD-1C6EA5A19EDE}"/>
  </w:font>
  <w:font w:name="方正小标宋_GBK">
    <w:panose1 w:val="03000509000000000000"/>
    <w:charset w:val="86"/>
    <w:family w:val="auto"/>
    <w:pitch w:val="default"/>
    <w:sig w:usb0="00000001" w:usb1="080E0000" w:usb2="00000000" w:usb3="00000000" w:csb0="00040000" w:csb1="00000000"/>
    <w:embedRegular r:id="rId2" w:fontKey="{D4E4555F-D6E5-4DB4-9EEB-75EB56A3A08B}"/>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68A5844A"/>
    <w:multiLevelType w:val="singleLevel"/>
    <w:tmpl w:val="68A5844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A725AF"/>
    <w:rsid w:val="00C43949"/>
    <w:rsid w:val="016D259A"/>
    <w:rsid w:val="01FF74C5"/>
    <w:rsid w:val="021F7DC1"/>
    <w:rsid w:val="02744495"/>
    <w:rsid w:val="0361265C"/>
    <w:rsid w:val="039F5648"/>
    <w:rsid w:val="03DD6186"/>
    <w:rsid w:val="04127A33"/>
    <w:rsid w:val="05031C1C"/>
    <w:rsid w:val="052177D2"/>
    <w:rsid w:val="05BD2E07"/>
    <w:rsid w:val="062D0262"/>
    <w:rsid w:val="063D115E"/>
    <w:rsid w:val="065B567D"/>
    <w:rsid w:val="068B047B"/>
    <w:rsid w:val="06957FBA"/>
    <w:rsid w:val="06DF1684"/>
    <w:rsid w:val="080F2686"/>
    <w:rsid w:val="09207C05"/>
    <w:rsid w:val="09714054"/>
    <w:rsid w:val="09BD2F54"/>
    <w:rsid w:val="0AC0410C"/>
    <w:rsid w:val="0BBE4AEF"/>
    <w:rsid w:val="0C253AE3"/>
    <w:rsid w:val="0C46547E"/>
    <w:rsid w:val="0C962284"/>
    <w:rsid w:val="0DA41AC3"/>
    <w:rsid w:val="0DB91576"/>
    <w:rsid w:val="0DC1163E"/>
    <w:rsid w:val="0DC932D7"/>
    <w:rsid w:val="0E90736F"/>
    <w:rsid w:val="0E9D21B1"/>
    <w:rsid w:val="0EA0672E"/>
    <w:rsid w:val="0F657030"/>
    <w:rsid w:val="10405A03"/>
    <w:rsid w:val="1075552C"/>
    <w:rsid w:val="107820F3"/>
    <w:rsid w:val="107A6B0B"/>
    <w:rsid w:val="110F1C95"/>
    <w:rsid w:val="112F3D99"/>
    <w:rsid w:val="117B6FDE"/>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D9A44F9"/>
    <w:rsid w:val="1E4A2212"/>
    <w:rsid w:val="1E6A10F9"/>
    <w:rsid w:val="1F8D2690"/>
    <w:rsid w:val="1F980D5B"/>
    <w:rsid w:val="20337402"/>
    <w:rsid w:val="203E6F7B"/>
    <w:rsid w:val="21154D5A"/>
    <w:rsid w:val="21EC1E61"/>
    <w:rsid w:val="2277734E"/>
    <w:rsid w:val="22952C4B"/>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476EC7"/>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DE7970"/>
    <w:rsid w:val="3EE91F79"/>
    <w:rsid w:val="3F46769F"/>
    <w:rsid w:val="3F5F0DCC"/>
    <w:rsid w:val="3FC759B0"/>
    <w:rsid w:val="3FEE6A4A"/>
    <w:rsid w:val="3FFC1167"/>
    <w:rsid w:val="4044258D"/>
    <w:rsid w:val="4068306E"/>
    <w:rsid w:val="40716E79"/>
    <w:rsid w:val="40A11D0E"/>
    <w:rsid w:val="40C83C27"/>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086E2D"/>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11E68"/>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6F6499"/>
    <w:rsid w:val="5DAA7FFC"/>
    <w:rsid w:val="5E350BEB"/>
    <w:rsid w:val="5E547F68"/>
    <w:rsid w:val="5E8D26AE"/>
    <w:rsid w:val="5EF8626D"/>
    <w:rsid w:val="5F064612"/>
    <w:rsid w:val="5F6366B5"/>
    <w:rsid w:val="5F6661A5"/>
    <w:rsid w:val="601E082E"/>
    <w:rsid w:val="61BB5083"/>
    <w:rsid w:val="61E8637C"/>
    <w:rsid w:val="620A0A24"/>
    <w:rsid w:val="629D1DAB"/>
    <w:rsid w:val="62C456BC"/>
    <w:rsid w:val="62FF5A4C"/>
    <w:rsid w:val="631C4748"/>
    <w:rsid w:val="63604CB9"/>
    <w:rsid w:val="63AD4A3F"/>
    <w:rsid w:val="6401024A"/>
    <w:rsid w:val="64C6740E"/>
    <w:rsid w:val="64E57B6C"/>
    <w:rsid w:val="652F768E"/>
    <w:rsid w:val="65AE1FF2"/>
    <w:rsid w:val="66195D1F"/>
    <w:rsid w:val="66C00C96"/>
    <w:rsid w:val="67396EFC"/>
    <w:rsid w:val="67713939"/>
    <w:rsid w:val="68556DB7"/>
    <w:rsid w:val="690031C6"/>
    <w:rsid w:val="695D5670"/>
    <w:rsid w:val="69794D27"/>
    <w:rsid w:val="69AD15A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1855FC2"/>
    <w:rsid w:val="721F290F"/>
    <w:rsid w:val="724802B8"/>
    <w:rsid w:val="73571B73"/>
    <w:rsid w:val="747550E2"/>
    <w:rsid w:val="74D8759C"/>
    <w:rsid w:val="75134281"/>
    <w:rsid w:val="7564748C"/>
    <w:rsid w:val="75AB270C"/>
    <w:rsid w:val="772B58B2"/>
    <w:rsid w:val="77387FCF"/>
    <w:rsid w:val="779D09FF"/>
    <w:rsid w:val="78083900"/>
    <w:rsid w:val="78EC2FE0"/>
    <w:rsid w:val="792E51E6"/>
    <w:rsid w:val="796C5D0E"/>
    <w:rsid w:val="7A2C215F"/>
    <w:rsid w:val="7A69368B"/>
    <w:rsid w:val="7A8772A3"/>
    <w:rsid w:val="7B845591"/>
    <w:rsid w:val="7BEC3136"/>
    <w:rsid w:val="7C91122A"/>
    <w:rsid w:val="7CCD11BA"/>
    <w:rsid w:val="7CE1357B"/>
    <w:rsid w:val="7DA168CE"/>
    <w:rsid w:val="7DB26EA6"/>
    <w:rsid w:val="7DBA7990"/>
    <w:rsid w:val="7E2364DE"/>
    <w:rsid w:val="7F182693"/>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2537</Characters>
  <Lines>0</Lines>
  <Paragraphs>0</Paragraphs>
  <TotalTime>10</TotalTime>
  <ScaleCrop>false</ScaleCrop>
  <LinksUpToDate>false</LinksUpToDate>
  <CharactersWithSpaces>2618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2025-07-03T08:05:00Z</cp:lastPrinted>
  <dcterms:modified xsi:type="dcterms:W3CDTF">2025-07-28T03:35:01Z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33A081884BAB4D8F8F04536E36888EA4</vt:lpwstr>
  </property>
  <property fmtid="{D5CDD505-2E9C-101B-9397-08002B2CF9AE}" pid="4" name="KSOTemplateDocerSaveRecord">
    <vt:lpwstr>eyJoZGlkIjoiYWFkMDZmNDJlMzc5MjM3MDAwYjE1NmY1NTlkZjgwMTQiLCJ1c2VySWQiOiIyODgwNzA0ODcifQ==</vt:lpwstr>
  </property>
</Properties>
</file>