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FF0000"/>
          <w:sz w:val="36"/>
          <w:szCs w:val="36"/>
          <w:highlight w:val="none"/>
          <w:u w:val="none" w:color="auto"/>
        </w:rPr>
      </w:pPr>
      <w:bookmarkStart w:id="0" w:name="_Hlk57883707"/>
    </w:p>
    <w:p>
      <w:pPr>
        <w:rPr>
          <w:rFonts w:hint="default" w:ascii="Times New Roman" w:hAnsi="Times New Roman" w:eastAsia="仿宋_GB2312" w:cs="Times New Roman"/>
          <w:color w:val="auto"/>
          <w:sz w:val="36"/>
          <w:szCs w:val="36"/>
          <w:highlight w:val="none"/>
          <w:u w:val="none" w:color="auto"/>
        </w:rPr>
      </w:pPr>
    </w:p>
    <w:p>
      <w:pPr>
        <w:rPr>
          <w:rFonts w:hint="default" w:ascii="Times New Roman" w:hAnsi="Times New Roman" w:eastAsia="仿宋_GB2312" w:cs="Times New Roman"/>
          <w:color w:val="auto"/>
          <w:sz w:val="36"/>
          <w:szCs w:val="36"/>
          <w:highlight w:val="none"/>
          <w:u w:val="none" w:color="auto"/>
        </w:rPr>
      </w:pPr>
    </w:p>
    <w:p>
      <w:pPr>
        <w:rPr>
          <w:rFonts w:hint="default" w:ascii="Times New Roman" w:hAnsi="Times New Roman" w:eastAsia="仿宋_GB2312" w:cs="Times New Roman"/>
          <w:color w:val="auto"/>
          <w:sz w:val="36"/>
          <w:szCs w:val="36"/>
          <w:highlight w:val="none"/>
          <w:u w:val="none" w:color="auto"/>
        </w:rPr>
      </w:pPr>
    </w:p>
    <w:p>
      <w:pPr>
        <w:rPr>
          <w:rFonts w:hint="default" w:ascii="Times New Roman" w:hAnsi="Times New Roman" w:eastAsia="仿宋_GB2312" w:cs="Times New Roman"/>
          <w:color w:val="auto"/>
          <w:sz w:val="36"/>
          <w:szCs w:val="36"/>
          <w:highlight w:val="none"/>
          <w:u w:val="none" w:color="auto"/>
        </w:rPr>
      </w:pPr>
    </w:p>
    <w:p>
      <w:pPr>
        <w:adjustRightInd w:val="0"/>
        <w:snapToGrid w:val="0"/>
        <w:ind w:left="63" w:leftChars="30" w:right="63" w:rightChars="30"/>
        <w:jc w:val="center"/>
        <w:rPr>
          <w:rFonts w:hint="eastAsia" w:ascii="Times New Roman" w:hAnsi="Times New Roman" w:cs="Times New Roman"/>
          <w:color w:val="auto"/>
          <w:sz w:val="72"/>
          <w:szCs w:val="72"/>
          <w:u w:val="none" w:color="auto"/>
          <w:lang w:eastAsia="zh-CN"/>
        </w:rPr>
      </w:pPr>
      <w:bookmarkStart w:id="1" w:name="_Toc27588"/>
      <w:r>
        <w:rPr>
          <w:rFonts w:hint="eastAsia" w:ascii="Times New Roman" w:hAnsi="Times New Roman" w:cs="Times New Roman"/>
          <w:color w:val="auto"/>
          <w:sz w:val="72"/>
          <w:szCs w:val="72"/>
          <w:u w:val="none" w:color="auto"/>
          <w:lang w:eastAsia="zh-CN"/>
        </w:rPr>
        <w:t>建设项目环境影响报告表</w:t>
      </w:r>
      <w:bookmarkEnd w:id="1"/>
    </w:p>
    <w:p>
      <w:pPr>
        <w:adjustRightInd w:val="0"/>
        <w:snapToGrid w:val="0"/>
        <w:spacing w:before="192" w:beforeLines="80"/>
        <w:jc w:val="center"/>
        <w:rPr>
          <w:rFonts w:hint="default" w:ascii="Times New Roman" w:hAnsi="Times New Roman" w:eastAsia="楷体_GB2312" w:cs="Times New Roman"/>
          <w:bCs/>
          <w:color w:val="auto"/>
          <w:sz w:val="48"/>
          <w:szCs w:val="48"/>
          <w:highlight w:val="none"/>
          <w:u w:val="none" w:color="auto"/>
        </w:rPr>
      </w:pPr>
      <w:r>
        <w:rPr>
          <w:rFonts w:hint="default" w:ascii="Times New Roman" w:hAnsi="Times New Roman" w:eastAsia="楷体_GB2312" w:cs="Times New Roman"/>
          <w:bCs/>
          <w:color w:val="auto"/>
          <w:sz w:val="48"/>
          <w:szCs w:val="48"/>
          <w:highlight w:val="none"/>
          <w:u w:val="none" w:color="auto"/>
        </w:rPr>
        <w:t>（</w:t>
      </w:r>
      <w:r>
        <w:rPr>
          <w:rFonts w:hint="eastAsia" w:ascii="Times New Roman" w:hAnsi="Times New Roman" w:eastAsia="楷体_GB2312" w:cs="Times New Roman"/>
          <w:bCs/>
          <w:color w:val="auto"/>
          <w:sz w:val="48"/>
          <w:szCs w:val="48"/>
          <w:highlight w:val="none"/>
          <w:u w:val="none" w:color="auto"/>
          <w:lang w:val="en-US" w:eastAsia="zh-CN"/>
        </w:rPr>
        <w:t>生态</w:t>
      </w:r>
      <w:r>
        <w:rPr>
          <w:rFonts w:hint="default" w:ascii="Times New Roman" w:hAnsi="Times New Roman" w:eastAsia="楷体_GB2312" w:cs="Times New Roman"/>
          <w:bCs/>
          <w:color w:val="auto"/>
          <w:sz w:val="48"/>
          <w:szCs w:val="48"/>
          <w:highlight w:val="none"/>
          <w:u w:val="none" w:color="auto"/>
        </w:rPr>
        <w:t>影响类）</w:t>
      </w:r>
    </w:p>
    <w:p>
      <w:pPr>
        <w:adjustRightInd w:val="0"/>
        <w:snapToGrid w:val="0"/>
        <w:spacing w:line="288" w:lineRule="auto"/>
        <w:jc w:val="center"/>
        <w:rPr>
          <w:rFonts w:hint="default" w:ascii="Times New Roman" w:hAnsi="Times New Roman" w:eastAsia="华文仿宋" w:cs="Times New Roman"/>
          <w:color w:val="auto"/>
          <w:kern w:val="44"/>
          <w:sz w:val="44"/>
          <w:szCs w:val="44"/>
          <w:highlight w:val="none"/>
          <w:u w:val="none" w:color="auto"/>
          <w:lang w:val="en-US" w:eastAsia="zh-CN"/>
        </w:rPr>
      </w:pPr>
    </w:p>
    <w:p>
      <w:pPr>
        <w:jc w:val="center"/>
        <w:rPr>
          <w:rFonts w:hint="default" w:ascii="Times New Roman" w:hAnsi="Times New Roman" w:eastAsia="仿宋" w:cs="Times New Roman"/>
          <w:color w:val="auto"/>
          <w:sz w:val="52"/>
          <w:szCs w:val="52"/>
          <w:highlight w:val="none"/>
          <w:u w:val="none" w:color="auto"/>
        </w:rPr>
      </w:pPr>
    </w:p>
    <w:p>
      <w:pPr>
        <w:ind w:firstLine="1040"/>
        <w:rPr>
          <w:rFonts w:hint="default" w:ascii="Times New Roman" w:hAnsi="Times New Roman" w:eastAsia="仿宋" w:cs="Times New Roman"/>
          <w:color w:val="auto"/>
          <w:sz w:val="44"/>
          <w:szCs w:val="44"/>
          <w:highlight w:val="none"/>
          <w:u w:val="none" w:color="auto"/>
        </w:rPr>
      </w:pPr>
    </w:p>
    <w:p>
      <w:pPr>
        <w:ind w:firstLine="1040"/>
        <w:rPr>
          <w:rFonts w:hint="default" w:ascii="Times New Roman" w:hAnsi="Times New Roman" w:eastAsia="仿宋" w:cs="Times New Roman"/>
          <w:color w:val="auto"/>
          <w:sz w:val="44"/>
          <w:szCs w:val="44"/>
          <w:highlight w:val="none"/>
          <w:u w:val="none" w:color="auto"/>
        </w:rPr>
      </w:pPr>
    </w:p>
    <w:p>
      <w:pPr>
        <w:ind w:firstLine="1040"/>
        <w:rPr>
          <w:rFonts w:hint="default" w:ascii="Times New Roman" w:hAnsi="Times New Roman" w:eastAsia="仿宋" w:cs="Times New Roman"/>
          <w:color w:val="auto"/>
          <w:sz w:val="44"/>
          <w:szCs w:val="44"/>
          <w:highlight w:val="none"/>
          <w:u w:val="none" w:color="auto"/>
        </w:rPr>
      </w:pPr>
    </w:p>
    <w:p>
      <w:pPr>
        <w:ind w:firstLine="1040"/>
        <w:rPr>
          <w:rFonts w:hint="default" w:ascii="Times New Roman" w:hAnsi="Times New Roman" w:eastAsia="仿宋" w:cs="Times New Roman"/>
          <w:color w:val="auto"/>
          <w:sz w:val="44"/>
          <w:szCs w:val="44"/>
          <w:highlight w:val="none"/>
          <w:u w:val="none" w:color="auto"/>
        </w:rPr>
      </w:pPr>
    </w:p>
    <w:p>
      <w:pPr>
        <w:adjustRightInd w:val="0"/>
        <w:snapToGrid w:val="0"/>
        <w:spacing w:line="288" w:lineRule="auto"/>
        <w:rPr>
          <w:rFonts w:hint="default" w:ascii="Times New Roman" w:hAnsi="Times New Roman" w:eastAsia="仿宋_GB2312" w:cs="Times New Roman"/>
          <w:color w:val="auto"/>
          <w:sz w:val="36"/>
          <w:szCs w:val="36"/>
          <w:highlight w:val="none"/>
          <w:u w:val="none" w:color="auto"/>
          <w:lang w:val="en-US" w:eastAsia="zh-CN"/>
        </w:rPr>
      </w:pPr>
      <w:r>
        <w:rPr>
          <w:rFonts w:hint="default" w:ascii="Times New Roman" w:hAnsi="Times New Roman" w:eastAsia="仿宋_GB2312" w:cs="Times New Roman"/>
          <w:color w:val="auto"/>
          <w:sz w:val="36"/>
          <w:szCs w:val="36"/>
          <w:highlight w:val="none"/>
          <w:u w:val="none" w:color="auto"/>
        </w:rPr>
        <w:t>项目名称：</w:t>
      </w:r>
      <w:r>
        <w:rPr>
          <w:rFonts w:hint="default" w:ascii="Times New Roman" w:hAnsi="Times New Roman" w:eastAsia="仿宋_GB2312" w:cs="Times New Roman"/>
          <w:color w:val="auto"/>
          <w:sz w:val="36"/>
          <w:szCs w:val="36"/>
          <w:highlight w:val="none"/>
          <w:u w:val="single" w:color="auto"/>
        </w:rPr>
        <w:t>湘阴金龙智能制造产业园</w:t>
      </w:r>
      <w:r>
        <w:rPr>
          <w:rFonts w:hint="eastAsia" w:ascii="Times New Roman" w:hAnsi="Times New Roman" w:eastAsia="仿宋_GB2312" w:cs="Times New Roman"/>
          <w:color w:val="auto"/>
          <w:sz w:val="36"/>
          <w:szCs w:val="36"/>
          <w:highlight w:val="none"/>
          <w:u w:val="single" w:color="auto"/>
          <w:lang w:eastAsia="zh-CN"/>
        </w:rPr>
        <w:t>（</w:t>
      </w:r>
      <w:r>
        <w:rPr>
          <w:rFonts w:hint="eastAsia" w:ascii="Times New Roman" w:hAnsi="Times New Roman" w:eastAsia="仿宋_GB2312" w:cs="Times New Roman"/>
          <w:color w:val="auto"/>
          <w:sz w:val="36"/>
          <w:szCs w:val="36"/>
          <w:highlight w:val="none"/>
          <w:u w:val="single" w:color="auto"/>
          <w:lang w:val="en-US" w:eastAsia="zh-CN"/>
        </w:rPr>
        <w:t>二期</w:t>
      </w:r>
      <w:r>
        <w:rPr>
          <w:rFonts w:hint="eastAsia" w:ascii="Times New Roman" w:hAnsi="Times New Roman" w:eastAsia="仿宋_GB2312" w:cs="Times New Roman"/>
          <w:color w:val="auto"/>
          <w:sz w:val="36"/>
          <w:szCs w:val="36"/>
          <w:highlight w:val="none"/>
          <w:u w:val="single" w:color="auto"/>
          <w:lang w:eastAsia="zh-CN"/>
        </w:rPr>
        <w:t>）</w:t>
      </w:r>
      <w:r>
        <w:rPr>
          <w:rFonts w:hint="default" w:ascii="Times New Roman" w:hAnsi="Times New Roman" w:eastAsia="仿宋_GB2312" w:cs="Times New Roman"/>
          <w:color w:val="auto"/>
          <w:sz w:val="36"/>
          <w:szCs w:val="36"/>
          <w:highlight w:val="none"/>
          <w:u w:val="single" w:color="auto"/>
        </w:rPr>
        <w:t>项目</w:t>
      </w:r>
      <w:r>
        <w:rPr>
          <w:rFonts w:hint="eastAsia" w:ascii="Times New Roman" w:hAnsi="Times New Roman" w:eastAsia="仿宋_GB2312" w:cs="Times New Roman"/>
          <w:color w:val="auto"/>
          <w:sz w:val="36"/>
          <w:szCs w:val="36"/>
          <w:highlight w:val="none"/>
          <w:u w:val="single" w:color="auto"/>
          <w:lang w:val="en-US" w:eastAsia="zh-CN"/>
        </w:rPr>
        <w:t xml:space="preserve">             </w:t>
      </w:r>
      <w:r>
        <w:rPr>
          <w:rFonts w:hint="eastAsia" w:ascii="Times New Roman" w:hAnsi="Times New Roman" w:eastAsia="仿宋_GB2312" w:cs="Times New Roman"/>
          <w:color w:val="auto"/>
          <w:sz w:val="36"/>
          <w:szCs w:val="36"/>
          <w:highlight w:val="none"/>
          <w:u w:val="none" w:color="auto"/>
          <w:lang w:val="en-US" w:eastAsia="zh-CN"/>
        </w:rPr>
        <w:t xml:space="preserve"> </w:t>
      </w:r>
    </w:p>
    <w:p>
      <w:pPr>
        <w:adjustRightInd w:val="0"/>
        <w:snapToGrid w:val="0"/>
        <w:spacing w:line="288" w:lineRule="auto"/>
        <w:rPr>
          <w:rFonts w:hint="default" w:ascii="Times New Roman" w:hAnsi="Times New Roman" w:eastAsia="仿宋_GB2312" w:cs="Times New Roman"/>
          <w:color w:val="auto"/>
          <w:sz w:val="36"/>
          <w:szCs w:val="36"/>
          <w:highlight w:val="none"/>
          <w:u w:val="none" w:color="auto"/>
        </w:rPr>
      </w:pPr>
      <w:r>
        <w:rPr>
          <w:rFonts w:hint="default" w:ascii="Times New Roman" w:hAnsi="Times New Roman" w:eastAsia="仿宋_GB2312" w:cs="Times New Roman"/>
          <w:color w:val="auto"/>
          <w:sz w:val="36"/>
          <w:szCs w:val="36"/>
          <w:highlight w:val="none"/>
          <w:u w:val="none" w:color="auto"/>
        </w:rPr>
        <w:t>建设单位（盖章）：</w:t>
      </w:r>
      <w:r>
        <w:rPr>
          <w:rFonts w:hint="eastAsia" w:ascii="Times New Roman" w:hAnsi="Times New Roman" w:eastAsia="仿宋_GB2312" w:cs="Times New Roman"/>
          <w:color w:val="auto"/>
          <w:sz w:val="36"/>
          <w:szCs w:val="36"/>
          <w:highlight w:val="none"/>
          <w:u w:val="single" w:color="auto"/>
          <w:lang w:val="en-US" w:eastAsia="zh-CN"/>
        </w:rPr>
        <w:t xml:space="preserve">  湘阴梅溪湖开发建设有限公司                 </w:t>
      </w:r>
      <w:r>
        <w:rPr>
          <w:rFonts w:hint="eastAsia" w:ascii="Times New Roman" w:hAnsi="Times New Roman" w:eastAsia="仿宋_GB2312" w:cs="Times New Roman"/>
          <w:color w:val="auto"/>
          <w:sz w:val="36"/>
          <w:szCs w:val="36"/>
          <w:highlight w:val="none"/>
          <w:u w:val="none" w:color="auto"/>
          <w:lang w:val="en-US" w:eastAsia="zh-CN"/>
        </w:rPr>
        <w:t xml:space="preserve">  </w:t>
      </w:r>
    </w:p>
    <w:p>
      <w:pPr>
        <w:adjustRightInd w:val="0"/>
        <w:snapToGrid w:val="0"/>
        <w:spacing w:line="288" w:lineRule="auto"/>
        <w:rPr>
          <w:rFonts w:hint="default" w:ascii="Times New Roman" w:hAnsi="Times New Roman" w:eastAsia="仿宋_GB2312" w:cs="Times New Roman"/>
          <w:color w:val="FF0000"/>
          <w:sz w:val="36"/>
          <w:szCs w:val="36"/>
          <w:highlight w:val="none"/>
          <w:u w:val="none" w:color="auto"/>
          <w:lang w:val="en-US" w:eastAsia="zh-CN"/>
        </w:rPr>
      </w:pPr>
      <w:r>
        <w:rPr>
          <w:rFonts w:hint="default" w:ascii="Times New Roman" w:hAnsi="Times New Roman" w:eastAsia="仿宋_GB2312" w:cs="Times New Roman"/>
          <w:color w:val="auto"/>
          <w:sz w:val="36"/>
          <w:szCs w:val="36"/>
          <w:highlight w:val="none"/>
          <w:u w:val="none" w:color="auto"/>
        </w:rPr>
        <w:t xml:space="preserve">编制日期： </w:t>
      </w:r>
      <w:r>
        <w:rPr>
          <w:rFonts w:hint="default" w:ascii="Times New Roman" w:hAnsi="Times New Roman" w:eastAsia="仿宋_GB2312" w:cs="Times New Roman"/>
          <w:color w:val="auto"/>
          <w:sz w:val="36"/>
          <w:szCs w:val="36"/>
          <w:highlight w:val="none"/>
          <w:u w:val="single" w:color="auto"/>
        </w:rPr>
        <w:t xml:space="preserve">        </w:t>
      </w:r>
      <w:r>
        <w:rPr>
          <w:rFonts w:hint="eastAsia" w:ascii="Times New Roman" w:hAnsi="Times New Roman" w:eastAsia="仿宋_GB2312" w:cs="Times New Roman"/>
          <w:color w:val="auto"/>
          <w:sz w:val="36"/>
          <w:szCs w:val="36"/>
          <w:highlight w:val="none"/>
          <w:u w:val="single" w:color="auto"/>
          <w:lang w:val="en-US" w:eastAsia="zh-CN"/>
        </w:rPr>
        <w:t xml:space="preserve">        </w:t>
      </w:r>
      <w:r>
        <w:rPr>
          <w:rFonts w:hint="default" w:ascii="Times New Roman" w:hAnsi="Times New Roman" w:eastAsia="仿宋_GB2312" w:cs="Times New Roman"/>
          <w:color w:val="auto"/>
          <w:sz w:val="36"/>
          <w:szCs w:val="36"/>
          <w:highlight w:val="none"/>
          <w:u w:val="single" w:color="auto"/>
        </w:rPr>
        <w:t>202</w:t>
      </w:r>
      <w:r>
        <w:rPr>
          <w:rFonts w:hint="eastAsia" w:ascii="Times New Roman" w:hAnsi="Times New Roman" w:eastAsia="仿宋_GB2312" w:cs="Times New Roman"/>
          <w:color w:val="auto"/>
          <w:sz w:val="36"/>
          <w:szCs w:val="36"/>
          <w:highlight w:val="none"/>
          <w:u w:val="single" w:color="auto"/>
          <w:lang w:val="en-US" w:eastAsia="zh-CN"/>
        </w:rPr>
        <w:t>5</w:t>
      </w:r>
      <w:r>
        <w:rPr>
          <w:rFonts w:hint="default" w:ascii="Times New Roman" w:hAnsi="Times New Roman" w:eastAsia="仿宋_GB2312" w:cs="Times New Roman"/>
          <w:color w:val="auto"/>
          <w:sz w:val="36"/>
          <w:szCs w:val="36"/>
          <w:highlight w:val="none"/>
          <w:u w:val="single" w:color="auto"/>
        </w:rPr>
        <w:t>年</w:t>
      </w:r>
      <w:r>
        <w:rPr>
          <w:rFonts w:hint="eastAsia" w:ascii="Times New Roman" w:hAnsi="Times New Roman" w:eastAsia="仿宋_GB2312" w:cs="Times New Roman"/>
          <w:color w:val="auto"/>
          <w:sz w:val="36"/>
          <w:szCs w:val="36"/>
          <w:highlight w:val="none"/>
          <w:u w:val="single" w:color="auto"/>
          <w:lang w:val="en-US" w:eastAsia="zh-CN"/>
        </w:rPr>
        <w:t>8</w:t>
      </w:r>
      <w:r>
        <w:rPr>
          <w:rFonts w:hint="default" w:ascii="Times New Roman" w:hAnsi="Times New Roman" w:eastAsia="仿宋_GB2312" w:cs="Times New Roman"/>
          <w:color w:val="auto"/>
          <w:sz w:val="36"/>
          <w:szCs w:val="36"/>
          <w:highlight w:val="none"/>
          <w:u w:val="single" w:color="auto"/>
        </w:rPr>
        <w:t xml:space="preserve">月     </w:t>
      </w:r>
      <w:r>
        <w:rPr>
          <w:rFonts w:hint="eastAsia" w:ascii="Times New Roman" w:hAnsi="Times New Roman" w:eastAsia="仿宋_GB2312" w:cs="Times New Roman"/>
          <w:color w:val="auto"/>
          <w:sz w:val="36"/>
          <w:szCs w:val="36"/>
          <w:highlight w:val="none"/>
          <w:u w:val="single" w:color="auto"/>
          <w:lang w:val="en-US" w:eastAsia="zh-CN"/>
        </w:rPr>
        <w:t xml:space="preserve">       </w:t>
      </w:r>
      <w:r>
        <w:rPr>
          <w:rFonts w:hint="eastAsia" w:ascii="Times New Roman" w:hAnsi="Times New Roman" w:eastAsia="仿宋_GB2312" w:cs="Times New Roman"/>
          <w:color w:val="auto"/>
          <w:sz w:val="36"/>
          <w:szCs w:val="36"/>
          <w:highlight w:val="none"/>
          <w:u w:val="none" w:color="auto"/>
          <w:lang w:val="en-US" w:eastAsia="zh-CN"/>
        </w:rPr>
        <w:t xml:space="preserve"> </w:t>
      </w:r>
    </w:p>
    <w:p>
      <w:pPr>
        <w:adjustRightInd w:val="0"/>
        <w:snapToGrid w:val="0"/>
        <w:spacing w:line="288" w:lineRule="auto"/>
        <w:ind w:firstLine="1040"/>
        <w:rPr>
          <w:rFonts w:hint="default" w:ascii="Times New Roman" w:hAnsi="Times New Roman" w:eastAsia="仿宋_GB2312" w:cs="Times New Roman"/>
          <w:color w:val="FF0000"/>
          <w:sz w:val="36"/>
          <w:szCs w:val="36"/>
          <w:highlight w:val="none"/>
          <w:u w:val="none" w:color="auto"/>
        </w:rPr>
      </w:pPr>
      <w:bookmarkStart w:id="2" w:name="_Hlk57884087"/>
    </w:p>
    <w:p>
      <w:pPr>
        <w:adjustRightInd w:val="0"/>
        <w:snapToGrid w:val="0"/>
        <w:spacing w:line="288" w:lineRule="auto"/>
        <w:ind w:firstLine="1040"/>
        <w:rPr>
          <w:rFonts w:hint="default" w:ascii="Times New Roman" w:hAnsi="Times New Roman" w:eastAsia="仿宋_GB2312" w:cs="Times New Roman"/>
          <w:color w:val="FF0000"/>
          <w:sz w:val="36"/>
          <w:szCs w:val="36"/>
          <w:highlight w:val="none"/>
          <w:u w:val="none" w:color="auto"/>
        </w:rPr>
      </w:pPr>
    </w:p>
    <w:p>
      <w:pPr>
        <w:adjustRightInd w:val="0"/>
        <w:snapToGrid w:val="0"/>
        <w:spacing w:line="288" w:lineRule="auto"/>
        <w:ind w:firstLine="1040"/>
        <w:rPr>
          <w:rFonts w:hint="default" w:ascii="Times New Roman" w:hAnsi="Times New Roman" w:eastAsia="仿宋_GB2312" w:cs="Times New Roman"/>
          <w:color w:val="FF0000"/>
          <w:sz w:val="36"/>
          <w:szCs w:val="36"/>
          <w:highlight w:val="none"/>
          <w:u w:val="none" w:color="auto"/>
        </w:rPr>
      </w:pPr>
    </w:p>
    <w:p>
      <w:pPr>
        <w:adjustRightInd w:val="0"/>
        <w:snapToGrid w:val="0"/>
        <w:spacing w:line="288" w:lineRule="auto"/>
        <w:ind w:firstLine="1040"/>
        <w:rPr>
          <w:rFonts w:hint="default" w:ascii="Times New Roman" w:hAnsi="Times New Roman" w:eastAsia="仿宋_GB2312" w:cs="Times New Roman"/>
          <w:color w:val="FF0000"/>
          <w:sz w:val="36"/>
          <w:szCs w:val="36"/>
          <w:highlight w:val="none"/>
          <w:u w:val="none" w:color="auto"/>
        </w:rPr>
      </w:pPr>
    </w:p>
    <w:p>
      <w:pPr>
        <w:adjustRightInd w:val="0"/>
        <w:snapToGrid w:val="0"/>
        <w:spacing w:line="288" w:lineRule="auto"/>
        <w:ind w:firstLine="1040"/>
        <w:rPr>
          <w:rFonts w:hint="default" w:ascii="Times New Roman" w:hAnsi="Times New Roman" w:eastAsia="仿宋_GB2312" w:cs="Times New Roman"/>
          <w:color w:val="FF0000"/>
          <w:sz w:val="36"/>
          <w:szCs w:val="36"/>
          <w:highlight w:val="none"/>
          <w:u w:val="none" w:color="auto"/>
        </w:rPr>
      </w:pPr>
    </w:p>
    <w:bookmarkEnd w:id="2"/>
    <w:p>
      <w:pPr>
        <w:keepNext w:val="0"/>
        <w:keepLines w:val="0"/>
        <w:pageBreakBefore w:val="0"/>
        <w:kinsoku/>
        <w:wordWrap/>
        <w:topLinePunct w:val="0"/>
        <w:bidi w:val="0"/>
        <w:spacing w:line="360" w:lineRule="auto"/>
        <w:ind w:left="63" w:leftChars="30" w:right="63" w:rightChars="30" w:firstLine="720" w:firstLineChars="200"/>
        <w:jc w:val="center"/>
        <w:rPr>
          <w:rFonts w:hint="eastAsia" w:ascii="楷体" w:hAnsi="楷体" w:eastAsia="楷体" w:cs="楷体"/>
          <w:color w:val="auto"/>
          <w:sz w:val="36"/>
          <w:szCs w:val="36"/>
          <w:u w:val="none" w:color="auto"/>
        </w:rPr>
      </w:pPr>
      <w:bookmarkStart w:id="3" w:name="_Toc30914"/>
      <w:r>
        <w:rPr>
          <w:rFonts w:hint="eastAsia" w:ascii="楷体" w:hAnsi="楷体" w:eastAsia="楷体" w:cs="楷体"/>
          <w:color w:val="auto"/>
          <w:sz w:val="36"/>
          <w:szCs w:val="36"/>
          <w:u w:val="none" w:color="auto"/>
        </w:rPr>
        <w:t>中华人民共和国生态环境部制</w:t>
      </w:r>
      <w:bookmarkEnd w:id="0"/>
      <w:bookmarkEnd w:id="3"/>
    </w:p>
    <w:p>
      <w:pPr>
        <w:rPr>
          <w:rFonts w:hint="eastAsia" w:ascii="楷体" w:hAnsi="楷体" w:eastAsia="楷体" w:cs="楷体"/>
          <w:color w:val="auto"/>
          <w:sz w:val="36"/>
          <w:szCs w:val="36"/>
          <w:u w:val="none" w:color="auto"/>
        </w:rPr>
      </w:pPr>
      <w:r>
        <w:rPr>
          <w:rFonts w:hint="eastAsia" w:ascii="楷体" w:hAnsi="楷体" w:eastAsia="楷体" w:cs="楷体"/>
          <w:color w:val="auto"/>
          <w:sz w:val="36"/>
          <w:szCs w:val="36"/>
          <w:u w:val="none" w:color="auto"/>
        </w:rPr>
        <w:br w:type="page"/>
      </w:r>
    </w:p>
    <w:p>
      <w:pPr>
        <w:pStyle w:val="26"/>
        <w:ind w:left="0" w:leftChars="0" w:firstLine="0" w:firstLineChars="0"/>
        <w:rPr>
          <w:rFonts w:hint="eastAsia" w:eastAsia="宋体"/>
          <w:lang w:eastAsia="zh-CN"/>
        </w:rPr>
      </w:pPr>
    </w:p>
    <w:p>
      <w:pPr>
        <w:pStyle w:val="15"/>
        <w:ind w:left="0" w:leftChars="0" w:firstLine="0" w:firstLineChars="0"/>
        <w:rPr>
          <w:rFonts w:hint="eastAsia" w:ascii="Times New Roman" w:hAnsi="Times New Roman" w:eastAsia="楷体_GB2312" w:cs="Times New Roman"/>
          <w:color w:val="FF0000"/>
          <w:sz w:val="36"/>
          <w:szCs w:val="36"/>
          <w:highlight w:val="none"/>
          <w:u w:val="none" w:color="auto"/>
          <w:lang w:eastAsia="zh-CN"/>
        </w:rPr>
      </w:pPr>
    </w:p>
    <w:p>
      <w:pPr>
        <w:pStyle w:val="39"/>
        <w:ind w:left="0" w:leftChars="0" w:firstLine="0" w:firstLineChars="0"/>
        <w:rPr>
          <w:rFonts w:hint="eastAsia" w:ascii="Times New Roman" w:hAnsi="Times New Roman" w:eastAsia="楷体_GB2312" w:cs="Times New Roman"/>
          <w:color w:val="FF0000"/>
          <w:sz w:val="36"/>
          <w:szCs w:val="36"/>
          <w:highlight w:val="none"/>
          <w:u w:val="none" w:color="auto"/>
          <w:lang w:eastAsia="zh-CN"/>
        </w:rPr>
      </w:pPr>
    </w:p>
    <w:p>
      <w:pPr>
        <w:pStyle w:val="39"/>
        <w:ind w:left="0" w:leftChars="0" w:firstLine="0" w:firstLineChars="0"/>
        <w:rPr>
          <w:rFonts w:hint="eastAsia" w:ascii="Times New Roman" w:hAnsi="Times New Roman" w:eastAsia="楷体_GB2312" w:cs="Times New Roman"/>
          <w:color w:val="FF0000"/>
          <w:sz w:val="36"/>
          <w:szCs w:val="36"/>
          <w:highlight w:val="none"/>
          <w:u w:val="none" w:color="auto"/>
          <w:lang w:eastAsia="zh-CN"/>
        </w:rPr>
      </w:pPr>
    </w:p>
    <w:p>
      <w:pPr>
        <w:pStyle w:val="39"/>
        <w:ind w:left="0" w:leftChars="0" w:firstLine="0" w:firstLineChars="0"/>
        <w:rPr>
          <w:color w:val="FF0000"/>
        </w:rPr>
      </w:pPr>
    </w:p>
    <w:p>
      <w:pPr>
        <w:pStyle w:val="39"/>
        <w:ind w:left="0" w:leftChars="0" w:firstLine="0" w:firstLineChars="0"/>
        <w:jc w:val="both"/>
        <w:rPr>
          <w:color w:val="FF0000"/>
        </w:rPr>
      </w:pPr>
    </w:p>
    <w:p>
      <w:pPr>
        <w:rPr>
          <w:color w:val="FF0000"/>
        </w:rPr>
      </w:pPr>
      <w:r>
        <w:rPr>
          <w:color w:val="FF0000"/>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2" w:after="0" w:line="240" w:lineRule="auto"/>
        <w:jc w:val="center"/>
        <w:textAlignment w:val="auto"/>
        <w:outlineLvl w:val="0"/>
        <w:rPr>
          <w:rFonts w:hint="default" w:ascii="Times New Roman" w:hAnsi="Times New Roman" w:eastAsia="宋体" w:cs="Times New Roman"/>
          <w:b/>
          <w:bCs/>
          <w:color w:val="auto"/>
          <w:kern w:val="0"/>
          <w:sz w:val="24"/>
          <w:szCs w:val="24"/>
          <w:lang w:val="zh-CN" w:eastAsia="zh-CN" w:bidi="zh-CN"/>
        </w:rPr>
      </w:pPr>
      <w:r>
        <w:rPr>
          <w:rFonts w:hint="default" w:ascii="Times New Roman" w:hAnsi="Times New Roman" w:eastAsia="宋体" w:cs="Times New Roman"/>
          <w:b/>
          <w:bCs/>
          <w:color w:val="auto"/>
          <w:kern w:val="0"/>
          <w:sz w:val="24"/>
          <w:szCs w:val="24"/>
          <w:lang w:val="en-US" w:eastAsia="zh-CN" w:bidi="zh-CN"/>
        </w:rPr>
        <w:t>湘阴金龙智能制造产业园（二期）项目</w:t>
      </w:r>
      <w:r>
        <w:rPr>
          <w:rFonts w:hint="default" w:ascii="Times New Roman" w:hAnsi="Times New Roman" w:eastAsia="宋体" w:cs="Times New Roman"/>
          <w:b/>
          <w:bCs/>
          <w:color w:val="auto"/>
          <w:kern w:val="0"/>
          <w:sz w:val="24"/>
          <w:szCs w:val="24"/>
          <w:lang w:val="zh-CN" w:eastAsia="zh-CN" w:bidi="zh-CN"/>
        </w:rPr>
        <w:t>专家评审意见修改说明</w:t>
      </w:r>
    </w:p>
    <w:tbl>
      <w:tblPr>
        <w:tblStyle w:val="30"/>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4219"/>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序号</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专家评审意见</w:t>
            </w:r>
          </w:p>
        </w:tc>
        <w:tc>
          <w:tcPr>
            <w:tcW w:w="4114"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修改说明及修改位置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完善项目与生态环境分区管控要求及相关规划的符合性分析。</w:t>
            </w:r>
          </w:p>
        </w:tc>
        <w:tc>
          <w:tcPr>
            <w:tcW w:w="4114"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已</w:t>
            </w:r>
            <w:r>
              <w:rPr>
                <w:rFonts w:hint="default" w:ascii="Times New Roman" w:hAnsi="Times New Roman" w:eastAsia="宋体" w:cs="Times New Roman"/>
                <w:color w:val="auto"/>
                <w:sz w:val="21"/>
                <w:szCs w:val="21"/>
                <w:lang w:val="en-US" w:eastAsia="zh-CN" w:bidi="ar-SA"/>
              </w:rPr>
              <w:t>完善项目与生态环境分区管控要求及相关规划的符合性分析</w:t>
            </w:r>
            <w:r>
              <w:rPr>
                <w:rFonts w:hint="eastAsia" w:ascii="Times New Roman" w:hAnsi="Times New Roman" w:cs="Times New Roman"/>
                <w:color w:val="auto"/>
                <w:sz w:val="21"/>
                <w:szCs w:val="21"/>
                <w:lang w:val="en-US" w:eastAsia="zh-CN" w:bidi="ar-SA"/>
              </w:rPr>
              <w:t>，详见P2-5</w:t>
            </w:r>
            <w:r>
              <w:rPr>
                <w:rFonts w:hint="default" w:ascii="Times New Roman" w:hAnsi="Times New Roman" w:eastAsia="宋体" w:cs="Times New Roman"/>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完善后期标准化厂房引进企业的的准入要求。</w:t>
            </w:r>
          </w:p>
        </w:tc>
        <w:tc>
          <w:tcPr>
            <w:tcW w:w="4114"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已</w:t>
            </w:r>
            <w:r>
              <w:rPr>
                <w:rFonts w:hint="default" w:ascii="Times New Roman" w:hAnsi="Times New Roman" w:eastAsia="宋体" w:cs="Times New Roman"/>
                <w:color w:val="auto"/>
                <w:sz w:val="21"/>
                <w:szCs w:val="21"/>
                <w:lang w:val="en-US" w:eastAsia="zh-CN" w:bidi="ar-SA"/>
              </w:rPr>
              <w:t>完善后期标准化厂房引进企业的的准入要求</w:t>
            </w:r>
            <w:r>
              <w:rPr>
                <w:rFonts w:hint="eastAsia" w:ascii="Times New Roman" w:hAnsi="Times New Roman" w:cs="Times New Roman"/>
                <w:color w:val="auto"/>
                <w:sz w:val="21"/>
                <w:szCs w:val="21"/>
                <w:lang w:val="en-US" w:eastAsia="zh-CN" w:bidi="ar-SA"/>
              </w:rPr>
              <w:t>，详见P14。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3</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完善项目组成、施工布置和施工方案；补充完善工程总平面布置图、施工总布置图等图件。</w:t>
            </w:r>
          </w:p>
        </w:tc>
        <w:tc>
          <w:tcPr>
            <w:tcW w:w="4114"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已</w:t>
            </w:r>
            <w:r>
              <w:rPr>
                <w:rFonts w:hint="default" w:ascii="Times New Roman" w:hAnsi="Times New Roman" w:eastAsia="宋体" w:cs="Times New Roman"/>
                <w:color w:val="auto"/>
                <w:sz w:val="21"/>
                <w:szCs w:val="21"/>
                <w:lang w:val="en-US" w:eastAsia="zh-CN" w:bidi="ar-SA"/>
              </w:rPr>
              <w:t>完善项目组成、施工布置和施工方案</w:t>
            </w:r>
            <w:r>
              <w:rPr>
                <w:rFonts w:hint="eastAsia" w:ascii="Times New Roman" w:hAnsi="Times New Roman" w:cs="Times New Roman"/>
                <w:color w:val="auto"/>
                <w:sz w:val="21"/>
                <w:szCs w:val="21"/>
                <w:lang w:val="en-US" w:eastAsia="zh-CN" w:bidi="ar-SA"/>
              </w:rPr>
              <w:t>，详见P17、19；已</w:t>
            </w:r>
            <w:r>
              <w:rPr>
                <w:rFonts w:hint="default" w:ascii="Times New Roman" w:hAnsi="Times New Roman" w:eastAsia="宋体" w:cs="Times New Roman"/>
                <w:color w:val="auto"/>
                <w:sz w:val="21"/>
                <w:szCs w:val="21"/>
                <w:lang w:val="en-US" w:eastAsia="zh-CN" w:bidi="ar-SA"/>
              </w:rPr>
              <w:t>补充完善工程总平面布置图、施工总布置图。</w:t>
            </w:r>
            <w:r>
              <w:rPr>
                <w:rFonts w:hint="eastAsia" w:ascii="Times New Roman" w:hAnsi="Times New Roman" w:cs="Times New Roman"/>
                <w:color w:val="auto"/>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补充项目区生态功能区划情况，完善项目生态保护目标。</w:t>
            </w:r>
          </w:p>
        </w:tc>
        <w:tc>
          <w:tcPr>
            <w:tcW w:w="4114"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已补充项目区生态功能区划情况，详见P22-24；已完善项目生态保护目标，详见P29。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结合区域污水管网建设情况，核实施工人员生活污水去向；强化项目营运期项目依托湘阴县第三污水处理厂处理的可行性分析，并提出过渡阶段的解决措施。</w:t>
            </w:r>
          </w:p>
        </w:tc>
        <w:tc>
          <w:tcPr>
            <w:tcW w:w="4114"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已核实施工人员生活污水去向，详见P36；已强化</w:t>
            </w:r>
            <w:r>
              <w:rPr>
                <w:rFonts w:hint="default" w:ascii="Times New Roman" w:hAnsi="Times New Roman" w:eastAsia="宋体" w:cs="Times New Roman"/>
                <w:color w:val="auto"/>
                <w:sz w:val="21"/>
                <w:szCs w:val="21"/>
                <w:lang w:val="en-US" w:eastAsia="zh-CN" w:bidi="ar-SA"/>
              </w:rPr>
              <w:t>项目营运期项目依托湘阴县第三污水处理厂处理的可行性分析，并提出过渡阶段的解决措施</w:t>
            </w:r>
            <w:r>
              <w:rPr>
                <w:rFonts w:hint="eastAsia" w:ascii="Times New Roman" w:hAnsi="Times New Roman" w:eastAsia="宋体" w:cs="Times New Roman"/>
                <w:color w:val="auto"/>
                <w:sz w:val="21"/>
                <w:szCs w:val="21"/>
                <w:lang w:val="en-US" w:eastAsia="zh-CN" w:bidi="ar-SA"/>
              </w:rPr>
              <w:t>，详见</w:t>
            </w:r>
            <w:r>
              <w:rPr>
                <w:rFonts w:hint="eastAsia" w:ascii="Times New Roman" w:hAnsi="Times New Roman" w:cs="Times New Roman"/>
                <w:color w:val="auto"/>
                <w:sz w:val="21"/>
                <w:szCs w:val="21"/>
                <w:lang w:val="en-US" w:eastAsia="zh-CN" w:bidi="ar-SA"/>
              </w:rPr>
              <w:t>P42</w:t>
            </w:r>
            <w:r>
              <w:rPr>
                <w:rFonts w:hint="default" w:ascii="Times New Roman" w:hAnsi="Times New Roman" w:eastAsia="宋体" w:cs="Times New Roman"/>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6</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核实项目土石方平衡，补充填土来源使用要求。</w:t>
            </w:r>
          </w:p>
        </w:tc>
        <w:tc>
          <w:tcPr>
            <w:tcW w:w="4114"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已核实</w:t>
            </w:r>
            <w:r>
              <w:rPr>
                <w:rFonts w:hint="default" w:ascii="Times New Roman" w:hAnsi="Times New Roman" w:eastAsia="宋体" w:cs="Times New Roman"/>
                <w:color w:val="auto"/>
                <w:sz w:val="21"/>
                <w:szCs w:val="21"/>
                <w:lang w:val="en-US" w:eastAsia="zh-CN" w:bidi="ar-SA"/>
              </w:rPr>
              <w:t>项目土石方平衡，</w:t>
            </w:r>
            <w:r>
              <w:rPr>
                <w:rFonts w:hint="eastAsia" w:ascii="Times New Roman" w:hAnsi="Times New Roman" w:cs="Times New Roman"/>
                <w:color w:val="auto"/>
                <w:sz w:val="21"/>
                <w:szCs w:val="21"/>
                <w:lang w:val="en-US" w:eastAsia="zh-CN" w:bidi="ar-SA"/>
              </w:rPr>
              <w:t>已补充填土来源使用要求，</w:t>
            </w:r>
            <w:r>
              <w:rPr>
                <w:rFonts w:hint="eastAsia" w:ascii="Times New Roman" w:hAnsi="Times New Roman" w:eastAsia="宋体" w:cs="Times New Roman"/>
                <w:color w:val="auto"/>
                <w:sz w:val="21"/>
                <w:szCs w:val="21"/>
                <w:lang w:val="en-US" w:eastAsia="zh-CN" w:bidi="ar-SA"/>
              </w:rPr>
              <w:t>详见</w:t>
            </w:r>
            <w:r>
              <w:rPr>
                <w:rFonts w:hint="eastAsia" w:ascii="Times New Roman" w:hAnsi="Times New Roman" w:cs="Times New Roman"/>
                <w:color w:val="auto"/>
                <w:sz w:val="21"/>
                <w:szCs w:val="21"/>
                <w:lang w:val="en-US" w:eastAsia="zh-CN" w:bidi="ar-SA"/>
              </w:rPr>
              <w:t>P17-18</w:t>
            </w:r>
            <w:r>
              <w:rPr>
                <w:rFonts w:hint="default" w:ascii="Times New Roman" w:hAnsi="Times New Roman" w:eastAsia="宋体" w:cs="Times New Roman"/>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7</w:t>
            </w:r>
          </w:p>
        </w:tc>
        <w:tc>
          <w:tcPr>
            <w:tcW w:w="4219"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强化项目施工期对敏感目标的扬尘和噪声控制措施，以此完善生态环境保护措施监督检查清单</w:t>
            </w:r>
            <w:r>
              <w:rPr>
                <w:rFonts w:hint="eastAsia" w:ascii="Times New Roman" w:hAnsi="Times New Roman" w:cs="Times New Roman"/>
                <w:color w:val="auto"/>
                <w:sz w:val="21"/>
                <w:szCs w:val="21"/>
                <w:lang w:val="en-US" w:eastAsia="zh-CN" w:bidi="ar-SA"/>
              </w:rPr>
              <w:t>。</w:t>
            </w:r>
          </w:p>
        </w:tc>
        <w:tc>
          <w:tcPr>
            <w:tcW w:w="4114"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both"/>
              <w:textAlignment w:val="auto"/>
              <w:rPr>
                <w:rFonts w:hint="default" w:ascii="Times New Roman" w:hAnsi="Times New Roman"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已</w:t>
            </w:r>
            <w:r>
              <w:rPr>
                <w:rFonts w:hint="default" w:ascii="Times New Roman" w:hAnsi="Times New Roman" w:eastAsia="宋体" w:cs="Times New Roman"/>
                <w:color w:val="auto"/>
                <w:sz w:val="21"/>
                <w:szCs w:val="21"/>
                <w:lang w:val="en-US" w:eastAsia="zh-CN" w:bidi="ar-SA"/>
              </w:rPr>
              <w:t>强化项目施工期对敏感目标的扬尘和噪声控制措施</w:t>
            </w:r>
            <w:r>
              <w:rPr>
                <w:rFonts w:hint="eastAsia" w:ascii="Times New Roman" w:hAnsi="Times New Roman" w:eastAsia="宋体" w:cs="Times New Roman"/>
                <w:color w:val="auto"/>
                <w:sz w:val="21"/>
                <w:szCs w:val="21"/>
                <w:lang w:val="en-US" w:eastAsia="zh-CN" w:bidi="ar-SA"/>
              </w:rPr>
              <w:t>，已</w:t>
            </w:r>
            <w:r>
              <w:rPr>
                <w:rFonts w:hint="default" w:ascii="Times New Roman" w:hAnsi="Times New Roman" w:eastAsia="宋体" w:cs="Times New Roman"/>
                <w:color w:val="auto"/>
                <w:sz w:val="21"/>
                <w:szCs w:val="21"/>
                <w:lang w:val="en-US" w:eastAsia="zh-CN" w:bidi="ar-SA"/>
              </w:rPr>
              <w:t>完善生态环境保护措施监督检查清单</w:t>
            </w:r>
            <w:r>
              <w:rPr>
                <w:rFonts w:hint="eastAsia" w:ascii="Times New Roman" w:hAnsi="Times New Roman" w:eastAsia="宋体" w:cs="Times New Roman"/>
                <w:color w:val="auto"/>
                <w:sz w:val="21"/>
                <w:szCs w:val="21"/>
                <w:lang w:val="en-US" w:eastAsia="zh-CN" w:bidi="ar-SA"/>
              </w:rPr>
              <w:t>；详见</w:t>
            </w:r>
            <w:r>
              <w:rPr>
                <w:rFonts w:hint="eastAsia" w:ascii="Times New Roman" w:hAnsi="Times New Roman" w:cs="Times New Roman"/>
                <w:color w:val="auto"/>
                <w:sz w:val="21"/>
                <w:szCs w:val="21"/>
                <w:lang w:val="en-US" w:eastAsia="zh-CN" w:bidi="ar-SA"/>
              </w:rPr>
              <w:t>P48-50，52-53，59-60。</w:t>
            </w:r>
          </w:p>
        </w:tc>
      </w:tr>
    </w:tbl>
    <w:p>
      <w:pPr>
        <w:rPr>
          <w:rFonts w:hint="default" w:ascii="Times New Roman" w:hAnsi="Times New Roman" w:eastAsia="宋体" w:cs="Times New Roman"/>
          <w:b/>
          <w:bCs/>
          <w:color w:val="auto"/>
          <w:sz w:val="28"/>
          <w:szCs w:val="28"/>
          <w:highlight w:val="none"/>
          <w:u w:val="none" w:color="auto"/>
        </w:rPr>
      </w:pPr>
      <w:r>
        <w:rPr>
          <w:rFonts w:hint="default" w:ascii="Times New Roman" w:hAnsi="Times New Roman" w:eastAsia="宋体" w:cs="Times New Roman"/>
          <w:b/>
          <w:bCs/>
          <w:color w:val="auto"/>
          <w:sz w:val="28"/>
          <w:szCs w:val="28"/>
          <w:highlight w:val="none"/>
          <w:u w:val="none" w:color="auto"/>
        </w:rPr>
        <w:br w:type="page"/>
      </w:r>
    </w:p>
    <w:p>
      <w:pPr>
        <w:spacing w:before="0" w:beforeLines="0" w:after="0" w:afterLines="0" w:line="480" w:lineRule="auto"/>
        <w:ind w:left="0" w:leftChars="0" w:right="0" w:rightChars="0" w:firstLine="0" w:firstLineChars="0"/>
        <w:jc w:val="center"/>
        <w:rPr>
          <w:rFonts w:hint="default" w:ascii="Times New Roman" w:hAnsi="Times New Roman" w:eastAsia="宋体" w:cs="Times New Roman"/>
          <w:b/>
          <w:bCs/>
          <w:color w:val="auto"/>
          <w:sz w:val="28"/>
          <w:szCs w:val="28"/>
          <w:highlight w:val="none"/>
          <w:u w:val="none" w:color="auto"/>
          <w:lang w:eastAsia="zh-CN"/>
        </w:rPr>
      </w:pPr>
      <w:r>
        <w:rPr>
          <w:rFonts w:hint="default" w:ascii="Times New Roman" w:hAnsi="Times New Roman" w:eastAsia="宋体" w:cs="Times New Roman"/>
          <w:b/>
          <w:bCs/>
          <w:color w:val="auto"/>
          <w:sz w:val="28"/>
          <w:szCs w:val="28"/>
          <w:highlight w:val="none"/>
          <w:u w:val="none" w:color="auto"/>
        </w:rPr>
        <w:t>目</w:t>
      </w:r>
      <w:r>
        <w:rPr>
          <w:rFonts w:hint="default" w:ascii="Times New Roman" w:hAnsi="Times New Roman" w:eastAsia="宋体" w:cs="Times New Roman"/>
          <w:b/>
          <w:bCs/>
          <w:color w:val="auto"/>
          <w:sz w:val="28"/>
          <w:szCs w:val="28"/>
          <w:highlight w:val="none"/>
          <w:u w:val="none" w:color="auto"/>
          <w:lang w:val="en-US" w:eastAsia="zh-CN"/>
        </w:rPr>
        <w:t xml:space="preserve"> </w:t>
      </w:r>
      <w:r>
        <w:rPr>
          <w:rFonts w:hint="default" w:ascii="Times New Roman" w:hAnsi="Times New Roman" w:eastAsia="宋体" w:cs="Times New Roman"/>
          <w:b/>
          <w:bCs/>
          <w:color w:val="auto"/>
          <w:sz w:val="28"/>
          <w:szCs w:val="28"/>
          <w:highlight w:val="none"/>
          <w:u w:val="none" w:color="auto"/>
        </w:rPr>
        <w:t>录</w:t>
      </w:r>
    </w:p>
    <w:p>
      <w:pPr>
        <w:pStyle w:val="23"/>
        <w:tabs>
          <w:tab w:val="right" w:leader="dot" w:pos="8844"/>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color w:val="auto"/>
          <w:sz w:val="24"/>
          <w:szCs w:val="24"/>
          <w:highlight w:val="none"/>
          <w:u w:val="none" w:color="auto"/>
          <w:lang w:eastAsia="zh-CN"/>
        </w:rPr>
        <w:fldChar w:fldCharType="begin"/>
      </w:r>
      <w:r>
        <w:rPr>
          <w:rFonts w:hint="default" w:ascii="Times New Roman" w:hAnsi="Times New Roman" w:cs="Times New Roman" w:eastAsiaTheme="minorEastAsia"/>
          <w:b/>
          <w:bCs/>
          <w:color w:val="auto"/>
          <w:sz w:val="24"/>
          <w:szCs w:val="24"/>
          <w:highlight w:val="none"/>
          <w:u w:val="none" w:color="auto"/>
          <w:lang w:eastAsia="zh-CN"/>
        </w:rPr>
        <w:instrText xml:space="preserve">TOC \o "1-1" \h \u </w:instrText>
      </w:r>
      <w:r>
        <w:rPr>
          <w:rFonts w:hint="default" w:ascii="Times New Roman" w:hAnsi="Times New Roman" w:cs="Times New Roman" w:eastAsiaTheme="minorEastAsia"/>
          <w:b/>
          <w:bCs/>
          <w:color w:val="auto"/>
          <w:sz w:val="24"/>
          <w:szCs w:val="24"/>
          <w:highlight w:val="none"/>
          <w:u w:val="none" w:color="auto"/>
          <w:lang w:eastAsia="zh-CN"/>
        </w:rPr>
        <w:fldChar w:fldCharType="separate"/>
      </w:r>
      <w:r>
        <w:rPr>
          <w:rFonts w:hint="default" w:ascii="Times New Roman" w:hAnsi="Times New Roman" w:cs="Times New Roman" w:eastAsiaTheme="minorEastAsia"/>
          <w:bCs/>
          <w:color w:val="auto"/>
          <w:sz w:val="24"/>
          <w:szCs w:val="24"/>
          <w:highlight w:val="none"/>
          <w:u w:val="none" w:color="auto"/>
          <w:lang w:eastAsia="zh-CN"/>
        </w:rPr>
        <w:fldChar w:fldCharType="begin"/>
      </w:r>
      <w:r>
        <w:rPr>
          <w:rFonts w:hint="default" w:ascii="Times New Roman" w:hAnsi="Times New Roman" w:cs="Times New Roman" w:eastAsiaTheme="minorEastAsia"/>
          <w:bCs/>
          <w:sz w:val="24"/>
          <w:szCs w:val="24"/>
          <w:highlight w:val="none"/>
          <w:lang w:eastAsia="zh-CN"/>
        </w:rPr>
        <w:instrText xml:space="preserve"> HYPERLINK \l _Toc15605 </w:instrText>
      </w:r>
      <w:r>
        <w:rPr>
          <w:rFonts w:hint="default" w:ascii="Times New Roman" w:hAnsi="Times New Roman" w:cs="Times New Roman" w:eastAsiaTheme="minorEastAsia"/>
          <w:bCs/>
          <w:sz w:val="24"/>
          <w:szCs w:val="24"/>
          <w:highlight w:val="none"/>
          <w:lang w:eastAsia="zh-CN"/>
        </w:rPr>
        <w:fldChar w:fldCharType="separate"/>
      </w:r>
      <w:r>
        <w:rPr>
          <w:rFonts w:hint="default" w:ascii="Times New Roman" w:hAnsi="Times New Roman" w:cs="Times New Roman" w:eastAsiaTheme="minorEastAsia"/>
          <w:bCs/>
          <w:snapToGrid w:val="0"/>
          <w:sz w:val="24"/>
          <w:szCs w:val="24"/>
        </w:rPr>
        <w:t>一、建设项目基本情况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_Toc15605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bCs/>
          <w:color w:val="auto"/>
          <w:sz w:val="24"/>
          <w:szCs w:val="24"/>
          <w:highlight w:val="none"/>
          <w:u w:val="none" w:color="auto"/>
          <w:lang w:eastAsia="zh-CN"/>
        </w:rPr>
        <w:fldChar w:fldCharType="end"/>
      </w:r>
    </w:p>
    <w:p>
      <w:pPr>
        <w:pStyle w:val="23"/>
        <w:tabs>
          <w:tab w:val="right" w:leader="dot" w:pos="8844"/>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color w:val="auto"/>
          <w:sz w:val="24"/>
          <w:szCs w:val="24"/>
          <w:highlight w:val="none"/>
          <w:u w:val="none" w:color="auto"/>
          <w:lang w:eastAsia="zh-CN"/>
        </w:rPr>
        <w:fldChar w:fldCharType="begin"/>
      </w:r>
      <w:r>
        <w:rPr>
          <w:rFonts w:hint="default" w:ascii="Times New Roman" w:hAnsi="Times New Roman" w:cs="Times New Roman" w:eastAsiaTheme="minorEastAsia"/>
          <w:bCs/>
          <w:sz w:val="24"/>
          <w:szCs w:val="24"/>
          <w:highlight w:val="none"/>
          <w:lang w:eastAsia="zh-CN"/>
        </w:rPr>
        <w:instrText xml:space="preserve"> HYPERLINK \l _Toc18913 </w:instrText>
      </w:r>
      <w:r>
        <w:rPr>
          <w:rFonts w:hint="default" w:ascii="Times New Roman" w:hAnsi="Times New Roman" w:cs="Times New Roman" w:eastAsiaTheme="minorEastAsia"/>
          <w:bCs/>
          <w:sz w:val="24"/>
          <w:szCs w:val="24"/>
          <w:highlight w:val="none"/>
          <w:lang w:eastAsia="zh-CN"/>
        </w:rPr>
        <w:fldChar w:fldCharType="separate"/>
      </w:r>
      <w:r>
        <w:rPr>
          <w:rFonts w:hint="default" w:ascii="Times New Roman" w:hAnsi="Times New Roman" w:cs="Times New Roman" w:eastAsiaTheme="minorEastAsia"/>
          <w:snapToGrid w:val="0"/>
          <w:sz w:val="24"/>
          <w:szCs w:val="24"/>
        </w:rPr>
        <w:t>二、建设内容</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_Toc18913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bCs/>
          <w:color w:val="auto"/>
          <w:sz w:val="24"/>
          <w:szCs w:val="24"/>
          <w:highlight w:val="none"/>
          <w:u w:val="none" w:color="auto"/>
          <w:lang w:eastAsia="zh-CN"/>
        </w:rPr>
        <w:fldChar w:fldCharType="end"/>
      </w:r>
    </w:p>
    <w:p>
      <w:pPr>
        <w:pStyle w:val="23"/>
        <w:tabs>
          <w:tab w:val="right" w:leader="dot" w:pos="8844"/>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color w:val="auto"/>
          <w:sz w:val="24"/>
          <w:szCs w:val="24"/>
          <w:highlight w:val="none"/>
          <w:u w:val="none" w:color="auto"/>
          <w:lang w:eastAsia="zh-CN"/>
        </w:rPr>
        <w:fldChar w:fldCharType="begin"/>
      </w:r>
      <w:r>
        <w:rPr>
          <w:rFonts w:hint="default" w:ascii="Times New Roman" w:hAnsi="Times New Roman" w:cs="Times New Roman" w:eastAsiaTheme="minorEastAsia"/>
          <w:bCs/>
          <w:sz w:val="24"/>
          <w:szCs w:val="24"/>
          <w:highlight w:val="none"/>
          <w:lang w:eastAsia="zh-CN"/>
        </w:rPr>
        <w:instrText xml:space="preserve"> HYPERLINK \l _Toc28115 </w:instrText>
      </w:r>
      <w:r>
        <w:rPr>
          <w:rFonts w:hint="default" w:ascii="Times New Roman" w:hAnsi="Times New Roman" w:cs="Times New Roman" w:eastAsiaTheme="minorEastAsia"/>
          <w:bCs/>
          <w:sz w:val="24"/>
          <w:szCs w:val="24"/>
          <w:highlight w:val="none"/>
          <w:lang w:eastAsia="zh-CN"/>
        </w:rPr>
        <w:fldChar w:fldCharType="separate"/>
      </w:r>
      <w:r>
        <w:rPr>
          <w:rFonts w:hint="default" w:ascii="Times New Roman" w:hAnsi="Times New Roman" w:cs="Times New Roman" w:eastAsiaTheme="minorEastAsia"/>
          <w:bCs/>
          <w:snapToGrid w:val="0"/>
          <w:sz w:val="24"/>
          <w:szCs w:val="24"/>
          <w:lang w:val="en-US" w:eastAsia="zh-CN"/>
        </w:rPr>
        <w:t>三、</w:t>
      </w:r>
      <w:r>
        <w:rPr>
          <w:rFonts w:hint="default" w:ascii="Times New Roman" w:hAnsi="Times New Roman" w:cs="Times New Roman" w:eastAsiaTheme="minorEastAsia"/>
          <w:bCs/>
          <w:snapToGrid w:val="0"/>
          <w:sz w:val="24"/>
          <w:szCs w:val="24"/>
        </w:rPr>
        <w:t>生态环境现状、保护目标及评价标准</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_Toc28115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22</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bCs/>
          <w:color w:val="auto"/>
          <w:sz w:val="24"/>
          <w:szCs w:val="24"/>
          <w:highlight w:val="none"/>
          <w:u w:val="none" w:color="auto"/>
          <w:lang w:eastAsia="zh-CN"/>
        </w:rPr>
        <w:fldChar w:fldCharType="end"/>
      </w:r>
    </w:p>
    <w:p>
      <w:pPr>
        <w:pStyle w:val="23"/>
        <w:tabs>
          <w:tab w:val="right" w:leader="dot" w:pos="8844"/>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color w:val="auto"/>
          <w:sz w:val="24"/>
          <w:szCs w:val="24"/>
          <w:highlight w:val="none"/>
          <w:u w:val="none" w:color="auto"/>
          <w:lang w:eastAsia="zh-CN"/>
        </w:rPr>
        <w:fldChar w:fldCharType="begin"/>
      </w:r>
      <w:r>
        <w:rPr>
          <w:rFonts w:hint="default" w:ascii="Times New Roman" w:hAnsi="Times New Roman" w:cs="Times New Roman" w:eastAsiaTheme="minorEastAsia"/>
          <w:bCs/>
          <w:sz w:val="24"/>
          <w:szCs w:val="24"/>
          <w:highlight w:val="none"/>
          <w:lang w:eastAsia="zh-CN"/>
        </w:rPr>
        <w:instrText xml:space="preserve"> HYPERLINK \l _Toc4429 </w:instrText>
      </w:r>
      <w:r>
        <w:rPr>
          <w:rFonts w:hint="default" w:ascii="Times New Roman" w:hAnsi="Times New Roman" w:cs="Times New Roman" w:eastAsiaTheme="minorEastAsia"/>
          <w:bCs/>
          <w:sz w:val="24"/>
          <w:szCs w:val="24"/>
          <w:highlight w:val="none"/>
          <w:lang w:eastAsia="zh-CN"/>
        </w:rPr>
        <w:fldChar w:fldCharType="separate"/>
      </w:r>
      <w:r>
        <w:rPr>
          <w:rFonts w:hint="default" w:ascii="Times New Roman" w:hAnsi="Times New Roman" w:cs="Times New Roman" w:eastAsiaTheme="minorEastAsia"/>
          <w:bCs/>
          <w:snapToGrid w:val="0"/>
          <w:sz w:val="24"/>
          <w:szCs w:val="24"/>
        </w:rPr>
        <w:t>四、生态环境影响分析</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_Toc4429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bCs/>
          <w:color w:val="auto"/>
          <w:sz w:val="24"/>
          <w:szCs w:val="24"/>
          <w:highlight w:val="none"/>
          <w:u w:val="none" w:color="auto"/>
          <w:lang w:eastAsia="zh-CN"/>
        </w:rPr>
        <w:fldChar w:fldCharType="end"/>
      </w:r>
    </w:p>
    <w:p>
      <w:pPr>
        <w:pStyle w:val="23"/>
        <w:tabs>
          <w:tab w:val="right" w:leader="dot" w:pos="8844"/>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color w:val="auto"/>
          <w:sz w:val="24"/>
          <w:szCs w:val="24"/>
          <w:highlight w:val="none"/>
          <w:u w:val="none" w:color="auto"/>
          <w:lang w:eastAsia="zh-CN"/>
        </w:rPr>
        <w:fldChar w:fldCharType="begin"/>
      </w:r>
      <w:r>
        <w:rPr>
          <w:rFonts w:hint="default" w:ascii="Times New Roman" w:hAnsi="Times New Roman" w:cs="Times New Roman" w:eastAsiaTheme="minorEastAsia"/>
          <w:bCs/>
          <w:sz w:val="24"/>
          <w:szCs w:val="24"/>
          <w:highlight w:val="none"/>
          <w:lang w:eastAsia="zh-CN"/>
        </w:rPr>
        <w:instrText xml:space="preserve"> HYPERLINK \l _Toc27294 </w:instrText>
      </w:r>
      <w:r>
        <w:rPr>
          <w:rFonts w:hint="default" w:ascii="Times New Roman" w:hAnsi="Times New Roman" w:cs="Times New Roman" w:eastAsiaTheme="minorEastAsia"/>
          <w:bCs/>
          <w:sz w:val="24"/>
          <w:szCs w:val="24"/>
          <w:highlight w:val="none"/>
          <w:lang w:eastAsia="zh-CN"/>
        </w:rPr>
        <w:fldChar w:fldCharType="separate"/>
      </w:r>
      <w:r>
        <w:rPr>
          <w:rFonts w:hint="default" w:ascii="Times New Roman" w:hAnsi="Times New Roman" w:cs="Times New Roman" w:eastAsiaTheme="minorEastAsia"/>
          <w:bCs/>
          <w:snapToGrid w:val="0"/>
          <w:sz w:val="24"/>
          <w:szCs w:val="24"/>
        </w:rPr>
        <w:t>五、主要生态环境保护措施</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_Toc27294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47</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bCs/>
          <w:color w:val="auto"/>
          <w:sz w:val="24"/>
          <w:szCs w:val="24"/>
          <w:highlight w:val="none"/>
          <w:u w:val="none" w:color="auto"/>
          <w:lang w:eastAsia="zh-CN"/>
        </w:rPr>
        <w:fldChar w:fldCharType="end"/>
      </w:r>
    </w:p>
    <w:p>
      <w:pPr>
        <w:pStyle w:val="23"/>
        <w:tabs>
          <w:tab w:val="right" w:leader="dot" w:pos="8844"/>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color w:val="auto"/>
          <w:sz w:val="24"/>
          <w:szCs w:val="24"/>
          <w:highlight w:val="none"/>
          <w:u w:val="none" w:color="auto"/>
          <w:lang w:eastAsia="zh-CN"/>
        </w:rPr>
        <w:fldChar w:fldCharType="begin"/>
      </w:r>
      <w:r>
        <w:rPr>
          <w:rFonts w:hint="default" w:ascii="Times New Roman" w:hAnsi="Times New Roman" w:cs="Times New Roman" w:eastAsiaTheme="minorEastAsia"/>
          <w:bCs/>
          <w:sz w:val="24"/>
          <w:szCs w:val="24"/>
          <w:highlight w:val="none"/>
          <w:lang w:eastAsia="zh-CN"/>
        </w:rPr>
        <w:instrText xml:space="preserve"> HYPERLINK \l _Toc32352 </w:instrText>
      </w:r>
      <w:r>
        <w:rPr>
          <w:rFonts w:hint="default" w:ascii="Times New Roman" w:hAnsi="Times New Roman" w:cs="Times New Roman" w:eastAsiaTheme="minorEastAsia"/>
          <w:bCs/>
          <w:sz w:val="24"/>
          <w:szCs w:val="24"/>
          <w:highlight w:val="none"/>
          <w:lang w:eastAsia="zh-CN"/>
        </w:rPr>
        <w:fldChar w:fldCharType="separate"/>
      </w:r>
      <w:r>
        <w:rPr>
          <w:rFonts w:hint="default" w:ascii="Times New Roman" w:hAnsi="Times New Roman" w:cs="Times New Roman" w:eastAsiaTheme="minorEastAsia"/>
          <w:bCs/>
          <w:snapToGrid w:val="0"/>
          <w:sz w:val="24"/>
          <w:szCs w:val="24"/>
        </w:rPr>
        <w:t>六、生态环境保护措施监督检查清单</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_Toc32352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59</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bCs/>
          <w:color w:val="auto"/>
          <w:sz w:val="24"/>
          <w:szCs w:val="24"/>
          <w:highlight w:val="none"/>
          <w:u w:val="none" w:color="auto"/>
          <w:lang w:eastAsia="zh-CN"/>
        </w:rPr>
        <w:fldChar w:fldCharType="end"/>
      </w:r>
    </w:p>
    <w:p>
      <w:pPr>
        <w:pStyle w:val="23"/>
        <w:tabs>
          <w:tab w:val="right" w:leader="dot" w:pos="8844"/>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color w:val="auto"/>
          <w:sz w:val="24"/>
          <w:szCs w:val="24"/>
          <w:highlight w:val="none"/>
          <w:u w:val="none" w:color="auto"/>
          <w:lang w:eastAsia="zh-CN"/>
        </w:rPr>
        <w:fldChar w:fldCharType="begin"/>
      </w:r>
      <w:r>
        <w:rPr>
          <w:rFonts w:hint="default" w:ascii="Times New Roman" w:hAnsi="Times New Roman" w:cs="Times New Roman" w:eastAsiaTheme="minorEastAsia"/>
          <w:bCs/>
          <w:sz w:val="24"/>
          <w:szCs w:val="24"/>
          <w:highlight w:val="none"/>
          <w:lang w:eastAsia="zh-CN"/>
        </w:rPr>
        <w:instrText xml:space="preserve"> HYPERLINK \l _Toc25385 </w:instrText>
      </w:r>
      <w:r>
        <w:rPr>
          <w:rFonts w:hint="default" w:ascii="Times New Roman" w:hAnsi="Times New Roman" w:cs="Times New Roman" w:eastAsiaTheme="minorEastAsia"/>
          <w:bCs/>
          <w:sz w:val="24"/>
          <w:szCs w:val="24"/>
          <w:highlight w:val="none"/>
          <w:lang w:eastAsia="zh-CN"/>
        </w:rPr>
        <w:fldChar w:fldCharType="separate"/>
      </w:r>
      <w:r>
        <w:rPr>
          <w:rFonts w:hint="default" w:ascii="Times New Roman" w:hAnsi="Times New Roman" w:cs="Times New Roman" w:eastAsiaTheme="minorEastAsia"/>
          <w:bCs/>
          <w:snapToGrid w:val="0"/>
          <w:sz w:val="24"/>
          <w:szCs w:val="24"/>
        </w:rPr>
        <w:t>七、结论</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_Toc25385 \h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61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bCs/>
          <w:color w:val="auto"/>
          <w:sz w:val="24"/>
          <w:szCs w:val="24"/>
          <w:highlight w:val="none"/>
          <w:u w:val="none" w:color="auto"/>
          <w:lang w:eastAsia="zh-CN"/>
        </w:rPr>
        <w:fldChar w:fldCharType="end"/>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2"/>
          <w:sz w:val="24"/>
          <w:szCs w:val="24"/>
          <w:u w:val="none" w:color="auto"/>
          <w:lang w:val="en-US" w:eastAsia="zh-CN" w:bidi="ar"/>
        </w:rPr>
      </w:pPr>
      <w:r>
        <w:rPr>
          <w:rFonts w:hint="default" w:ascii="Times New Roman" w:hAnsi="Times New Roman" w:cs="Times New Roman" w:eastAsiaTheme="minorEastAsia"/>
          <w:bCs/>
          <w:color w:val="auto"/>
          <w:sz w:val="24"/>
          <w:szCs w:val="24"/>
          <w:highlight w:val="none"/>
          <w:u w:val="none" w:color="auto"/>
          <w:lang w:eastAsia="zh-CN"/>
        </w:rPr>
        <w:fldChar w:fldCharType="end"/>
      </w:r>
      <w:r>
        <w:rPr>
          <w:rFonts w:hint="default" w:ascii="Times New Roman" w:hAnsi="Times New Roman" w:eastAsia="宋体" w:cs="Times New Roman"/>
          <w:b/>
          <w:bCs/>
          <w:color w:val="auto"/>
          <w:kern w:val="2"/>
          <w:sz w:val="24"/>
          <w:szCs w:val="24"/>
          <w:u w:val="none" w:color="auto"/>
          <w:lang w:val="en-US" w:eastAsia="zh-CN" w:bidi="ar"/>
        </w:rPr>
        <w:t>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 xml:space="preserve">附件1  </w:t>
      </w:r>
      <w:r>
        <w:rPr>
          <w:rFonts w:hint="eastAsia" w:ascii="Times New Roman" w:hAnsi="Times New Roman" w:cs="Times New Roman"/>
          <w:b w:val="0"/>
          <w:bCs w:val="0"/>
          <w:color w:val="auto"/>
          <w:kern w:val="2"/>
          <w:sz w:val="24"/>
          <w:szCs w:val="24"/>
          <w:u w:val="none" w:color="auto"/>
          <w:lang w:val="en-US" w:eastAsia="zh-CN" w:bidi="ar"/>
        </w:rPr>
        <w:t>环评</w:t>
      </w:r>
      <w:r>
        <w:rPr>
          <w:rFonts w:hint="default" w:ascii="Times New Roman" w:hAnsi="Times New Roman" w:eastAsia="宋体" w:cs="Times New Roman"/>
          <w:b w:val="0"/>
          <w:bCs w:val="0"/>
          <w:color w:val="auto"/>
          <w:kern w:val="2"/>
          <w:sz w:val="24"/>
          <w:szCs w:val="24"/>
          <w:u w:val="none" w:color="auto"/>
          <w:lang w:val="en-US" w:eastAsia="zh-CN" w:bidi="ar"/>
        </w:rPr>
        <w:t>委托书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附件</w:t>
      </w:r>
      <w:r>
        <w:rPr>
          <w:rFonts w:hint="eastAsia" w:ascii="Times New Roman" w:hAnsi="Times New Roman" w:eastAsia="宋体" w:cs="Times New Roman"/>
          <w:b w:val="0"/>
          <w:bCs w:val="0"/>
          <w:color w:val="auto"/>
          <w:kern w:val="2"/>
          <w:sz w:val="24"/>
          <w:szCs w:val="24"/>
          <w:u w:val="none" w:color="auto"/>
          <w:lang w:val="en-US" w:eastAsia="zh-CN" w:bidi="ar"/>
        </w:rPr>
        <w:t>2</w:t>
      </w:r>
      <w:r>
        <w:rPr>
          <w:rFonts w:hint="default" w:ascii="Times New Roman" w:hAnsi="Times New Roman" w:eastAsia="宋体" w:cs="Times New Roman"/>
          <w:b w:val="0"/>
          <w:bCs w:val="0"/>
          <w:color w:val="auto"/>
          <w:kern w:val="2"/>
          <w:sz w:val="24"/>
          <w:szCs w:val="24"/>
          <w:u w:val="none" w:color="auto"/>
          <w:lang w:val="en-US" w:eastAsia="zh-CN" w:bidi="ar"/>
        </w:rPr>
        <w:t xml:space="preserve">  </w:t>
      </w:r>
      <w:r>
        <w:rPr>
          <w:rFonts w:hint="eastAsia" w:ascii="Times New Roman" w:hAnsi="Times New Roman"/>
          <w:color w:val="auto"/>
          <w:sz w:val="24"/>
          <w:szCs w:val="24"/>
          <w:u w:val="none" w:color="auto"/>
          <w:lang w:val="en-US" w:eastAsia="zh-CN"/>
        </w:rPr>
        <w:t>营业执照及法人身份证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附件</w:t>
      </w:r>
      <w:r>
        <w:rPr>
          <w:rFonts w:hint="eastAsia" w:ascii="Times New Roman" w:hAnsi="Times New Roman" w:eastAsia="宋体" w:cs="Times New Roman"/>
          <w:b w:val="0"/>
          <w:bCs w:val="0"/>
          <w:color w:val="auto"/>
          <w:kern w:val="2"/>
          <w:sz w:val="24"/>
          <w:szCs w:val="24"/>
          <w:u w:val="none" w:color="auto"/>
          <w:lang w:val="en-US" w:eastAsia="zh-CN" w:bidi="ar"/>
        </w:rPr>
        <w:t>3</w:t>
      </w:r>
      <w:r>
        <w:rPr>
          <w:rFonts w:hint="default" w:ascii="Times New Roman" w:hAnsi="Times New Roman" w:eastAsia="宋体" w:cs="Times New Roman"/>
          <w:b w:val="0"/>
          <w:bCs w:val="0"/>
          <w:color w:val="auto"/>
          <w:kern w:val="2"/>
          <w:sz w:val="24"/>
          <w:szCs w:val="24"/>
          <w:u w:val="none" w:color="auto"/>
          <w:lang w:val="en-US" w:eastAsia="zh-CN" w:bidi="ar"/>
        </w:rPr>
        <w:t xml:space="preserve">  </w:t>
      </w:r>
      <w:r>
        <w:rPr>
          <w:rFonts w:hint="eastAsia" w:ascii="Times New Roman" w:hAnsi="Times New Roman"/>
          <w:color w:val="auto"/>
          <w:sz w:val="24"/>
          <w:szCs w:val="24"/>
          <w:u w:val="none" w:color="auto"/>
          <w:lang w:val="en-US" w:eastAsia="zh-CN"/>
        </w:rPr>
        <w:t>备案文件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b w:val="0"/>
          <w:bCs w:val="0"/>
          <w:color w:val="auto"/>
          <w:kern w:val="2"/>
          <w:sz w:val="24"/>
          <w:szCs w:val="24"/>
          <w:u w:val="none" w:color="auto"/>
          <w:lang w:val="en-US" w:eastAsia="zh-CN" w:bidi="ar"/>
        </w:rPr>
      </w:pPr>
      <w:r>
        <w:rPr>
          <w:rFonts w:hint="eastAsia" w:ascii="Times New Roman" w:hAnsi="Times New Roman" w:cs="Times New Roman"/>
          <w:b w:val="0"/>
          <w:bCs w:val="0"/>
          <w:color w:val="auto"/>
          <w:kern w:val="2"/>
          <w:sz w:val="24"/>
          <w:szCs w:val="24"/>
          <w:u w:val="none" w:color="auto"/>
          <w:lang w:val="en-US" w:eastAsia="zh-CN" w:bidi="ar"/>
        </w:rPr>
        <w:t xml:space="preserve">附件4  </w:t>
      </w:r>
      <w:r>
        <w:rPr>
          <w:rFonts w:hint="eastAsia" w:ascii="Times New Roman" w:hAnsi="Times New Roman"/>
          <w:color w:val="auto"/>
          <w:sz w:val="24"/>
          <w:szCs w:val="24"/>
          <w:u w:val="none" w:color="auto"/>
          <w:lang w:val="en-US" w:eastAsia="zh-CN"/>
        </w:rPr>
        <w:t>用地规划许可证及出让合同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附件</w:t>
      </w:r>
      <w:r>
        <w:rPr>
          <w:rFonts w:hint="eastAsia" w:ascii="Times New Roman" w:hAnsi="Times New Roman" w:eastAsia="宋体" w:cs="Times New Roman"/>
          <w:b w:val="0"/>
          <w:bCs w:val="0"/>
          <w:color w:val="auto"/>
          <w:kern w:val="2"/>
          <w:sz w:val="24"/>
          <w:szCs w:val="24"/>
          <w:u w:val="none" w:color="auto"/>
          <w:lang w:val="en-US" w:eastAsia="zh-CN" w:bidi="ar"/>
        </w:rPr>
        <w:t>5</w:t>
      </w:r>
      <w:r>
        <w:rPr>
          <w:rFonts w:hint="default" w:ascii="Times New Roman" w:hAnsi="Times New Roman" w:eastAsia="宋体" w:cs="Times New Roman"/>
          <w:b w:val="0"/>
          <w:bCs w:val="0"/>
          <w:color w:val="auto"/>
          <w:kern w:val="2"/>
          <w:sz w:val="24"/>
          <w:szCs w:val="24"/>
          <w:u w:val="none" w:color="auto"/>
          <w:lang w:val="en-US" w:eastAsia="zh-CN" w:bidi="ar"/>
        </w:rPr>
        <w:t xml:space="preserve"> </w:t>
      </w:r>
      <w:r>
        <w:rPr>
          <w:rFonts w:hint="eastAsia" w:ascii="Times New Roman" w:hAnsi="Times New Roman" w:eastAsia="宋体" w:cs="Times New Roman"/>
          <w:b w:val="0"/>
          <w:bCs w:val="0"/>
          <w:color w:val="auto"/>
          <w:kern w:val="2"/>
          <w:sz w:val="24"/>
          <w:szCs w:val="24"/>
          <w:u w:val="none" w:color="auto"/>
          <w:lang w:val="en-US" w:eastAsia="zh-CN" w:bidi="ar"/>
        </w:rPr>
        <w:t xml:space="preserve"> 湘阴县人民政府关于虞公港临港产业园和金龙先导区控规初步成果相关意见建议的复函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eastAsia="宋体" w:cs="Times New Roman"/>
          <w:b w:val="0"/>
          <w:bCs w:val="0"/>
          <w:color w:val="auto"/>
          <w:kern w:val="2"/>
          <w:sz w:val="24"/>
          <w:szCs w:val="24"/>
          <w:u w:val="none" w:color="auto"/>
          <w:lang w:val="en-US" w:eastAsia="zh-CN" w:bidi="ar"/>
        </w:rPr>
      </w:pPr>
      <w:r>
        <w:rPr>
          <w:rFonts w:hint="eastAsia" w:ascii="Times New Roman" w:hAnsi="Times New Roman" w:eastAsia="宋体" w:cs="Times New Roman"/>
          <w:b w:val="0"/>
          <w:bCs w:val="0"/>
          <w:color w:val="auto"/>
          <w:kern w:val="2"/>
          <w:sz w:val="24"/>
          <w:szCs w:val="24"/>
          <w:u w:val="none" w:color="auto"/>
          <w:lang w:val="en-US" w:eastAsia="zh-CN" w:bidi="ar"/>
        </w:rPr>
        <w:t xml:space="preserve">附件6  </w:t>
      </w:r>
      <w:r>
        <w:rPr>
          <w:rFonts w:hint="eastAsia" w:ascii="Times New Roman" w:hAnsi="Times New Roman" w:cs="Times New Roman"/>
          <w:b w:val="0"/>
          <w:bCs w:val="0"/>
          <w:color w:val="auto"/>
          <w:kern w:val="2"/>
          <w:sz w:val="24"/>
          <w:szCs w:val="24"/>
          <w:u w:val="none" w:color="auto"/>
          <w:lang w:val="en-US" w:eastAsia="zh-CN" w:bidi="ar"/>
        </w:rPr>
        <w:t>虞公港及港城融合发展区起步区控制性规划及湘阴金龙先导区控制性详细规划初步成果专家评审会会议纪要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eastAsia="宋体" w:cs="Times New Roman"/>
          <w:b w:val="0"/>
          <w:bCs w:val="0"/>
          <w:color w:val="auto"/>
          <w:kern w:val="2"/>
          <w:sz w:val="24"/>
          <w:szCs w:val="24"/>
          <w:u w:val="none" w:color="auto"/>
          <w:lang w:val="en-US" w:eastAsia="zh-CN" w:bidi="ar"/>
        </w:rPr>
      </w:pPr>
      <w:r>
        <w:rPr>
          <w:rFonts w:hint="eastAsia" w:ascii="Times New Roman" w:hAnsi="Times New Roman" w:eastAsia="宋体" w:cs="Times New Roman"/>
          <w:b w:val="0"/>
          <w:bCs w:val="0"/>
          <w:color w:val="auto"/>
          <w:kern w:val="2"/>
          <w:sz w:val="24"/>
          <w:szCs w:val="24"/>
          <w:u w:val="none" w:color="auto"/>
          <w:lang w:val="en-US" w:eastAsia="zh-CN" w:bidi="ar"/>
        </w:rPr>
        <w:t>附件</w:t>
      </w:r>
      <w:r>
        <w:rPr>
          <w:rFonts w:hint="eastAsia" w:ascii="Times New Roman" w:hAnsi="Times New Roman" w:cs="Times New Roman"/>
          <w:b w:val="0"/>
          <w:bCs w:val="0"/>
          <w:color w:val="auto"/>
          <w:kern w:val="2"/>
          <w:sz w:val="24"/>
          <w:szCs w:val="24"/>
          <w:u w:val="none" w:color="auto"/>
          <w:lang w:val="en-US" w:eastAsia="zh-CN" w:bidi="ar"/>
        </w:rPr>
        <w:t>7</w:t>
      </w:r>
      <w:r>
        <w:rPr>
          <w:rFonts w:hint="eastAsia" w:ascii="Times New Roman" w:hAnsi="Times New Roman" w:eastAsia="宋体" w:cs="Times New Roman"/>
          <w:b w:val="0"/>
          <w:bCs w:val="0"/>
          <w:color w:val="auto"/>
          <w:kern w:val="2"/>
          <w:sz w:val="24"/>
          <w:szCs w:val="24"/>
          <w:u w:val="none" w:color="auto"/>
          <w:lang w:val="en-US" w:eastAsia="zh-CN" w:bidi="ar"/>
        </w:rPr>
        <w:t xml:space="preserve">  《长沙临港产业开发区规划（2023-2035）环境影响报告书》审查意见的函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eastAsiaTheme="majorEastAsia"/>
          <w:b w:val="0"/>
          <w:bCs w:val="0"/>
          <w:sz w:val="24"/>
          <w:szCs w:val="24"/>
          <w:lang w:val="en-US" w:eastAsia="zh-CN"/>
        </w:rPr>
      </w:pPr>
      <w:r>
        <w:rPr>
          <w:rFonts w:hint="eastAsia" w:ascii="Times New Roman" w:hAnsi="Times New Roman" w:eastAsia="宋体" w:cs="Times New Roman"/>
          <w:b w:val="0"/>
          <w:bCs w:val="0"/>
          <w:color w:val="auto"/>
          <w:kern w:val="2"/>
          <w:sz w:val="24"/>
          <w:szCs w:val="24"/>
          <w:u w:val="none" w:color="auto"/>
          <w:lang w:val="en-US" w:eastAsia="zh-CN" w:bidi="ar"/>
        </w:rPr>
        <w:t>附件</w:t>
      </w:r>
      <w:r>
        <w:rPr>
          <w:rFonts w:hint="eastAsia" w:ascii="Times New Roman" w:hAnsi="Times New Roman" w:cs="Times New Roman"/>
          <w:b w:val="0"/>
          <w:bCs w:val="0"/>
          <w:color w:val="auto"/>
          <w:kern w:val="2"/>
          <w:sz w:val="24"/>
          <w:szCs w:val="24"/>
          <w:u w:val="none" w:color="auto"/>
          <w:lang w:val="en-US" w:eastAsia="zh-CN" w:bidi="ar"/>
        </w:rPr>
        <w:t>8</w:t>
      </w:r>
      <w:r>
        <w:rPr>
          <w:rFonts w:hint="eastAsia" w:ascii="Times New Roman" w:hAnsi="Times New Roman" w:eastAsia="宋体" w:cs="Times New Roman"/>
          <w:b w:val="0"/>
          <w:bCs w:val="0"/>
          <w:color w:val="auto"/>
          <w:kern w:val="2"/>
          <w:sz w:val="24"/>
          <w:szCs w:val="24"/>
          <w:u w:val="none" w:color="auto"/>
          <w:lang w:val="en-US" w:eastAsia="zh-CN" w:bidi="ar"/>
        </w:rPr>
        <w:t xml:space="preserve">  </w:t>
      </w:r>
      <w:r>
        <w:rPr>
          <w:rFonts w:hint="eastAsia" w:ascii="Times New Roman" w:hAnsi="Times New Roman" w:cs="Times New Roman"/>
          <w:b w:val="0"/>
          <w:bCs w:val="0"/>
          <w:color w:val="auto"/>
          <w:kern w:val="2"/>
          <w:sz w:val="24"/>
          <w:szCs w:val="24"/>
          <w:u w:val="none" w:color="auto"/>
          <w:lang w:val="en-US" w:eastAsia="zh-CN" w:bidi="ar"/>
        </w:rPr>
        <w:t>关于湘阴</w:t>
      </w:r>
      <w:r>
        <w:rPr>
          <w:rFonts w:hint="eastAsia" w:ascii="Times New Roman" w:hAnsi="Times New Roman" w:cs="Times New Roman" w:eastAsiaTheme="majorEastAsia"/>
          <w:b w:val="0"/>
          <w:bCs w:val="0"/>
          <w:sz w:val="24"/>
          <w:szCs w:val="24"/>
          <w:lang w:val="en-US" w:eastAsia="zh-CN"/>
        </w:rPr>
        <w:t>金龙智能制造产业园建设项目环境影响报告表的批复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b w:val="0"/>
          <w:bCs w:val="0"/>
          <w:color w:val="auto"/>
          <w:kern w:val="2"/>
          <w:sz w:val="24"/>
          <w:szCs w:val="24"/>
          <w:u w:val="none" w:color="auto"/>
          <w:lang w:val="en-US" w:eastAsia="zh-CN" w:bidi="ar"/>
        </w:rPr>
      </w:pPr>
      <w:r>
        <w:rPr>
          <w:rFonts w:hint="eastAsia" w:ascii="Times New Roman" w:hAnsi="Times New Roman" w:cs="Times New Roman" w:eastAsiaTheme="majorEastAsia"/>
          <w:b w:val="0"/>
          <w:bCs w:val="0"/>
          <w:sz w:val="24"/>
          <w:szCs w:val="24"/>
          <w:lang w:val="en-US" w:eastAsia="zh-CN"/>
        </w:rPr>
        <w:t xml:space="preserve">附件9  </w:t>
      </w:r>
      <w:r>
        <w:rPr>
          <w:rFonts w:hint="eastAsia" w:ascii="Times New Roman" w:hAnsi="Times New Roman" w:eastAsia="宋体" w:cs="Times New Roman"/>
          <w:b w:val="0"/>
          <w:bCs w:val="0"/>
          <w:color w:val="auto"/>
          <w:kern w:val="2"/>
          <w:sz w:val="24"/>
          <w:szCs w:val="24"/>
          <w:u w:val="none" w:color="auto"/>
          <w:lang w:val="en-US" w:eastAsia="zh-CN" w:bidi="ar"/>
        </w:rPr>
        <w:t>检测报告</w:t>
      </w:r>
      <w:r>
        <w:rPr>
          <w:rFonts w:hint="eastAsia" w:ascii="Times New Roman" w:hAnsi="Times New Roman" w:cs="Times New Roman"/>
          <w:b w:val="0"/>
          <w:bCs w:val="0"/>
          <w:color w:val="auto"/>
          <w:kern w:val="2"/>
          <w:sz w:val="24"/>
          <w:szCs w:val="24"/>
          <w:u w:val="none" w:color="auto"/>
          <w:lang w:val="en-US" w:eastAsia="zh-CN" w:bidi="ar"/>
        </w:rPr>
        <w:t xml:space="preserve">  </w:t>
      </w:r>
    </w:p>
    <w:p>
      <w:pPr>
        <w:pStyle w:val="2"/>
        <w:keepNext w:val="0"/>
        <w:keepLines w:val="0"/>
        <w:pageBreakBefore w:val="0"/>
        <w:widowControl/>
        <w:kinsoku/>
        <w:wordWrap/>
        <w:overflowPunct/>
        <w:topLinePunct w:val="0"/>
        <w:autoSpaceDE/>
        <w:autoSpaceDN/>
        <w:bidi w:val="0"/>
        <w:adjustRightInd/>
        <w:snapToGrid w:val="0"/>
        <w:spacing w:line="300" w:lineRule="exact"/>
        <w:ind w:right="113" w:firstLine="480" w:firstLineChars="200"/>
        <w:textAlignment w:val="auto"/>
        <w:rPr>
          <w:rFonts w:hint="eastAsia" w:ascii="Times New Roman" w:hAnsi="Times New Roman" w:cs="Times New Roman"/>
          <w:b w:val="0"/>
          <w:bCs w:val="0"/>
          <w:color w:val="auto"/>
          <w:kern w:val="2"/>
          <w:sz w:val="24"/>
          <w:szCs w:val="24"/>
          <w:u w:val="none" w:color="auto"/>
          <w:lang w:val="en-US" w:eastAsia="zh-CN" w:bidi="ar"/>
        </w:rPr>
      </w:pPr>
      <w:r>
        <w:rPr>
          <w:rFonts w:hint="eastAsia" w:ascii="Times New Roman" w:hAnsi="Times New Roman" w:cs="Times New Roman"/>
          <w:b w:val="0"/>
          <w:bCs w:val="0"/>
          <w:color w:val="auto"/>
          <w:kern w:val="2"/>
          <w:sz w:val="24"/>
          <w:szCs w:val="24"/>
          <w:u w:val="none" w:color="auto"/>
          <w:lang w:val="en-US" w:eastAsia="zh-CN" w:bidi="ar"/>
        </w:rPr>
        <w:t>附件10  湖南湘江新区管理委员会经济发展局关于长沙临港产业开发区发展总体规划的批复</w:t>
      </w:r>
    </w:p>
    <w:p>
      <w:pPr>
        <w:pStyle w:val="2"/>
        <w:keepNext w:val="0"/>
        <w:keepLines w:val="0"/>
        <w:pageBreakBefore w:val="0"/>
        <w:widowControl/>
        <w:kinsoku/>
        <w:wordWrap/>
        <w:overflowPunct/>
        <w:topLinePunct w:val="0"/>
        <w:autoSpaceDE/>
        <w:autoSpaceDN/>
        <w:bidi w:val="0"/>
        <w:adjustRightInd/>
        <w:snapToGrid w:val="0"/>
        <w:spacing w:line="300" w:lineRule="exact"/>
        <w:ind w:right="113" w:firstLine="480" w:firstLineChars="200"/>
        <w:textAlignment w:val="auto"/>
        <w:rPr>
          <w:rFonts w:hint="default"/>
          <w:lang w:val="en-US" w:eastAsia="zh-CN"/>
        </w:rPr>
      </w:pPr>
      <w:r>
        <w:rPr>
          <w:rFonts w:hint="eastAsia" w:ascii="Times New Roman" w:hAnsi="Times New Roman" w:cs="Times New Roman"/>
          <w:b w:val="0"/>
          <w:bCs w:val="0"/>
          <w:color w:val="auto"/>
          <w:kern w:val="2"/>
          <w:sz w:val="24"/>
          <w:szCs w:val="24"/>
          <w:u w:val="none" w:color="auto"/>
          <w:lang w:val="en-US" w:eastAsia="zh-CN" w:bidi="ar"/>
        </w:rPr>
        <w:t>附件11  专家意见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default" w:ascii="Times New Roman" w:hAnsi="Times New Roman" w:eastAsia="宋体" w:cs="Times New Roman"/>
          <w:b/>
          <w:bCs/>
          <w:color w:val="auto"/>
          <w:kern w:val="2"/>
          <w:sz w:val="24"/>
          <w:szCs w:val="24"/>
          <w:u w:val="none" w:color="auto"/>
          <w:lang w:val="en-US" w:eastAsia="zh-CN" w:bidi="ar"/>
        </w:rPr>
      </w:pPr>
      <w:r>
        <w:rPr>
          <w:rFonts w:hint="default" w:ascii="Times New Roman" w:hAnsi="Times New Roman" w:eastAsia="宋体" w:cs="Times New Roman"/>
          <w:b/>
          <w:bCs/>
          <w:color w:val="auto"/>
          <w:kern w:val="2"/>
          <w:sz w:val="24"/>
          <w:szCs w:val="24"/>
          <w:u w:val="none" w:color="auto"/>
          <w:lang w:val="en-US" w:eastAsia="zh-CN" w:bidi="ar"/>
        </w:rPr>
        <w:t>附图：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 xml:space="preserve">附图1  项目地理位置图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附图2  项目用地范围图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Times New Roman" w:hAnsi="Times New Roman" w:eastAsia="宋体" w:cs="Times New Roman"/>
          <w:b w:val="0"/>
          <w:bCs w:val="0"/>
          <w:color w:val="auto"/>
          <w:kern w:val="2"/>
          <w:sz w:val="24"/>
          <w:szCs w:val="24"/>
          <w:u w:val="none" w:color="auto"/>
          <w:lang w:val="en-US" w:eastAsia="zh-CN" w:bidi="ar"/>
        </w:rPr>
      </w:pPr>
      <w:r>
        <w:rPr>
          <w:rFonts w:hint="default" w:ascii="Times New Roman" w:hAnsi="Times New Roman" w:eastAsia="宋体" w:cs="Times New Roman"/>
          <w:b w:val="0"/>
          <w:bCs w:val="0"/>
          <w:color w:val="auto"/>
          <w:kern w:val="2"/>
          <w:sz w:val="24"/>
          <w:szCs w:val="24"/>
          <w:u w:val="none" w:color="auto"/>
          <w:lang w:val="en-US" w:eastAsia="zh-CN" w:bidi="ar"/>
        </w:rPr>
        <w:t>附图</w:t>
      </w:r>
      <w:r>
        <w:rPr>
          <w:rFonts w:hint="eastAsia" w:ascii="Times New Roman" w:hAnsi="Times New Roman" w:eastAsia="宋体" w:cs="Times New Roman"/>
          <w:b w:val="0"/>
          <w:bCs w:val="0"/>
          <w:color w:val="auto"/>
          <w:kern w:val="2"/>
          <w:sz w:val="24"/>
          <w:szCs w:val="24"/>
          <w:u w:val="none" w:color="auto"/>
          <w:lang w:val="en-US" w:eastAsia="zh-CN" w:bidi="ar"/>
        </w:rPr>
        <w:t>3</w:t>
      </w:r>
      <w:r>
        <w:rPr>
          <w:rFonts w:hint="default" w:ascii="Times New Roman" w:hAnsi="Times New Roman" w:eastAsia="宋体" w:cs="Times New Roman"/>
          <w:b w:val="0"/>
          <w:bCs w:val="0"/>
          <w:color w:val="auto"/>
          <w:kern w:val="2"/>
          <w:sz w:val="24"/>
          <w:szCs w:val="24"/>
          <w:u w:val="none" w:color="auto"/>
          <w:lang w:val="en-US" w:eastAsia="zh-CN" w:bidi="ar"/>
        </w:rPr>
        <w:t xml:space="preserve"> </w:t>
      </w:r>
      <w:r>
        <w:rPr>
          <w:rFonts w:hint="eastAsia" w:ascii="Times New Roman" w:hAnsi="Times New Roman" w:eastAsia="宋体" w:cs="Times New Roman"/>
          <w:b w:val="0"/>
          <w:bCs w:val="0"/>
          <w:color w:val="auto"/>
          <w:kern w:val="2"/>
          <w:sz w:val="24"/>
          <w:szCs w:val="24"/>
          <w:u w:val="none" w:color="auto"/>
          <w:lang w:val="en-US" w:eastAsia="zh-CN" w:bidi="ar"/>
        </w:rPr>
        <w:t xml:space="preserve"> </w:t>
      </w:r>
      <w:r>
        <w:rPr>
          <w:rFonts w:hint="default" w:ascii="Times New Roman" w:hAnsi="Times New Roman" w:cs="Times New Roman" w:eastAsiaTheme="majorEastAsia"/>
          <w:b w:val="0"/>
          <w:bCs w:val="0"/>
          <w:color w:val="auto"/>
          <w:sz w:val="24"/>
          <w:szCs w:val="24"/>
          <w:lang w:val="en-US" w:eastAsia="zh-CN"/>
        </w:rPr>
        <w:t>项目平面布置图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b w:val="0"/>
          <w:bCs w:val="0"/>
          <w:color w:val="auto"/>
          <w:kern w:val="2"/>
          <w:sz w:val="24"/>
          <w:szCs w:val="24"/>
          <w:u w:val="none" w:color="auto"/>
          <w:lang w:val="en-US" w:eastAsia="zh-CN" w:bidi="ar"/>
        </w:rPr>
        <w:t>附图</w:t>
      </w:r>
      <w:r>
        <w:rPr>
          <w:rFonts w:hint="eastAsia" w:ascii="Times New Roman" w:hAnsi="Times New Roman" w:eastAsia="宋体" w:cs="Times New Roman"/>
          <w:b w:val="0"/>
          <w:bCs w:val="0"/>
          <w:color w:val="auto"/>
          <w:kern w:val="2"/>
          <w:sz w:val="24"/>
          <w:szCs w:val="24"/>
          <w:u w:val="none" w:color="auto"/>
          <w:lang w:val="en-US" w:eastAsia="zh-CN" w:bidi="ar"/>
        </w:rPr>
        <w:t>4</w:t>
      </w:r>
      <w:r>
        <w:rPr>
          <w:rFonts w:hint="default" w:ascii="Times New Roman" w:hAnsi="Times New Roman" w:eastAsia="宋体" w:cs="Times New Roman"/>
          <w:b w:val="0"/>
          <w:bCs w:val="0"/>
          <w:color w:val="auto"/>
          <w:kern w:val="2"/>
          <w:sz w:val="24"/>
          <w:szCs w:val="24"/>
          <w:u w:val="none" w:color="auto"/>
          <w:lang w:val="en-US" w:eastAsia="zh-CN" w:bidi="ar"/>
        </w:rPr>
        <w:t xml:space="preserve">  </w:t>
      </w:r>
      <w:r>
        <w:rPr>
          <w:rFonts w:hint="eastAsia" w:ascii="Times New Roman" w:hAnsi="Times New Roman" w:cs="Times New Roman"/>
          <w:b w:val="0"/>
          <w:bCs w:val="0"/>
          <w:color w:val="auto"/>
          <w:kern w:val="2"/>
          <w:sz w:val="24"/>
          <w:szCs w:val="24"/>
          <w:u w:val="none" w:color="auto"/>
          <w:lang w:val="en-US" w:eastAsia="zh-CN" w:bidi="ar"/>
        </w:rPr>
        <w:t>噪声监测点位</w:t>
      </w:r>
      <w:r>
        <w:rPr>
          <w:rFonts w:hint="eastAsia" w:ascii="Times New Roman" w:hAnsi="Times New Roman" w:eastAsia="宋体" w:cs="Times New Roman"/>
          <w:b w:val="0"/>
          <w:bCs w:val="0"/>
          <w:color w:val="auto"/>
          <w:kern w:val="2"/>
          <w:sz w:val="24"/>
          <w:szCs w:val="24"/>
          <w:u w:val="none" w:color="auto"/>
          <w:lang w:val="en-US" w:eastAsia="zh-CN" w:bidi="ar"/>
        </w:rPr>
        <w:t>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附图5  周边环境保护目标分布图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附图6  金龙南区雨水工程规划图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附图7  金龙南区污水工程规划图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附图8  三区三线图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附图9  水系图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附图10  金龙南区土地利用现状图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附图11  金龙南区土地利用规划图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附图12  项目现场图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720" w:firstLineChars="200"/>
        <w:jc w:val="both"/>
        <w:textAlignment w:val="auto"/>
        <w:rPr>
          <w:rFonts w:hint="default" w:ascii="Times New Roman" w:hAnsi="Times New Roman" w:eastAsia="楷体_GB2312" w:cs="Times New Roman"/>
          <w:color w:val="auto"/>
          <w:sz w:val="36"/>
          <w:szCs w:val="36"/>
          <w:highlight w:val="none"/>
          <w:u w:val="none" w:color="auto"/>
          <w:lang w:val="en-US"/>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p>
      <w:pPr>
        <w:pStyle w:val="27"/>
        <w:jc w:val="center"/>
        <w:outlineLvl w:val="0"/>
        <w:rPr>
          <w:rFonts w:hint="eastAsia" w:ascii="宋体" w:hAnsi="宋体" w:eastAsia="宋体" w:cs="宋体"/>
          <w:b/>
          <w:bCs/>
          <w:snapToGrid w:val="0"/>
          <w:color w:val="auto"/>
          <w:sz w:val="30"/>
          <w:szCs w:val="30"/>
          <w:u w:val="none" w:color="auto"/>
        </w:rPr>
      </w:pPr>
      <w:bookmarkStart w:id="4" w:name="_Toc15605"/>
      <w:bookmarkStart w:id="5" w:name="_Toc1994"/>
      <w:r>
        <w:rPr>
          <w:rFonts w:hint="eastAsia" w:ascii="宋体" w:hAnsi="宋体" w:eastAsia="宋体" w:cs="宋体"/>
          <w:b/>
          <w:bCs/>
          <w:snapToGrid w:val="0"/>
          <w:color w:val="auto"/>
          <w:sz w:val="30"/>
          <w:szCs w:val="30"/>
          <w:u w:val="none" w:color="auto"/>
        </w:rPr>
        <w:t>一、建设项目基本情况</w:t>
      </w:r>
      <w:bookmarkEnd w:id="4"/>
      <w:bookmarkEnd w:id="5"/>
    </w:p>
    <w:tbl>
      <w:tblPr>
        <w:tblStyle w:val="30"/>
        <w:tblW w:w="87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30"/>
        <w:gridCol w:w="2404"/>
        <w:gridCol w:w="2344"/>
        <w:gridCol w:w="31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建设项目名称</w:t>
            </w:r>
          </w:p>
        </w:tc>
        <w:tc>
          <w:tcPr>
            <w:tcW w:w="7932" w:type="dxa"/>
            <w:gridSpan w:val="3"/>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湘阴金龙智能制造产业园（二期）项目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项目代码</w:t>
            </w:r>
          </w:p>
        </w:tc>
        <w:tc>
          <w:tcPr>
            <w:tcW w:w="7932" w:type="dxa"/>
            <w:gridSpan w:val="3"/>
            <w:vAlign w:val="center"/>
          </w:tcPr>
          <w:p>
            <w:pPr>
              <w:pStyle w:val="27"/>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2403-430624-04-01-612817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建设单位联系人</w:t>
            </w:r>
          </w:p>
        </w:tc>
        <w:tc>
          <w:tcPr>
            <w:tcW w:w="2404" w:type="dxa"/>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覃</w:t>
            </w:r>
            <w:r>
              <w:rPr>
                <w:rFonts w:hint="eastAsia" w:ascii="Times New Roman" w:hAnsi="Times New Roman"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驿</w:t>
            </w:r>
          </w:p>
        </w:tc>
        <w:tc>
          <w:tcPr>
            <w:tcW w:w="2344" w:type="dxa"/>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联系方式</w:t>
            </w:r>
          </w:p>
        </w:tc>
        <w:tc>
          <w:tcPr>
            <w:tcW w:w="3184" w:type="dxa"/>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 183</w:t>
            </w:r>
            <w:r>
              <w:rPr>
                <w:rFonts w:hint="eastAsia" w:ascii="Times New Roman" w:hAnsi="Times New Roman" w:cs="Times New Roman"/>
                <w:color w:val="auto"/>
                <w:sz w:val="21"/>
                <w:szCs w:val="21"/>
                <w:u w:val="none" w:color="auto"/>
                <w:lang w:val="en-US" w:eastAsia="zh-CN"/>
              </w:rPr>
              <w:t>****</w:t>
            </w:r>
            <w:bookmarkStart w:id="33" w:name="_GoBack"/>
            <w:bookmarkEnd w:id="33"/>
            <w:r>
              <w:rPr>
                <w:rFonts w:hint="default" w:ascii="Times New Roman" w:hAnsi="Times New Roman" w:eastAsia="宋体" w:cs="Times New Roman"/>
                <w:color w:val="auto"/>
                <w:sz w:val="21"/>
                <w:szCs w:val="21"/>
                <w:u w:val="none" w:color="auto"/>
                <w:lang w:val="en-US" w:eastAsia="zh-CN"/>
              </w:rPr>
              <w:t>1145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3"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建设地点</w:t>
            </w:r>
          </w:p>
        </w:tc>
        <w:tc>
          <w:tcPr>
            <w:tcW w:w="7932" w:type="dxa"/>
            <w:gridSpan w:val="3"/>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湖南省岳阳市湘阴县金龙镇</w:t>
            </w:r>
            <w:r>
              <w:rPr>
                <w:rFonts w:hint="eastAsia" w:ascii="Times New Roman" w:hAnsi="Times New Roman"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eastAsia="zh-CN"/>
              </w:rPr>
              <w:t>芙蓉北路西侧</w:t>
            </w:r>
            <w:r>
              <w:rPr>
                <w:rFonts w:hint="eastAsia" w:ascii="Times New Roman" w:hAnsi="Times New Roman"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eastAsia="zh-CN"/>
              </w:rPr>
              <w:t>万福路南侧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3"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地理坐标</w:t>
            </w:r>
          </w:p>
        </w:tc>
        <w:tc>
          <w:tcPr>
            <w:tcW w:w="7932" w:type="dxa"/>
            <w:gridSpan w:val="3"/>
            <w:vAlign w:val="center"/>
          </w:tcPr>
          <w:p>
            <w:pPr>
              <w:pStyle w:val="2"/>
              <w:snapToGrid/>
              <w:spacing w:before="0" w:after="0" w:line="240" w:lineRule="auto"/>
              <w:ind w:right="63" w:rightChars="30"/>
              <w:jc w:val="center"/>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cs="Times New Roman"/>
                <w:color w:val="auto"/>
                <w:sz w:val="21"/>
                <w:szCs w:val="21"/>
                <w:u w:val="none" w:color="auto"/>
                <w:lang w:val="en-US" w:eastAsia="zh-CN"/>
              </w:rPr>
              <w:t>112°</w:t>
            </w:r>
            <w:r>
              <w:rPr>
                <w:rFonts w:hint="eastAsia" w:ascii="Times New Roman" w:hAnsi="Times New Roman" w:cs="Times New Roman"/>
                <w:color w:val="auto"/>
                <w:sz w:val="21"/>
                <w:szCs w:val="21"/>
                <w:u w:val="none" w:color="auto"/>
                <w:lang w:val="en-US" w:eastAsia="zh-CN"/>
              </w:rPr>
              <w:t>55</w:t>
            </w:r>
            <w:r>
              <w:rPr>
                <w:rFonts w:hint="default" w:ascii="Times New Roman" w:hAnsi="Times New Roman" w:cs="Times New Roman"/>
                <w:color w:val="auto"/>
                <w:sz w:val="21"/>
                <w:szCs w:val="21"/>
                <w:u w:val="none" w:color="auto"/>
                <w:lang w:val="en-US" w:eastAsia="zh-CN"/>
              </w:rPr>
              <w:t>′</w:t>
            </w:r>
            <w:r>
              <w:rPr>
                <w:rFonts w:hint="eastAsia" w:ascii="Times New Roman" w:hAnsi="Times New Roman" w:cs="Times New Roman"/>
                <w:color w:val="auto"/>
                <w:sz w:val="21"/>
                <w:szCs w:val="21"/>
                <w:u w:val="none" w:color="auto"/>
                <w:lang w:val="en-US" w:eastAsia="zh-CN"/>
              </w:rPr>
              <w:t>46.87043</w:t>
            </w:r>
            <w:r>
              <w:rPr>
                <w:rFonts w:hint="default" w:ascii="Times New Roman" w:hAnsi="Times New Roman" w:cs="Times New Roman"/>
                <w:color w:val="auto"/>
                <w:sz w:val="21"/>
                <w:szCs w:val="21"/>
                <w:u w:val="none" w:color="auto"/>
                <w:lang w:val="en-US" w:eastAsia="zh-CN"/>
              </w:rPr>
              <w:t>″，2</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w:t>
            </w:r>
            <w:r>
              <w:rPr>
                <w:rFonts w:hint="eastAsia" w:ascii="Times New Roman" w:hAnsi="Times New Roman" w:cs="Times New Roman"/>
                <w:color w:val="auto"/>
                <w:sz w:val="21"/>
                <w:szCs w:val="21"/>
                <w:u w:val="none" w:color="auto"/>
                <w:lang w:val="en-US" w:eastAsia="zh-CN"/>
              </w:rPr>
              <w:t>32</w:t>
            </w:r>
            <w:r>
              <w:rPr>
                <w:rFonts w:hint="default" w:ascii="Times New Roman" w:hAnsi="Times New Roman" w:cs="Times New Roman"/>
                <w:color w:val="auto"/>
                <w:sz w:val="21"/>
                <w:szCs w:val="21"/>
                <w:u w:val="none" w:color="auto"/>
                <w:lang w:val="en-US" w:eastAsia="zh-CN"/>
              </w:rPr>
              <w:t>′</w:t>
            </w:r>
            <w:r>
              <w:rPr>
                <w:rFonts w:hint="eastAsia" w:ascii="Times New Roman" w:hAnsi="Times New Roman" w:cs="Times New Roman"/>
                <w:color w:val="auto"/>
                <w:sz w:val="21"/>
                <w:szCs w:val="21"/>
                <w:u w:val="none" w:color="auto"/>
                <w:lang w:val="en-US" w:eastAsia="zh-CN"/>
              </w:rPr>
              <w:t>45.78993</w:t>
            </w:r>
            <w:r>
              <w:rPr>
                <w:rFonts w:hint="default" w:ascii="Times New Roman" w:hAnsi="Times New Roman" w:cs="Times New Roman"/>
                <w:color w:val="auto"/>
                <w:sz w:val="21"/>
                <w:szCs w:val="21"/>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建设项目</w:t>
            </w:r>
          </w:p>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行业类别</w:t>
            </w:r>
          </w:p>
        </w:tc>
        <w:tc>
          <w:tcPr>
            <w:tcW w:w="2404" w:type="dxa"/>
            <w:vAlign w:val="center"/>
          </w:tcPr>
          <w:p>
            <w:pPr>
              <w:adjustRightInd w:val="0"/>
              <w:snapToGrid w:val="0"/>
              <w:ind w:left="63" w:leftChars="30" w:right="63" w:rightChars="3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四十四</w:t>
            </w:r>
            <w:r>
              <w:rPr>
                <w:rFonts w:hint="default" w:ascii="Times New Roman" w:hAnsi="Times New Roman" w:cs="Times New Roman"/>
                <w:color w:val="auto"/>
                <w:sz w:val="21"/>
                <w:szCs w:val="21"/>
                <w:u w:val="none" w:color="auto"/>
              </w:rPr>
              <w:t>、房地产业 97 房地产开发、商业综合体、宾馆、酒店、办公用房、标准厂房</w:t>
            </w:r>
            <w:r>
              <w:rPr>
                <w:rFonts w:hint="eastAsia" w:ascii="Times New Roman" w:hAnsi="Times New Roman" w:cs="Times New Roman"/>
                <w:color w:val="auto"/>
                <w:sz w:val="21"/>
                <w:szCs w:val="21"/>
                <w:u w:val="none" w:color="auto"/>
                <w:lang w:val="en-US" w:eastAsia="zh-CN"/>
              </w:rPr>
              <w:t>等</w:t>
            </w:r>
          </w:p>
        </w:tc>
        <w:tc>
          <w:tcPr>
            <w:tcW w:w="2344" w:type="dxa"/>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用地面积（m</w:t>
            </w:r>
            <w:r>
              <w:rPr>
                <w:rFonts w:hint="default" w:ascii="Times New Roman" w:hAnsi="Times New Roman" w:cs="Times New Roman"/>
                <w:color w:val="auto"/>
                <w:sz w:val="21"/>
                <w:szCs w:val="21"/>
                <w:u w:val="none" w:color="auto"/>
                <w:vertAlign w:val="superscript"/>
              </w:rPr>
              <w:t>2</w:t>
            </w:r>
            <w:r>
              <w:rPr>
                <w:rFonts w:hint="default" w:ascii="Times New Roman" w:hAnsi="Times New Roman" w:cs="Times New Roman"/>
                <w:color w:val="auto"/>
                <w:sz w:val="21"/>
                <w:szCs w:val="21"/>
                <w:u w:val="none" w:color="auto"/>
              </w:rPr>
              <w:t>）</w:t>
            </w:r>
            <w:r>
              <w:rPr>
                <w:rFonts w:hint="eastAsia" w:ascii="Times New Roman" w:hAnsi="Times New Roman" w:cs="Times New Roman"/>
                <w:color w:val="auto"/>
                <w:sz w:val="21"/>
                <w:szCs w:val="21"/>
                <w:u w:val="none" w:color="auto"/>
                <w:lang w:val="en-US" w:eastAsia="zh-CN"/>
              </w:rPr>
              <w:t>/长度（km）</w:t>
            </w:r>
          </w:p>
        </w:tc>
        <w:tc>
          <w:tcPr>
            <w:tcW w:w="3184" w:type="dxa"/>
            <w:vAlign w:val="center"/>
          </w:tcPr>
          <w:p>
            <w:pPr>
              <w:adjustRightInd w:val="0"/>
              <w:snapToGrid w:val="0"/>
              <w:ind w:left="63" w:leftChars="30" w:right="63" w:rightChars="30"/>
              <w:jc w:val="center"/>
              <w:rPr>
                <w:rFonts w:hint="eastAsia" w:ascii="Times New Roman" w:hAnsi="Times New Roman" w:eastAsia="宋体" w:cs="Times New Roman"/>
                <w:color w:val="FF0000"/>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33438.99</w:t>
            </w:r>
            <w:r>
              <w:rPr>
                <w:rFonts w:hint="eastAsia" w:ascii="Times New Roman" w:hAnsi="Times New Roman" w:eastAsia="宋体" w:cs="Times New Roman"/>
                <w:color w:val="auto"/>
                <w:sz w:val="21"/>
                <w:szCs w:val="21"/>
                <w:u w:val="none" w:color="auto"/>
                <w:lang w:val="en-US" w:eastAsia="zh-CN"/>
              </w:rPr>
              <w:t>m</w:t>
            </w:r>
            <w:r>
              <w:rPr>
                <w:rFonts w:hint="eastAsia" w:ascii="Times New Roman" w:hAnsi="Times New Roman" w:eastAsia="宋体" w:cs="Times New Roman"/>
                <w:color w:val="auto"/>
                <w:sz w:val="21"/>
                <w:szCs w:val="21"/>
                <w:u w:val="none" w:color="auto"/>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建设性质</w:t>
            </w:r>
          </w:p>
        </w:tc>
        <w:tc>
          <w:tcPr>
            <w:tcW w:w="2404" w:type="dxa"/>
            <w:vAlign w:val="center"/>
          </w:tcPr>
          <w:p>
            <w:pPr>
              <w:adjustRightInd w:val="0"/>
              <w:snapToGrid w:val="0"/>
              <w:ind w:left="63" w:leftChars="30" w:right="63" w:rightChars="30"/>
              <w:jc w:val="left"/>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sym w:font="Wingdings 2" w:char="00A3"/>
            </w:r>
            <w:r>
              <w:rPr>
                <w:rFonts w:hint="default" w:ascii="Times New Roman" w:hAnsi="Times New Roman" w:cs="Times New Roman"/>
                <w:color w:val="auto"/>
                <w:sz w:val="21"/>
                <w:szCs w:val="21"/>
                <w:u w:val="none" w:color="auto"/>
              </w:rPr>
              <w:t>新建（迁建）</w:t>
            </w:r>
          </w:p>
          <w:p>
            <w:pPr>
              <w:adjustRightInd w:val="0"/>
              <w:snapToGrid w:val="0"/>
              <w:ind w:left="63" w:leftChars="30" w:right="63" w:rightChars="30"/>
              <w:jc w:val="left"/>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sym w:font="Wingdings 2" w:char="00A3"/>
            </w:r>
            <w:r>
              <w:rPr>
                <w:rFonts w:hint="default" w:ascii="Times New Roman" w:hAnsi="Times New Roman" w:cs="Times New Roman"/>
                <w:color w:val="auto"/>
                <w:sz w:val="21"/>
                <w:szCs w:val="21"/>
                <w:u w:val="none" w:color="auto"/>
              </w:rPr>
              <w:t>改建</w:t>
            </w:r>
          </w:p>
          <w:p>
            <w:pPr>
              <w:adjustRightInd w:val="0"/>
              <w:snapToGrid w:val="0"/>
              <w:ind w:left="63" w:leftChars="30" w:right="63" w:rightChars="30"/>
              <w:jc w:val="left"/>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sym w:font="Wingdings 2" w:char="0052"/>
            </w:r>
            <w:r>
              <w:rPr>
                <w:rFonts w:hint="default" w:ascii="Times New Roman" w:hAnsi="Times New Roman" w:cs="Times New Roman"/>
                <w:color w:val="auto"/>
                <w:sz w:val="21"/>
                <w:szCs w:val="21"/>
                <w:u w:val="none" w:color="auto"/>
              </w:rPr>
              <w:t>扩建</w:t>
            </w:r>
          </w:p>
          <w:p>
            <w:pPr>
              <w:adjustRightInd w:val="0"/>
              <w:snapToGrid w:val="0"/>
              <w:ind w:left="63" w:leftChars="30" w:right="63" w:rightChars="30"/>
              <w:jc w:val="left"/>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sym w:font="Wingdings 2" w:char="00A3"/>
            </w:r>
            <w:r>
              <w:rPr>
                <w:rFonts w:hint="default" w:ascii="Times New Roman" w:hAnsi="Times New Roman" w:cs="Times New Roman"/>
                <w:color w:val="auto"/>
                <w:sz w:val="21"/>
                <w:szCs w:val="21"/>
                <w:u w:val="none" w:color="auto"/>
              </w:rPr>
              <w:t>技术改造</w:t>
            </w:r>
          </w:p>
        </w:tc>
        <w:tc>
          <w:tcPr>
            <w:tcW w:w="2344" w:type="dxa"/>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建设项目</w:t>
            </w:r>
          </w:p>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申报情形</w:t>
            </w:r>
          </w:p>
        </w:tc>
        <w:tc>
          <w:tcPr>
            <w:tcW w:w="3184" w:type="dxa"/>
            <w:vAlign w:val="center"/>
          </w:tcPr>
          <w:p>
            <w:pPr>
              <w:adjustRightInd w:val="0"/>
              <w:snapToGrid w:val="0"/>
              <w:ind w:left="63" w:leftChars="30" w:right="63" w:rightChars="30"/>
              <w:jc w:val="left"/>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sym w:font="Wingdings 2" w:char="0052"/>
            </w:r>
            <w:r>
              <w:rPr>
                <w:rFonts w:hint="default" w:ascii="Times New Roman" w:hAnsi="Times New Roman" w:cs="Times New Roman"/>
                <w:color w:val="auto"/>
                <w:sz w:val="21"/>
                <w:szCs w:val="21"/>
                <w:u w:val="none" w:color="auto"/>
              </w:rPr>
              <w:t>首次申报项目</w:t>
            </w:r>
          </w:p>
          <w:p>
            <w:pPr>
              <w:adjustRightInd w:val="0"/>
              <w:snapToGrid w:val="0"/>
              <w:ind w:left="63" w:leftChars="30" w:right="63" w:rightChars="30"/>
              <w:jc w:val="left"/>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□不予批准后再次申报项目</w:t>
            </w:r>
          </w:p>
          <w:p>
            <w:pPr>
              <w:adjustRightInd w:val="0"/>
              <w:snapToGrid w:val="0"/>
              <w:ind w:left="63" w:leftChars="30" w:right="63" w:rightChars="30"/>
              <w:jc w:val="left"/>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□超五年重新审核项目</w:t>
            </w:r>
          </w:p>
          <w:p>
            <w:pPr>
              <w:adjustRightInd w:val="0"/>
              <w:snapToGrid w:val="0"/>
              <w:ind w:left="63" w:leftChars="30" w:right="63" w:rightChars="30"/>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项目审批（核准/备案）部门（选填）</w:t>
            </w:r>
          </w:p>
        </w:tc>
        <w:tc>
          <w:tcPr>
            <w:tcW w:w="2404" w:type="dxa"/>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eastAsia="zh-CN"/>
              </w:rPr>
            </w:pPr>
            <w:r>
              <w:rPr>
                <w:rFonts w:hint="eastAsia" w:ascii="Times New Roman" w:hAnsi="Times New Roman" w:cs="Times New Roman"/>
                <w:color w:val="auto"/>
                <w:sz w:val="21"/>
                <w:szCs w:val="21"/>
                <w:u w:val="none" w:color="auto"/>
                <w:lang w:val="en-US" w:eastAsia="zh-CN"/>
              </w:rPr>
              <w:t>湘阴县</w:t>
            </w:r>
            <w:r>
              <w:rPr>
                <w:rFonts w:hint="default" w:ascii="Times New Roman" w:hAnsi="Times New Roman" w:cs="Times New Roman"/>
                <w:color w:val="auto"/>
                <w:sz w:val="21"/>
                <w:szCs w:val="21"/>
                <w:u w:val="none" w:color="auto"/>
              </w:rPr>
              <w:t>发展和改革局</w:t>
            </w:r>
          </w:p>
        </w:tc>
        <w:tc>
          <w:tcPr>
            <w:tcW w:w="2344" w:type="dxa"/>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项目审批（核准/</w:t>
            </w:r>
          </w:p>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备案）文号（选填）</w:t>
            </w:r>
          </w:p>
        </w:tc>
        <w:tc>
          <w:tcPr>
            <w:tcW w:w="3184" w:type="dxa"/>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eastAsia="zh-CN"/>
              </w:rPr>
            </w:pPr>
            <w:r>
              <w:rPr>
                <w:rFonts w:hint="eastAsia" w:ascii="Times New Roman" w:hAnsi="Times New Roman" w:cs="Times New Roman"/>
                <w:color w:val="auto"/>
                <w:sz w:val="21"/>
                <w:szCs w:val="21"/>
                <w:u w:val="none" w:color="auto"/>
                <w:lang w:val="en-US" w:eastAsia="zh-CN"/>
              </w:rPr>
              <w:t>湘阴发改审</w:t>
            </w:r>
            <w:r>
              <w:rPr>
                <w:rFonts w:hint="default" w:ascii="Times New Roman" w:hAnsi="Times New Roman" w:eastAsia="宋体" w:cs="Times New Roman"/>
                <w:color w:val="auto"/>
                <w:sz w:val="21"/>
                <w:szCs w:val="21"/>
                <w:u w:val="none" w:color="auto"/>
                <w:lang w:eastAsia="zh-CN"/>
              </w:rPr>
              <w:t>〔20</w:t>
            </w:r>
            <w:r>
              <w:rPr>
                <w:rFonts w:hint="eastAsia" w:ascii="Times New Roman" w:hAnsi="Times New Roman" w:cs="Times New Roman"/>
                <w:color w:val="auto"/>
                <w:sz w:val="21"/>
                <w:szCs w:val="21"/>
                <w:u w:val="none" w:color="auto"/>
                <w:lang w:val="en-US" w:eastAsia="zh-CN"/>
              </w:rPr>
              <w:t>24</w:t>
            </w:r>
            <w:r>
              <w:rPr>
                <w:rFonts w:hint="default" w:ascii="Times New Roman" w:hAnsi="Times New Roman" w:eastAsia="宋体"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72</w:t>
            </w:r>
            <w:r>
              <w:rPr>
                <w:rFonts w:hint="default" w:ascii="Times New Roman" w:hAnsi="Times New Roman" w:eastAsia="宋体" w:cs="Times New Roman"/>
                <w:color w:val="auto"/>
                <w:sz w:val="21"/>
                <w:szCs w:val="21"/>
                <w:u w:val="none" w:color="auto"/>
                <w:lang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总投资（万元）</w:t>
            </w:r>
          </w:p>
        </w:tc>
        <w:tc>
          <w:tcPr>
            <w:tcW w:w="2404" w:type="dxa"/>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16117.71</w:t>
            </w:r>
          </w:p>
        </w:tc>
        <w:tc>
          <w:tcPr>
            <w:tcW w:w="2344"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环保投资（万元）</w:t>
            </w:r>
          </w:p>
        </w:tc>
        <w:tc>
          <w:tcPr>
            <w:tcW w:w="3184" w:type="dxa"/>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环保投资占比（%）</w:t>
            </w:r>
          </w:p>
        </w:tc>
        <w:tc>
          <w:tcPr>
            <w:tcW w:w="2404" w:type="dxa"/>
            <w:vAlign w:val="center"/>
          </w:tcPr>
          <w:p>
            <w:pPr>
              <w:adjustRightInd w:val="0"/>
              <w:snapToGrid w:val="0"/>
              <w:ind w:left="63" w:leftChars="30" w:right="63" w:rightChars="3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0.78</w:t>
            </w:r>
          </w:p>
        </w:tc>
        <w:tc>
          <w:tcPr>
            <w:tcW w:w="2344"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施工工期</w:t>
            </w:r>
          </w:p>
        </w:tc>
        <w:tc>
          <w:tcPr>
            <w:tcW w:w="3184" w:type="dxa"/>
            <w:vAlign w:val="center"/>
          </w:tcPr>
          <w:p>
            <w:pPr>
              <w:adjustRightInd w:val="0"/>
              <w:snapToGrid w:val="0"/>
              <w:ind w:left="63" w:leftChars="30" w:right="63" w:rightChars="30"/>
              <w:jc w:val="center"/>
              <w:rPr>
                <w:rFonts w:hint="default" w:ascii="Times New Roman" w:hAnsi="Times New Roman" w:eastAsia="Calibri"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12</w:t>
            </w:r>
            <w:r>
              <w:rPr>
                <w:rFonts w:hint="default" w:ascii="Times New Roman" w:hAnsi="Times New Roman" w:cs="Times New Roman"/>
                <w:color w:val="auto"/>
                <w:sz w:val="21"/>
                <w:szCs w:val="21"/>
                <w:u w:val="none" w:color="auto"/>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830" w:type="dxa"/>
            <w:tcMar>
              <w:top w:w="16" w:type="dxa"/>
              <w:left w:w="16" w:type="dxa"/>
              <w:right w:w="16" w:type="dxa"/>
            </w:tcMar>
            <w:vAlign w:val="center"/>
          </w:tcPr>
          <w:p>
            <w:pPr>
              <w:adjustRightInd w:val="0"/>
              <w:snapToGrid w:val="0"/>
              <w:ind w:left="63" w:leftChars="30" w:right="63" w:rightChars="30"/>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是否开工建设</w:t>
            </w:r>
          </w:p>
        </w:tc>
        <w:tc>
          <w:tcPr>
            <w:tcW w:w="7932" w:type="dxa"/>
            <w:gridSpan w:val="3"/>
            <w:vAlign w:val="center"/>
          </w:tcPr>
          <w:p>
            <w:pPr>
              <w:keepNext w:val="0"/>
              <w:keepLines w:val="0"/>
              <w:pageBreakBefore w:val="0"/>
              <w:widowControl w:val="0"/>
              <w:kinsoku/>
              <w:wordWrap/>
              <w:overflowPunct/>
              <w:topLinePunct w:val="0"/>
              <w:bidi w:val="0"/>
              <w:adjustRightInd w:val="0"/>
              <w:snapToGrid/>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sym w:font="Wingdings 2" w:char="0052"/>
            </w:r>
            <w:r>
              <w:rPr>
                <w:rFonts w:hint="default" w:ascii="Times New Roman" w:hAnsi="Times New Roman" w:cs="Times New Roman"/>
                <w:color w:val="auto"/>
                <w:sz w:val="21"/>
                <w:szCs w:val="21"/>
                <w:highlight w:val="none"/>
                <w:u w:val="none" w:color="auto"/>
              </w:rPr>
              <w:t>否</w:t>
            </w:r>
          </w:p>
          <w:p>
            <w:pPr>
              <w:ind w:right="63" w:rightChars="30"/>
              <w:jc w:val="left"/>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highlight w:val="none"/>
                <w:u w:val="none" w:color="auto"/>
              </w:rPr>
              <w:sym w:font="Wingdings 2" w:char="00A3"/>
            </w:r>
            <w:r>
              <w:rPr>
                <w:rFonts w:hint="default" w:ascii="Times New Roman" w:hAnsi="Times New Roman" w:cs="Times New Roman"/>
                <w:color w:val="auto"/>
                <w:sz w:val="21"/>
                <w:szCs w:val="21"/>
                <w:highlight w:val="none"/>
                <w:u w:val="none" w:color="auto"/>
              </w:rPr>
              <w:t xml:space="preserve">是：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830" w:type="dxa"/>
            <w:tcMar>
              <w:top w:w="16" w:type="dxa"/>
              <w:left w:w="16" w:type="dxa"/>
              <w:right w:w="16" w:type="dxa"/>
            </w:tcMar>
            <w:vAlign w:val="center"/>
          </w:tcPr>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专项评价设置情况</w:t>
            </w:r>
          </w:p>
        </w:tc>
        <w:tc>
          <w:tcPr>
            <w:tcW w:w="7932" w:type="dxa"/>
            <w:gridSpan w:val="3"/>
            <w:tcMar>
              <w:top w:w="16" w:type="dxa"/>
              <w:left w:w="16" w:type="dxa"/>
              <w:right w:w="16" w:type="dxa"/>
            </w:tcMar>
            <w:vAlign w:val="center"/>
          </w:tcPr>
          <w:p>
            <w:pPr>
              <w:autoSpaceDE w:val="0"/>
              <w:autoSpaceDN w:val="0"/>
              <w:adjustRightInd w:val="0"/>
              <w:snapToGrid w:val="0"/>
              <w:ind w:left="63" w:leftChars="30" w:right="63" w:rightChars="30"/>
              <w:jc w:val="center"/>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cs="Times New Roman"/>
                <w:color w:val="auto"/>
                <w:kern w:val="0"/>
                <w:sz w:val="21"/>
                <w:szCs w:val="21"/>
                <w:u w:val="none" w:color="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4" w:hRule="atLeast"/>
        </w:trPr>
        <w:tc>
          <w:tcPr>
            <w:tcW w:w="830" w:type="dxa"/>
            <w:tcMar>
              <w:top w:w="16" w:type="dxa"/>
              <w:left w:w="16" w:type="dxa"/>
              <w:right w:w="16" w:type="dxa"/>
            </w:tcMar>
            <w:vAlign w:val="center"/>
          </w:tcPr>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规划情况</w:t>
            </w:r>
          </w:p>
        </w:tc>
        <w:tc>
          <w:tcPr>
            <w:tcW w:w="7932" w:type="dxa"/>
            <w:gridSpan w:val="3"/>
            <w:tcMar>
              <w:top w:w="16" w:type="dxa"/>
              <w:left w:w="16" w:type="dxa"/>
              <w:right w:w="16" w:type="dxa"/>
            </w:tcMar>
            <w:vAlign w:val="center"/>
          </w:tcPr>
          <w:p>
            <w:pPr>
              <w:autoSpaceDE w:val="0"/>
              <w:autoSpaceDN w:val="0"/>
              <w:adjustRightInd w:val="0"/>
              <w:snapToGrid w:val="0"/>
              <w:ind w:left="63" w:leftChars="30" w:right="63" w:rightChars="30"/>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cs="Times New Roman"/>
                <w:color w:val="auto"/>
                <w:kern w:val="0"/>
                <w:sz w:val="21"/>
                <w:szCs w:val="21"/>
                <w:u w:val="none" w:color="auto"/>
              </w:rPr>
              <w:t>长沙临港产业开发区规划（2023-2035）</w:t>
            </w:r>
            <w:r>
              <w:rPr>
                <w:rFonts w:hint="eastAsia"/>
                <w:lang w:eastAsia="zh-CN"/>
              </w:rPr>
              <w:t>，</w:t>
            </w:r>
            <w:r>
              <w:rPr>
                <w:rFonts w:hint="eastAsia"/>
                <w:lang w:val="en-US" w:eastAsia="zh-CN"/>
              </w:rPr>
              <w:t>湖南湘江新区管理委员会经济发</w:t>
            </w:r>
            <w:r>
              <w:rPr>
                <w:rFonts w:hint="default" w:ascii="Times New Roman" w:hAnsi="Times New Roman" w:cs="Times New Roman"/>
                <w:lang w:val="en-US" w:eastAsia="zh-CN"/>
              </w:rPr>
              <w:t>展局，2024年6月25日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 w:hRule="atLeast"/>
        </w:trPr>
        <w:tc>
          <w:tcPr>
            <w:tcW w:w="830" w:type="dxa"/>
            <w:tcMar>
              <w:top w:w="16" w:type="dxa"/>
              <w:left w:w="16" w:type="dxa"/>
              <w:right w:w="16" w:type="dxa"/>
            </w:tcMar>
            <w:vAlign w:val="center"/>
          </w:tcPr>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规划环境影响</w:t>
            </w:r>
          </w:p>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评价情况</w:t>
            </w:r>
          </w:p>
        </w:tc>
        <w:tc>
          <w:tcPr>
            <w:tcW w:w="7932" w:type="dxa"/>
            <w:gridSpan w:val="3"/>
            <w:tcMar>
              <w:top w:w="16" w:type="dxa"/>
              <w:left w:w="16" w:type="dxa"/>
              <w:right w:w="16" w:type="dxa"/>
            </w:tcMar>
            <w:vAlign w:val="center"/>
          </w:tcPr>
          <w:p>
            <w:pPr>
              <w:autoSpaceDE w:val="0"/>
              <w:autoSpaceDN w:val="0"/>
              <w:adjustRightInd w:val="0"/>
              <w:snapToGrid w:val="0"/>
              <w:spacing w:line="360" w:lineRule="auto"/>
              <w:ind w:right="63" w:rightChars="30"/>
              <w:jc w:val="both"/>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规划环境影响评价文件名称：《</w:t>
            </w:r>
            <w:r>
              <w:rPr>
                <w:rFonts w:hint="eastAsia" w:ascii="Times New Roman" w:hAnsi="Times New Roman" w:cs="Times New Roman"/>
                <w:color w:val="auto"/>
                <w:kern w:val="0"/>
                <w:sz w:val="21"/>
                <w:szCs w:val="21"/>
                <w:u w:val="none" w:color="auto"/>
                <w:lang w:val="en-US" w:eastAsia="zh-CN"/>
              </w:rPr>
              <w:t>长沙临港产业开发区</w:t>
            </w:r>
            <w:r>
              <w:rPr>
                <w:rFonts w:hint="default" w:ascii="Times New Roman" w:hAnsi="Times New Roman" w:eastAsia="宋体" w:cs="Times New Roman"/>
                <w:color w:val="auto"/>
                <w:kern w:val="0"/>
                <w:sz w:val="21"/>
                <w:szCs w:val="21"/>
                <w:u w:val="none" w:color="auto"/>
                <w:lang w:val="en-US" w:eastAsia="zh-CN"/>
              </w:rPr>
              <w:t>规划环境影响报告书》；</w:t>
            </w:r>
          </w:p>
          <w:p>
            <w:pPr>
              <w:autoSpaceDE w:val="0"/>
              <w:autoSpaceDN w:val="0"/>
              <w:adjustRightInd w:val="0"/>
              <w:snapToGrid w:val="0"/>
              <w:spacing w:line="360" w:lineRule="auto"/>
              <w:ind w:left="63" w:leftChars="30" w:right="63" w:rightChars="30"/>
              <w:jc w:val="both"/>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审批机构：湖南省生态环境厅；</w:t>
            </w:r>
          </w:p>
          <w:p>
            <w:pPr>
              <w:autoSpaceDE w:val="0"/>
              <w:autoSpaceDN w:val="0"/>
              <w:adjustRightInd w:val="0"/>
              <w:snapToGrid w:val="0"/>
              <w:spacing w:line="360" w:lineRule="auto"/>
              <w:ind w:left="63" w:leftChars="30" w:right="63" w:rightChars="30"/>
              <w:jc w:val="both"/>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审查文件名称及文号：《湖南省生态环境厅关于〈</w:t>
            </w:r>
            <w:r>
              <w:rPr>
                <w:rFonts w:hint="eastAsia" w:ascii="Times New Roman" w:hAnsi="Times New Roman" w:cs="Times New Roman"/>
                <w:color w:val="auto"/>
                <w:kern w:val="0"/>
                <w:sz w:val="21"/>
                <w:szCs w:val="21"/>
                <w:u w:val="none" w:color="auto"/>
                <w:lang w:val="en-US" w:eastAsia="zh-CN"/>
              </w:rPr>
              <w:t>长沙临港产业开发区</w:t>
            </w:r>
            <w:r>
              <w:rPr>
                <w:rFonts w:hint="default" w:ascii="Times New Roman" w:hAnsi="Times New Roman" w:eastAsia="宋体" w:cs="Times New Roman"/>
                <w:color w:val="auto"/>
                <w:kern w:val="0"/>
                <w:sz w:val="21"/>
                <w:szCs w:val="21"/>
                <w:u w:val="none" w:color="auto"/>
                <w:lang w:val="en-US" w:eastAsia="zh-CN"/>
              </w:rPr>
              <w:t>规划环境影响报告书〉审查意见的函》（湘环评函〔20</w:t>
            </w:r>
            <w:r>
              <w:rPr>
                <w:rFonts w:hint="eastAsia" w:ascii="Times New Roman" w:hAnsi="Times New Roman" w:cs="Times New Roman"/>
                <w:color w:val="auto"/>
                <w:kern w:val="0"/>
                <w:sz w:val="21"/>
                <w:szCs w:val="21"/>
                <w:u w:val="none" w:color="auto"/>
                <w:lang w:val="en-US" w:eastAsia="zh-CN"/>
              </w:rPr>
              <w:t>24</w:t>
            </w:r>
            <w:r>
              <w:rPr>
                <w:rFonts w:hint="default" w:ascii="Times New Roman" w:hAnsi="Times New Roman" w:eastAsia="宋体" w:cs="Times New Roman"/>
                <w:color w:val="auto"/>
                <w:kern w:val="0"/>
                <w:sz w:val="21"/>
                <w:szCs w:val="21"/>
                <w:u w:val="none" w:color="auto"/>
                <w:lang w:val="en-US" w:eastAsia="zh-CN"/>
              </w:rPr>
              <w:t>〕</w:t>
            </w:r>
            <w:r>
              <w:rPr>
                <w:rFonts w:hint="eastAsia" w:ascii="Times New Roman" w:hAnsi="Times New Roman" w:cs="Times New Roman"/>
                <w:color w:val="auto"/>
                <w:kern w:val="0"/>
                <w:sz w:val="21"/>
                <w:szCs w:val="21"/>
                <w:u w:val="none" w:color="auto"/>
                <w:lang w:val="en-US" w:eastAsia="zh-CN"/>
              </w:rPr>
              <w:t>14</w:t>
            </w:r>
            <w:r>
              <w:rPr>
                <w:rFonts w:hint="default" w:ascii="Times New Roman" w:hAnsi="Times New Roman" w:eastAsia="宋体" w:cs="Times New Roman"/>
                <w:color w:val="auto"/>
                <w:kern w:val="0"/>
                <w:sz w:val="21"/>
                <w:szCs w:val="21"/>
                <w:u w:val="none" w:color="auto"/>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0" w:hRule="atLeast"/>
        </w:trPr>
        <w:tc>
          <w:tcPr>
            <w:tcW w:w="830" w:type="dxa"/>
            <w:tcMar>
              <w:top w:w="16" w:type="dxa"/>
              <w:left w:w="16" w:type="dxa"/>
              <w:right w:w="16" w:type="dxa"/>
            </w:tcMar>
            <w:vAlign w:val="center"/>
          </w:tcPr>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p>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p>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p>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p>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规划及规划环境影响评价符合性分析</w:t>
            </w:r>
          </w:p>
        </w:tc>
        <w:tc>
          <w:tcPr>
            <w:tcW w:w="7932" w:type="dxa"/>
            <w:gridSpan w:val="3"/>
            <w:tcMar>
              <w:top w:w="16" w:type="dxa"/>
              <w:left w:w="16" w:type="dxa"/>
              <w:right w:w="16" w:type="dxa"/>
            </w:tcMar>
            <w:vAlign w:val="center"/>
          </w:tcPr>
          <w:p>
            <w:pPr>
              <w:numPr>
                <w:ilvl w:val="0"/>
                <w:numId w:val="2"/>
              </w:numPr>
              <w:autoSpaceDE w:val="0"/>
              <w:autoSpaceDN w:val="0"/>
              <w:adjustRightInd w:val="0"/>
              <w:snapToGrid w:val="0"/>
              <w:spacing w:line="360" w:lineRule="auto"/>
              <w:ind w:left="63" w:leftChars="30" w:right="63" w:rightChars="30"/>
              <w:jc w:val="left"/>
              <w:rPr>
                <w:rFonts w:hint="eastAsia" w:ascii="Times New Roman" w:hAnsi="Times New Roman" w:cs="Times New Roman"/>
                <w:b/>
                <w:bCs/>
                <w:color w:val="auto"/>
                <w:kern w:val="0"/>
                <w:sz w:val="24"/>
                <w:szCs w:val="24"/>
                <w:highlight w:val="none"/>
                <w:u w:val="none" w:color="auto"/>
                <w:lang w:val="en-US" w:eastAsia="zh-CN"/>
              </w:rPr>
            </w:pPr>
            <w:r>
              <w:rPr>
                <w:rFonts w:hint="eastAsia" w:ascii="Times New Roman" w:hAnsi="Times New Roman" w:cs="Times New Roman" w:eastAsiaTheme="minorEastAsia"/>
                <w:b/>
                <w:bCs/>
                <w:color w:val="auto"/>
                <w:sz w:val="24"/>
                <w:szCs w:val="24"/>
                <w:highlight w:val="none"/>
                <w:lang w:val="en-US" w:eastAsia="zh-CN"/>
              </w:rPr>
              <w:t>与长沙临港产业开发区规划符合性</w:t>
            </w:r>
          </w:p>
          <w:p>
            <w:pPr>
              <w:keepNext w:val="0"/>
              <w:keepLines w:val="0"/>
              <w:pageBreakBefore w:val="0"/>
              <w:widowControl w:val="0"/>
              <w:kinsoku/>
              <w:wordWrap/>
              <w:overflowPunct/>
              <w:topLinePunct w:val="0"/>
              <w:autoSpaceDE/>
              <w:autoSpaceDN/>
              <w:bidi w:val="0"/>
              <w:adjustRightInd/>
              <w:snapToGrid/>
              <w:spacing w:line="360" w:lineRule="auto"/>
              <w:ind w:right="63" w:rightChars="30" w:firstLine="480" w:firstLineChars="200"/>
              <w:jc w:val="both"/>
              <w:textAlignment w:val="auto"/>
              <w:rPr>
                <w:rFonts w:hint="eastAsia" w:ascii="Times New Roman" w:hAnsi="Times New Roman" w:cs="Times New Roman"/>
                <w:color w:val="auto"/>
                <w:sz w:val="24"/>
                <w:szCs w:val="24"/>
                <w:u w:val="single"/>
                <w:vertAlign w:val="baseline"/>
                <w:lang w:val="en-US" w:eastAsia="zh-CN"/>
              </w:rPr>
            </w:pPr>
            <w:r>
              <w:rPr>
                <w:rFonts w:hint="eastAsia" w:ascii="Times New Roman" w:hAnsi="Times New Roman" w:cs="Times New Roman"/>
                <w:color w:val="auto"/>
                <w:sz w:val="24"/>
                <w:szCs w:val="24"/>
                <w:u w:val="single"/>
                <w:vertAlign w:val="baseline"/>
                <w:lang w:val="en-US" w:eastAsia="zh-CN"/>
              </w:rPr>
              <w:t>根据长沙临港产业开发区规划（2023-2035），</w:t>
            </w:r>
            <w:r>
              <w:rPr>
                <w:rFonts w:hint="default" w:ascii="Times New Roman" w:hAnsi="Times New Roman" w:cs="Times New Roman"/>
                <w:color w:val="auto"/>
                <w:sz w:val="24"/>
                <w:szCs w:val="24"/>
                <w:u w:val="single"/>
                <w:vertAlign w:val="baseline"/>
                <w:lang w:val="en-US" w:eastAsia="zh-CN"/>
              </w:rPr>
              <w:t>金龙南区规划以新能源产业为特色产业，科技研发、仓储物流、智能制造为配套产业，布局智能制造产业组团、新能源产业组团、节能环保产业组团、仓储物流组团、科技研发服务组团、综合配套组团六个组团。</w:t>
            </w:r>
          </w:p>
          <w:p>
            <w:pPr>
              <w:keepNext w:val="0"/>
              <w:keepLines w:val="0"/>
              <w:pageBreakBefore w:val="0"/>
              <w:widowControl w:val="0"/>
              <w:kinsoku/>
              <w:wordWrap/>
              <w:overflowPunct/>
              <w:topLinePunct w:val="0"/>
              <w:autoSpaceDE/>
              <w:autoSpaceDN/>
              <w:bidi w:val="0"/>
              <w:adjustRightInd/>
              <w:snapToGrid/>
              <w:spacing w:line="360" w:lineRule="auto"/>
              <w:ind w:right="63" w:rightChars="30" w:firstLine="480" w:firstLineChars="200"/>
              <w:jc w:val="both"/>
              <w:textAlignment w:val="auto"/>
              <w:rPr>
                <w:rFonts w:hint="eastAsia"/>
                <w:color w:val="auto"/>
                <w:sz w:val="24"/>
                <w:szCs w:val="24"/>
                <w:u w:val="single"/>
                <w:lang w:val="en-US" w:eastAsia="zh-CN"/>
              </w:rPr>
            </w:pPr>
            <w:r>
              <w:rPr>
                <w:rFonts w:hint="eastAsia" w:ascii="Times New Roman" w:hAnsi="Times New Roman" w:cs="Times New Roman"/>
                <w:color w:val="auto"/>
                <w:sz w:val="24"/>
                <w:szCs w:val="24"/>
                <w:u w:val="single"/>
                <w:vertAlign w:val="baseline"/>
                <w:lang w:val="en-US" w:eastAsia="zh-CN"/>
              </w:rPr>
              <w:t>根据长沙临港产业开发区金龙南区产业布局规划及审批文件，本项目位于智能制造产业组团，本项目标准厂房主要引入智能制造产业（新能源智能制造）以及电子信息产业（半导体下游通讯、计算器、汽车零部件、消费电子）等一类工业项目，符合园区产业定位及产业布局规划。根据长沙临港产业开发区金龙南区土地利用规划图，本项目用地为一类工业用地，用地符合规划要求。</w:t>
            </w:r>
          </w:p>
          <w:p>
            <w:pPr>
              <w:numPr>
                <w:ilvl w:val="0"/>
                <w:numId w:val="2"/>
              </w:numPr>
              <w:autoSpaceDE w:val="0"/>
              <w:autoSpaceDN w:val="0"/>
              <w:adjustRightInd w:val="0"/>
              <w:snapToGrid w:val="0"/>
              <w:spacing w:line="360" w:lineRule="auto"/>
              <w:ind w:left="63" w:leftChars="30" w:right="63" w:rightChars="30"/>
              <w:jc w:val="left"/>
              <w:rPr>
                <w:rFonts w:hint="eastAsia" w:ascii="Times New Roman" w:hAnsi="Times New Roman" w:cs="Times New Roman"/>
                <w:b/>
                <w:bCs/>
                <w:color w:val="auto"/>
                <w:kern w:val="0"/>
                <w:sz w:val="24"/>
                <w:szCs w:val="24"/>
                <w:u w:val="single" w:color="auto"/>
                <w:lang w:val="en-US" w:eastAsia="zh-CN"/>
              </w:rPr>
            </w:pPr>
            <w:r>
              <w:rPr>
                <w:rFonts w:hint="eastAsia" w:ascii="Times New Roman" w:hAnsi="Times New Roman" w:cs="Times New Roman"/>
                <w:b/>
                <w:bCs/>
                <w:color w:val="auto"/>
                <w:kern w:val="0"/>
                <w:sz w:val="24"/>
                <w:szCs w:val="24"/>
                <w:u w:val="single" w:color="auto"/>
                <w:lang w:val="en-US" w:eastAsia="zh-CN"/>
              </w:rPr>
              <w:t>规划环评符合性分析</w:t>
            </w:r>
          </w:p>
          <w:p>
            <w:pPr>
              <w:keepNext w:val="0"/>
              <w:keepLines w:val="0"/>
              <w:pageBreakBefore w:val="0"/>
              <w:kinsoku/>
              <w:wordWrap/>
              <w:topLinePunct w:val="0"/>
              <w:bidi w:val="0"/>
              <w:spacing w:line="360" w:lineRule="auto"/>
              <w:ind w:left="63" w:leftChars="30" w:right="63" w:rightChars="30" w:firstLine="480" w:firstLineChars="200"/>
              <w:jc w:val="left"/>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项目与《湖南省生态环境厅关于&lt;长沙临港产</w:t>
            </w:r>
            <w:r>
              <w:rPr>
                <w:rFonts w:hint="default" w:ascii="Times New Roman" w:hAnsi="Times New Roman" w:eastAsia="宋体" w:cs="Times New Roman"/>
                <w:color w:val="auto"/>
                <w:sz w:val="24"/>
                <w:szCs w:val="24"/>
                <w:u w:val="single" w:color="auto"/>
                <w:lang w:val="en-US" w:eastAsia="zh-CN"/>
              </w:rPr>
              <w:t>业开发区规划环境影响报告书&gt;审查意见的函》（湘环评函〔2024〕14号）相符性分析见下表。</w:t>
            </w:r>
          </w:p>
          <w:p>
            <w:pPr>
              <w:keepNext w:val="0"/>
              <w:keepLines w:val="0"/>
              <w:pageBreakBefore w:val="0"/>
              <w:kinsoku/>
              <w:wordWrap/>
              <w:topLinePunct w:val="0"/>
              <w:bidi w:val="0"/>
              <w:spacing w:line="240" w:lineRule="auto"/>
              <w:ind w:right="63" w:rightChars="30"/>
              <w:jc w:val="center"/>
              <w:rPr>
                <w:rFonts w:hint="default"/>
                <w:b/>
                <w:bCs/>
                <w:color w:val="auto"/>
                <w:sz w:val="21"/>
                <w:szCs w:val="21"/>
                <w:u w:val="single" w:color="auto"/>
                <w:vertAlign w:val="baseline"/>
                <w:lang w:val="en-US" w:eastAsia="zh-CN"/>
              </w:rPr>
            </w:pPr>
            <w:r>
              <w:rPr>
                <w:rFonts w:hint="eastAsia" w:ascii="Times New Roman" w:hAnsi="Times New Roman" w:eastAsia="宋体" w:cs="Times New Roman"/>
                <w:b/>
                <w:bCs/>
                <w:color w:val="auto"/>
                <w:sz w:val="21"/>
                <w:szCs w:val="21"/>
                <w:u w:val="single" w:color="auto"/>
                <w:lang w:val="en-US" w:eastAsia="zh-CN"/>
              </w:rPr>
              <w:t>表1-1</w:t>
            </w:r>
            <w:r>
              <w:rPr>
                <w:rFonts w:hint="eastAsia" w:ascii="Times New Roman" w:hAnsi="Times New Roman" w:cs="Times New Roman"/>
                <w:b/>
                <w:bCs/>
                <w:color w:val="auto"/>
                <w:sz w:val="21"/>
                <w:szCs w:val="21"/>
                <w:u w:val="single" w:color="auto"/>
                <w:lang w:val="en-US" w:eastAsia="zh-CN"/>
              </w:rPr>
              <w:t xml:space="preserve">  </w:t>
            </w:r>
            <w:r>
              <w:rPr>
                <w:rFonts w:hint="eastAsia" w:ascii="Times New Roman" w:hAnsi="Times New Roman" w:eastAsia="宋体" w:cs="Times New Roman"/>
                <w:b/>
                <w:bCs/>
                <w:color w:val="auto"/>
                <w:sz w:val="21"/>
                <w:szCs w:val="21"/>
                <w:u w:val="single" w:color="auto"/>
                <w:lang w:val="en-US" w:eastAsia="zh-CN"/>
              </w:rPr>
              <w:t>项目</w:t>
            </w:r>
            <w:r>
              <w:rPr>
                <w:rFonts w:hint="eastAsia" w:ascii="Times New Roman" w:hAnsi="Times New Roman" w:cs="Times New Roman"/>
                <w:b/>
                <w:bCs/>
                <w:color w:val="auto"/>
                <w:sz w:val="21"/>
                <w:szCs w:val="21"/>
                <w:u w:val="single" w:color="auto"/>
                <w:lang w:val="en-US" w:eastAsia="zh-CN"/>
              </w:rPr>
              <w:t>与</w:t>
            </w:r>
            <w:r>
              <w:rPr>
                <w:rFonts w:hint="eastAsia" w:ascii="Times New Roman" w:hAnsi="Times New Roman" w:eastAsia="宋体" w:cs="Times New Roman"/>
                <w:b/>
                <w:bCs/>
                <w:color w:val="auto"/>
                <w:sz w:val="21"/>
                <w:szCs w:val="21"/>
                <w:u w:val="single" w:color="auto"/>
                <w:lang w:val="en-US" w:eastAsia="zh-CN"/>
              </w:rPr>
              <w:t>长沙临港产业开发区规划环境影响报告书审查意见的相符性分析表</w:t>
            </w:r>
          </w:p>
          <w:tbl>
            <w:tblPr>
              <w:tblStyle w:val="31"/>
              <w:tblW w:w="7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147"/>
              <w:gridCol w:w="2961"/>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序号</w:t>
                  </w:r>
                </w:p>
              </w:tc>
              <w:tc>
                <w:tcPr>
                  <w:tcW w:w="3147" w:type="dxa"/>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环评批复要求</w:t>
                  </w:r>
                </w:p>
              </w:tc>
              <w:tc>
                <w:tcPr>
                  <w:tcW w:w="2961" w:type="dxa"/>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本项目情况</w:t>
                  </w:r>
                </w:p>
              </w:tc>
              <w:tc>
                <w:tcPr>
                  <w:tcW w:w="960" w:type="dxa"/>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default" w:ascii="Times New Roman" w:hAnsi="Times New Roman" w:cs="Times New Roman"/>
                      <w:color w:val="auto"/>
                      <w:u w:val="single" w:color="auto"/>
                      <w:vertAlign w:val="baseline"/>
                      <w:lang w:val="en-US" w:eastAsia="zh-CN"/>
                    </w:rPr>
                    <w:t>1</w:t>
                  </w:r>
                </w:p>
              </w:tc>
              <w:tc>
                <w:tcPr>
                  <w:tcW w:w="3147" w:type="dxa"/>
                  <w:vAlign w:val="center"/>
                </w:tcPr>
                <w:p>
                  <w:pPr>
                    <w:keepNext w:val="0"/>
                    <w:keepLines w:val="0"/>
                    <w:pageBreakBefore w:val="0"/>
                    <w:kinsoku/>
                    <w:wordWrap/>
                    <w:topLinePunct w:val="0"/>
                    <w:bidi w:val="0"/>
                    <w:spacing w:line="240" w:lineRule="auto"/>
                    <w:ind w:right="63" w:rightChars="30"/>
                    <w:jc w:val="both"/>
                    <w:rPr>
                      <w:rFonts w:hint="default" w:ascii="Times New Roman" w:hAnsi="Times New Roman" w:cs="Times New Roman"/>
                      <w:color w:val="auto"/>
                      <w:u w:val="single" w:color="auto"/>
                      <w:vertAlign w:val="baseline"/>
                      <w:lang w:val="en-US" w:eastAsia="zh-CN"/>
                    </w:rPr>
                  </w:pPr>
                  <w:r>
                    <w:rPr>
                      <w:rFonts w:hint="default" w:ascii="Times New Roman" w:hAnsi="Times New Roman" w:cs="Times New Roman"/>
                      <w:color w:val="auto"/>
                      <w:u w:val="single" w:color="auto"/>
                      <w:vertAlign w:val="baseline"/>
                      <w:lang w:val="en-US" w:eastAsia="zh-CN"/>
                    </w:rPr>
                    <w:t>园区划定的范围总面积1158.35公顷，分为两个区块：区块一为虞公港北区，面积340.22公顷；区块二为金龙南区：面积818.13公顷。园区总体及各片区具体范围面积数据与相关坐标信息，以省政府及有关职能部门核准、认定的信息为准。园区规划形成“一主两特”产业定位，以先进装备制造为主导产业，虞公港北区以临港物流为特色产业，新能源汽车零部件产业、机电产品制造产业为配套产业；金龙南区以新能源汽车零部件和光伏储能设备制造为特色产业，以科技研发、仓储物流、智能制造为配套产业。</w:t>
                  </w:r>
                </w:p>
              </w:tc>
              <w:tc>
                <w:tcPr>
                  <w:tcW w:w="2961" w:type="dxa"/>
                  <w:vAlign w:val="center"/>
                </w:tcPr>
                <w:p>
                  <w:pPr>
                    <w:keepNext w:val="0"/>
                    <w:keepLines w:val="0"/>
                    <w:pageBreakBefore w:val="0"/>
                    <w:kinsoku/>
                    <w:wordWrap/>
                    <w:topLinePunct w:val="0"/>
                    <w:bidi w:val="0"/>
                    <w:spacing w:line="240" w:lineRule="auto"/>
                    <w:ind w:right="63" w:rightChars="30"/>
                    <w:jc w:val="both"/>
                    <w:rPr>
                      <w:rFonts w:hint="default"/>
                      <w:color w:val="auto"/>
                      <w:u w:val="single" w:color="auto"/>
                      <w:vertAlign w:val="baseline"/>
                      <w:lang w:val="en-US" w:eastAsia="zh-CN"/>
                    </w:rPr>
                  </w:pPr>
                  <w:r>
                    <w:rPr>
                      <w:rFonts w:hint="default"/>
                      <w:color w:val="auto"/>
                      <w:u w:val="single" w:color="auto"/>
                      <w:vertAlign w:val="baseline"/>
                      <w:lang w:val="en-US" w:eastAsia="zh-CN"/>
                    </w:rPr>
                    <w:t>本项目</w:t>
                  </w:r>
                  <w:r>
                    <w:rPr>
                      <w:rFonts w:hint="eastAsia"/>
                      <w:color w:val="auto"/>
                      <w:u w:val="single" w:color="auto"/>
                      <w:vertAlign w:val="baseline"/>
                      <w:lang w:val="en-US" w:eastAsia="zh-CN"/>
                    </w:rPr>
                    <w:t>位于</w:t>
                  </w:r>
                  <w:r>
                    <w:rPr>
                      <w:rFonts w:hint="default"/>
                      <w:color w:val="auto"/>
                      <w:u w:val="single" w:color="auto"/>
                      <w:vertAlign w:val="baseline"/>
                      <w:lang w:val="en-US" w:eastAsia="zh-CN"/>
                    </w:rPr>
                    <w:t>长沙临港产业开发区金龙</w:t>
                  </w:r>
                  <w:r>
                    <w:rPr>
                      <w:rFonts w:hint="eastAsia"/>
                      <w:color w:val="auto"/>
                      <w:u w:val="single" w:color="auto"/>
                      <w:vertAlign w:val="baseline"/>
                      <w:lang w:val="en-US" w:eastAsia="zh-CN"/>
                    </w:rPr>
                    <w:t>南</w:t>
                  </w:r>
                  <w:r>
                    <w:rPr>
                      <w:rFonts w:hint="default"/>
                      <w:color w:val="auto"/>
                      <w:u w:val="single" w:color="auto"/>
                      <w:vertAlign w:val="baseline"/>
                      <w:lang w:val="en-US" w:eastAsia="zh-CN"/>
                    </w:rPr>
                    <w:t>区范围内，本项目标准厂房主要引入智能制造产业（新能源智能制造）以及电子信息产业（半导体下游通讯、计算器、汽车零部件、消费电子）等一类工业项目，</w:t>
                  </w:r>
                  <w:r>
                    <w:rPr>
                      <w:rFonts w:hint="eastAsia"/>
                      <w:color w:val="auto"/>
                      <w:u w:val="single" w:color="auto"/>
                      <w:vertAlign w:val="baseline"/>
                      <w:lang w:val="en-US" w:eastAsia="zh-CN"/>
                    </w:rPr>
                    <w:t>符合园区产业定位要求</w:t>
                  </w:r>
                  <w:r>
                    <w:rPr>
                      <w:rFonts w:hint="default"/>
                      <w:color w:val="auto"/>
                      <w:u w:val="single" w:color="auto"/>
                      <w:vertAlign w:val="baseline"/>
                      <w:lang w:val="en-US" w:eastAsia="zh-CN"/>
                    </w:rPr>
                    <w:t>。</w:t>
                  </w:r>
                </w:p>
              </w:tc>
              <w:tc>
                <w:tcPr>
                  <w:tcW w:w="960"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default" w:ascii="Times New Roman" w:hAnsi="Times New Roman" w:cs="Times New Roman"/>
                      <w:color w:val="auto"/>
                      <w:u w:val="single" w:color="auto"/>
                      <w:vertAlign w:val="baseline"/>
                      <w:lang w:val="en-US" w:eastAsia="zh-CN"/>
                    </w:rPr>
                    <w:t>2</w:t>
                  </w:r>
                </w:p>
              </w:tc>
              <w:tc>
                <w:tcPr>
                  <w:tcW w:w="3147" w:type="dxa"/>
                  <w:vAlign w:val="center"/>
                </w:tcPr>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default" w:ascii="Times New Roman" w:hAnsi="Times New Roman" w:cs="Times New Roman"/>
                      <w:color w:val="auto"/>
                      <w:u w:val="single" w:color="auto"/>
                      <w:vertAlign w:val="baseline"/>
                      <w:lang w:val="en-US" w:eastAsia="zh-CN"/>
                    </w:rPr>
                    <w:t>严格依规开发，优化空间功能布局。园区在进行国土空间规划和开发建设过程中应充分吸收规划环评对不同功能用地和不同工业用地类别的设置意见，从规划层面提升环境相容性，并严格按照经核准的园区规划范围开发建设，园区规划用地不得涉及各类法定保护地。应从降低对周边地表水体环境风险的角度出发，做好虞公港北区各功能组团布局;金龙南区应限制引进气型污染大的工业项目，对于以噪声、废气排放为主的项目的布局应尽量远离周边居民区、学校等环境敏感目标。</w:t>
                  </w:r>
                </w:p>
              </w:tc>
              <w:tc>
                <w:tcPr>
                  <w:tcW w:w="2961" w:type="dxa"/>
                  <w:vAlign w:val="center"/>
                </w:tcPr>
                <w:p>
                  <w:pPr>
                    <w:keepNext w:val="0"/>
                    <w:keepLines w:val="0"/>
                    <w:widowControl/>
                    <w:suppressLineNumbers w:val="0"/>
                    <w:jc w:val="both"/>
                    <w:rPr>
                      <w:rFonts w:hint="eastAsia" w:ascii="Times New Roman" w:hAnsi="Times New Roman" w:eastAsia="宋体" w:cs="Times New Roman"/>
                      <w:color w:val="auto"/>
                      <w:sz w:val="21"/>
                      <w:szCs w:val="21"/>
                      <w:u w:val="single" w:color="auto"/>
                      <w:lang w:eastAsia="zh-CN"/>
                    </w:rPr>
                  </w:pPr>
                  <w:r>
                    <w:rPr>
                      <w:rFonts w:hint="eastAsia" w:ascii="Times New Roman" w:hAnsi="Times New Roman" w:eastAsia="宋体" w:cs="Times New Roman"/>
                      <w:color w:val="auto"/>
                      <w:sz w:val="21"/>
                      <w:szCs w:val="21"/>
                      <w:u w:val="single" w:color="auto"/>
                      <w:lang w:val="en-US" w:eastAsia="zh-CN"/>
                    </w:rPr>
                    <w:t>本项目位于</w:t>
                  </w:r>
                  <w:r>
                    <w:rPr>
                      <w:rFonts w:hint="eastAsia" w:ascii="Times New Roman" w:hAnsi="Times New Roman" w:eastAsia="宋体" w:cs="Times New Roman"/>
                      <w:color w:val="auto"/>
                      <w:sz w:val="21"/>
                      <w:szCs w:val="21"/>
                      <w:u w:val="single" w:color="auto"/>
                      <w:lang w:eastAsia="zh-CN"/>
                    </w:rPr>
                    <w:t>湖南省岳阳市湘阴县金龙镇，芙蓉北路西侧，万福路南侧</w:t>
                  </w:r>
                  <w:r>
                    <w:rPr>
                      <w:rFonts w:hint="eastAsia" w:ascii="Times New Roman" w:hAnsi="Times New Roman" w:eastAsia="宋体" w:cs="Times New Roman"/>
                      <w:color w:val="auto"/>
                      <w:sz w:val="21"/>
                      <w:szCs w:val="21"/>
                      <w:u w:val="single" w:color="auto"/>
                      <w:lang w:val="en-US" w:eastAsia="zh-CN"/>
                    </w:rPr>
                    <w:t>，</w:t>
                  </w:r>
                  <w:r>
                    <w:rPr>
                      <w:rFonts w:hint="eastAsia"/>
                      <w:color w:val="auto"/>
                      <w:u w:val="single" w:color="auto"/>
                      <w:vertAlign w:val="baseline"/>
                      <w:lang w:val="en-US" w:eastAsia="zh-CN"/>
                    </w:rPr>
                    <w:t>位于</w:t>
                  </w:r>
                  <w:r>
                    <w:rPr>
                      <w:rFonts w:hint="default"/>
                      <w:color w:val="auto"/>
                      <w:u w:val="single" w:color="auto"/>
                      <w:vertAlign w:val="baseline"/>
                      <w:lang w:val="en-US" w:eastAsia="zh-CN"/>
                    </w:rPr>
                    <w:t>长沙临港产业开发区金龙</w:t>
                  </w:r>
                  <w:r>
                    <w:rPr>
                      <w:rFonts w:hint="eastAsia"/>
                      <w:color w:val="auto"/>
                      <w:u w:val="single" w:color="auto"/>
                      <w:vertAlign w:val="baseline"/>
                      <w:lang w:val="en-US" w:eastAsia="zh-CN"/>
                    </w:rPr>
                    <w:t>南</w:t>
                  </w:r>
                  <w:r>
                    <w:rPr>
                      <w:rFonts w:hint="default"/>
                      <w:color w:val="auto"/>
                      <w:u w:val="single" w:color="auto"/>
                      <w:vertAlign w:val="baseline"/>
                      <w:lang w:val="en-US" w:eastAsia="zh-CN"/>
                    </w:rPr>
                    <w:t>区范围内</w:t>
                  </w:r>
                  <w:r>
                    <w:rPr>
                      <w:rFonts w:hint="eastAsia" w:ascii="Times New Roman" w:hAnsi="Times New Roman" w:eastAsia="宋体" w:cs="Times New Roman"/>
                      <w:color w:val="auto"/>
                      <w:sz w:val="21"/>
                      <w:szCs w:val="21"/>
                      <w:u w:val="single" w:color="auto"/>
                      <w:lang w:val="en-US" w:eastAsia="zh-CN"/>
                    </w:rPr>
                    <w:t>，用地属于一类用地。项目标准厂房主要引入智能制造产业（新能源智能制造）以及电子信息产业（半导体下游通讯、计算器、汽车零部件、消费电子）等一类工业项目</w:t>
                  </w:r>
                  <w:r>
                    <w:rPr>
                      <w:rFonts w:hint="eastAsia" w:ascii="Times New Roman" w:hAnsi="Times New Roman" w:cs="Times New Roman"/>
                      <w:color w:val="auto"/>
                      <w:sz w:val="21"/>
                      <w:szCs w:val="21"/>
                      <w:u w:val="single" w:color="auto"/>
                      <w:lang w:val="en-US" w:eastAsia="zh-CN"/>
                    </w:rPr>
                    <w:t>，符合相关要求</w:t>
                  </w:r>
                  <w:r>
                    <w:rPr>
                      <w:rFonts w:hint="eastAsia" w:ascii="Times New Roman" w:hAnsi="Times New Roman" w:eastAsia="宋体" w:cs="Times New Roman"/>
                      <w:color w:val="auto"/>
                      <w:sz w:val="21"/>
                      <w:szCs w:val="21"/>
                      <w:u w:val="single" w:color="auto"/>
                      <w:lang w:val="en-US" w:eastAsia="zh-CN"/>
                    </w:rPr>
                    <w:t>。</w:t>
                  </w:r>
                </w:p>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p>
              </w:tc>
              <w:tc>
                <w:tcPr>
                  <w:tcW w:w="960"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ascii="Times New Roman" w:hAnsi="Times New Roman" w:cs="Times New Roman"/>
                      <w:color w:val="auto"/>
                      <w:u w:val="single" w:color="auto"/>
                      <w:vertAlign w:val="baseline"/>
                      <w:lang w:val="en-US" w:eastAsia="zh-CN"/>
                    </w:rPr>
                    <w:t>3</w:t>
                  </w:r>
                </w:p>
              </w:tc>
              <w:tc>
                <w:tcPr>
                  <w:tcW w:w="3147" w:type="dxa"/>
                </w:tcPr>
                <w:p>
                  <w:pPr>
                    <w:keepNext w:val="0"/>
                    <w:keepLines w:val="0"/>
                    <w:pageBreakBefore w:val="0"/>
                    <w:kinsoku/>
                    <w:wordWrap/>
                    <w:topLinePunct w:val="0"/>
                    <w:bidi w:val="0"/>
                    <w:spacing w:line="240" w:lineRule="auto"/>
                    <w:ind w:right="63" w:rightChars="30"/>
                    <w:jc w:val="both"/>
                    <w:rPr>
                      <w:rFonts w:hint="default"/>
                      <w:color w:val="auto"/>
                      <w:u w:val="single" w:color="auto"/>
                      <w:vertAlign w:val="baseline"/>
                      <w:lang w:val="en-US" w:eastAsia="zh-CN"/>
                    </w:rPr>
                  </w:pPr>
                  <w:r>
                    <w:rPr>
                      <w:rFonts w:hint="default"/>
                      <w:color w:val="auto"/>
                      <w:u w:val="single" w:color="auto"/>
                      <w:vertAlign w:val="baseline"/>
                      <w:lang w:val="en-US" w:eastAsia="zh-CN"/>
                    </w:rPr>
                    <w:t>严格环境准入，优化园区产业结构。园区产业引进应落实园区“三线一单”环境准入要求，严格执行《报告书》提出的产业定位和生态环境准入清单。</w:t>
                  </w:r>
                </w:p>
              </w:tc>
              <w:tc>
                <w:tcPr>
                  <w:tcW w:w="2961"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default"/>
                      <w:color w:val="auto"/>
                      <w:u w:val="single" w:color="auto"/>
                      <w:vertAlign w:val="baseline"/>
                      <w:lang w:val="en-US" w:eastAsia="zh-CN"/>
                    </w:rPr>
                    <w:t>本项目位于金龙</w:t>
                  </w:r>
                  <w:r>
                    <w:rPr>
                      <w:rFonts w:hint="eastAsia"/>
                      <w:color w:val="auto"/>
                      <w:u w:val="single" w:color="auto"/>
                      <w:vertAlign w:val="baseline"/>
                      <w:lang w:val="en-US" w:eastAsia="zh-CN"/>
                    </w:rPr>
                    <w:t>南</w:t>
                  </w:r>
                  <w:r>
                    <w:rPr>
                      <w:rFonts w:hint="default"/>
                      <w:color w:val="auto"/>
                      <w:u w:val="single" w:color="auto"/>
                      <w:vertAlign w:val="baseline"/>
                      <w:lang w:val="en-US" w:eastAsia="zh-CN"/>
                    </w:rPr>
                    <w:t>区，本项目为标准化厂房建设，等项目建设完成后，入驻企业需满足准入条件，禁止的行业严禁引入。</w:t>
                  </w:r>
                </w:p>
              </w:tc>
              <w:tc>
                <w:tcPr>
                  <w:tcW w:w="960"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ascii="Times New Roman" w:hAnsi="Times New Roman" w:cs="Times New Roman"/>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eastAsia" w:ascii="Times New Roman" w:hAnsi="Times New Roman" w:cs="Times New Roman"/>
                      <w:color w:val="auto"/>
                      <w:u w:val="single" w:color="auto"/>
                      <w:vertAlign w:val="baseline"/>
                      <w:lang w:val="en-US" w:eastAsia="zh-CN"/>
                    </w:rPr>
                    <w:t>4</w:t>
                  </w:r>
                </w:p>
              </w:tc>
              <w:tc>
                <w:tcPr>
                  <w:tcW w:w="3147" w:type="dxa"/>
                  <w:vAlign w:val="center"/>
                </w:tcPr>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eastAsia" w:ascii="Times New Roman" w:hAnsi="Times New Roman" w:cs="Times New Roman"/>
                      <w:color w:val="auto"/>
                      <w:u w:val="single" w:color="auto"/>
                      <w:vertAlign w:val="baseline"/>
                      <w:lang w:val="en-US" w:eastAsia="zh-CN"/>
                    </w:rPr>
                    <w:t>落实管控措施，加强园区排污管理。完善各片区污水管网建设，实施雨污分流，污污分流，确保园区各片区生产生活废水应收尽收，集中纳入污水处理设施处理，园区不得超过污水处理厂的处理能力和排污口审批所规定的废水排放量引进项目。</w:t>
                  </w:r>
                </w:p>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eastAsia" w:ascii="Times New Roman" w:hAnsi="Times New Roman" w:cs="Times New Roman"/>
                      <w:color w:val="auto"/>
                      <w:u w:val="single" w:color="auto"/>
                      <w:vertAlign w:val="baseline"/>
                      <w:lang w:val="en-US" w:eastAsia="zh-CN"/>
                    </w:rPr>
                    <w:t>对于金龙南区，应加快完成湘阴县第三污水处理厂二期扩建及提标改造，其尾水化学需氧量、氨氮、总磷、总氮执行《湖南省城镇污水处理厂主要水污染物排放标准》(DB43/T 1546-2018) 一级标准，其他指标执行《城镇污水处理厂污染物排放标准》(GB18918-2002)一级A标准，结合实际情况对尾水收纳水体洋沙河做好人工湿地的设计、建设和运维;虞公港北区污水处理厂应针对片区规划产业的特征污染物因子做好设计，其建成运行前，虞公港北区应限制引进废水排放企业。提高园区清洁能源使用效率，减少废气污染物排放，限制新建、改建、扩建使用非低(无)VOCs原辅材料的项目，督促企业加强对生产过程中无组织废气排放的控制，对重点排放的企业予以严格监管，确保其处理设施稳妥、持续有效运行。建立园区固废规范化管理体系，做好工业固体废物和生活垃圾的分类收集、转运、综合利用和无害化处理。对危险废物应严格按照国家有关规定综合利用或妥善处置，对危险废物产生企业和经营单位，应强化日常环境监管。对于土壤重点监管企业，应严格落实地下水和土壤污染防控措施。落实排污许可制度和污染物排放总量控制，督促入园企业及时完成竣工环境保护验收工作，推动入园企业按相关要求开展清洁生产审核。园区应落实第三方环境治理工作相关政策要求，强化对重点产排污企业的监管与服务。</w:t>
                  </w:r>
                </w:p>
              </w:tc>
              <w:tc>
                <w:tcPr>
                  <w:tcW w:w="2961" w:type="dxa"/>
                  <w:vAlign w:val="center"/>
                </w:tcPr>
                <w:p>
                  <w:pPr>
                    <w:keepNext w:val="0"/>
                    <w:keepLines w:val="0"/>
                    <w:widowControl/>
                    <w:suppressLineNumbers w:val="0"/>
                    <w:jc w:val="both"/>
                    <w:rPr>
                      <w:rFonts w:hint="eastAsia" w:ascii="宋体" w:hAnsi="宋体" w:eastAsia="宋体" w:cs="宋体"/>
                      <w:color w:val="auto"/>
                      <w:kern w:val="0"/>
                      <w:sz w:val="20"/>
                      <w:szCs w:val="20"/>
                      <w:u w:val="single" w:color="auto"/>
                      <w:lang w:val="en-US" w:eastAsia="zh-CN" w:bidi="ar"/>
                    </w:rPr>
                  </w:pPr>
                </w:p>
                <w:p>
                  <w:pPr>
                    <w:keepNext w:val="0"/>
                    <w:keepLines w:val="0"/>
                    <w:widowControl/>
                    <w:suppressLineNumbers w:val="0"/>
                    <w:jc w:val="both"/>
                    <w:rPr>
                      <w:rFonts w:hint="eastAsia" w:ascii="宋体" w:hAnsi="宋体" w:eastAsia="宋体" w:cs="宋体"/>
                      <w:color w:val="auto"/>
                      <w:kern w:val="0"/>
                      <w:sz w:val="20"/>
                      <w:szCs w:val="20"/>
                      <w:u w:val="single" w:color="auto"/>
                      <w:lang w:val="en-US" w:eastAsia="zh-CN" w:bidi="ar"/>
                    </w:rPr>
                  </w:pPr>
                </w:p>
                <w:p>
                  <w:pPr>
                    <w:keepNext w:val="0"/>
                    <w:keepLines w:val="0"/>
                    <w:widowControl/>
                    <w:suppressLineNumbers w:val="0"/>
                    <w:jc w:val="both"/>
                    <w:rPr>
                      <w:rFonts w:hint="eastAsia" w:ascii="宋体" w:hAnsi="宋体" w:eastAsia="宋体" w:cs="宋体"/>
                      <w:color w:val="auto"/>
                      <w:kern w:val="0"/>
                      <w:sz w:val="20"/>
                      <w:szCs w:val="20"/>
                      <w:u w:val="single" w:color="auto"/>
                      <w:lang w:val="en-US" w:eastAsia="zh-CN" w:bidi="ar"/>
                    </w:rPr>
                  </w:pPr>
                </w:p>
                <w:p>
                  <w:pPr>
                    <w:keepNext w:val="0"/>
                    <w:keepLines w:val="0"/>
                    <w:widowControl/>
                    <w:suppressLineNumbers w:val="0"/>
                    <w:jc w:val="both"/>
                    <w:rPr>
                      <w:rFonts w:hint="eastAsia" w:ascii="宋体" w:hAnsi="宋体" w:eastAsia="宋体" w:cs="宋体"/>
                      <w:color w:val="auto"/>
                      <w:kern w:val="0"/>
                      <w:sz w:val="20"/>
                      <w:szCs w:val="20"/>
                      <w:u w:val="single" w:color="auto"/>
                      <w:lang w:val="en-US" w:eastAsia="zh-CN" w:bidi="ar"/>
                    </w:rPr>
                  </w:pPr>
                </w:p>
                <w:p>
                  <w:pPr>
                    <w:keepNext w:val="0"/>
                    <w:keepLines w:val="0"/>
                    <w:widowControl/>
                    <w:suppressLineNumbers w:val="0"/>
                    <w:jc w:val="both"/>
                    <w:rPr>
                      <w:rFonts w:hint="eastAsia" w:ascii="宋体" w:hAnsi="宋体" w:eastAsia="宋体" w:cs="宋体"/>
                      <w:color w:val="auto"/>
                      <w:kern w:val="0"/>
                      <w:sz w:val="20"/>
                      <w:szCs w:val="20"/>
                      <w:u w:val="single" w:color="auto"/>
                      <w:lang w:val="en-US" w:eastAsia="zh-CN" w:bidi="ar"/>
                    </w:rPr>
                  </w:pPr>
                </w:p>
                <w:p>
                  <w:pPr>
                    <w:keepNext w:val="0"/>
                    <w:keepLines w:val="0"/>
                    <w:pageBreakBefore w:val="0"/>
                    <w:kinsoku/>
                    <w:wordWrap/>
                    <w:topLinePunct w:val="0"/>
                    <w:bidi w:val="0"/>
                    <w:spacing w:line="240" w:lineRule="auto"/>
                    <w:ind w:right="63" w:rightChars="30"/>
                    <w:jc w:val="both"/>
                    <w:rPr>
                      <w:rFonts w:hint="eastAsia" w:ascii="Times New Roman" w:hAnsi="Times New Roman" w:eastAsia="宋体" w:cs="Times New Roman"/>
                      <w:color w:val="auto"/>
                      <w:u w:val="single" w:color="auto"/>
                      <w:vertAlign w:val="baseline"/>
                      <w:lang w:val="en-US" w:eastAsia="zh-CN"/>
                    </w:rPr>
                  </w:pPr>
                  <w:r>
                    <w:rPr>
                      <w:rFonts w:hint="eastAsia" w:ascii="Times New Roman" w:hAnsi="Times New Roman" w:eastAsia="宋体" w:cs="Times New Roman"/>
                      <w:color w:val="auto"/>
                      <w:u w:val="single" w:color="auto"/>
                      <w:vertAlign w:val="baseline"/>
                      <w:lang w:val="en-US" w:eastAsia="zh-CN"/>
                    </w:rPr>
                    <w:t>本项目采用清洁能源-电能、园区管道天然气，入驻企业需使用清洁能源，不得引进超过污水处理厂的处理能力和排污口审批所规定的废水排放量引进项目，入驻企业按照环保要求落实环评验收及排污许可等手续。目前园区污水管网未通，项目园区污水管网相通前不得引入生产废水外排的企业。</w:t>
                  </w:r>
                </w:p>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p>
              </w:tc>
              <w:tc>
                <w:tcPr>
                  <w:tcW w:w="960" w:type="dxa"/>
                  <w:vAlign w:val="center"/>
                </w:tcPr>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default" w:ascii="Times New Roman" w:hAnsi="Times New Roman" w:cs="Times New Roman"/>
                      <w:color w:val="auto"/>
                      <w:u w:val="single" w:color="auto"/>
                      <w:vertAlign w:val="baseline"/>
                      <w:lang w:val="en-US" w:eastAsia="zh-CN"/>
                    </w:rPr>
                    <w:t>5</w:t>
                  </w:r>
                </w:p>
              </w:tc>
              <w:tc>
                <w:tcPr>
                  <w:tcW w:w="3147"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default"/>
                      <w:color w:val="auto"/>
                      <w:u w:val="single" w:color="auto"/>
                      <w:vertAlign w:val="baseline"/>
                      <w:lang w:val="en-US" w:eastAsia="zh-CN"/>
                    </w:rPr>
                    <w:t>完善监测体系，监控环境质量变化状况。园区应严格落实规划环评提出的监测方案，建立健全区域环境要素的监控体系。加强对园区重点排放单位的监督性监测，杜绝因环保设施不正常运行而造成的超标排放情况。</w:t>
                  </w:r>
                </w:p>
              </w:tc>
              <w:tc>
                <w:tcPr>
                  <w:tcW w:w="2961"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default"/>
                      <w:color w:val="auto"/>
                      <w:u w:val="single" w:color="auto"/>
                      <w:vertAlign w:val="baseline"/>
                      <w:lang w:val="en-US" w:eastAsia="zh-CN"/>
                    </w:rPr>
                    <w:t>根据环境质量现状调查，项目所在地区域环境质量良好。</w:t>
                  </w:r>
                </w:p>
              </w:tc>
              <w:tc>
                <w:tcPr>
                  <w:tcW w:w="960" w:type="dxa"/>
                  <w:vAlign w:val="center"/>
                </w:tcPr>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eastAsia"/>
                      <w:color w:val="auto"/>
                      <w:u w:val="single" w:color="auto"/>
                      <w:vertAlign w:val="baseline"/>
                      <w:lang w:val="en-US" w:eastAsia="zh-CN"/>
                    </w:rPr>
                  </w:pPr>
                </w:p>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eastAsia" w:ascii="Times New Roman" w:hAnsi="Times New Roman" w:cs="Times New Roman"/>
                      <w:color w:val="auto"/>
                      <w:u w:val="single" w:color="auto"/>
                      <w:vertAlign w:val="baseline"/>
                      <w:lang w:val="en-US" w:eastAsia="zh-CN"/>
                    </w:rPr>
                    <w:t>6</w:t>
                  </w:r>
                </w:p>
              </w:tc>
              <w:tc>
                <w:tcPr>
                  <w:tcW w:w="3147" w:type="dxa"/>
                </w:tcPr>
                <w:p>
                  <w:pPr>
                    <w:keepNext w:val="0"/>
                    <w:keepLines w:val="0"/>
                    <w:pageBreakBefore w:val="0"/>
                    <w:kinsoku/>
                    <w:wordWrap/>
                    <w:topLinePunct w:val="0"/>
                    <w:bidi w:val="0"/>
                    <w:spacing w:line="240" w:lineRule="auto"/>
                    <w:ind w:right="63" w:rightChars="30"/>
                    <w:jc w:val="both"/>
                    <w:rPr>
                      <w:rFonts w:hint="default"/>
                      <w:color w:val="auto"/>
                      <w:u w:val="single" w:color="auto"/>
                      <w:vertAlign w:val="baseline"/>
                      <w:lang w:val="en-US" w:eastAsia="zh-CN"/>
                    </w:rPr>
                  </w:pPr>
                  <w:r>
                    <w:rPr>
                      <w:rFonts w:hint="default"/>
                      <w:color w:val="auto"/>
                      <w:u w:val="single" w:color="auto"/>
                      <w:vertAlign w:val="baseline"/>
                      <w:lang w:val="en-US" w:eastAsia="zh-CN"/>
                    </w:rPr>
                    <w:t>强化风险管控，严防园区环境事故。建立健全园区环境风险管理工作长效机制，加强园区环境风险防控、预警和应急体系建设。落实环境风险防控措施，及时完成园区环境应急预案的编制和备案工作，推动重点污染企业环境应急预案编制和备案工作，加强应急救援队伍、装备和设施建设，储备必要的应急物资，有计划地组织应急培训和演练，全面提升园区环境风险防控和环境事故应急处置能力。</w:t>
                  </w:r>
                </w:p>
              </w:tc>
              <w:tc>
                <w:tcPr>
                  <w:tcW w:w="2961"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default"/>
                      <w:color w:val="auto"/>
                      <w:u w:val="single" w:color="auto"/>
                      <w:vertAlign w:val="baseline"/>
                      <w:lang w:val="en-US" w:eastAsia="zh-CN"/>
                    </w:rPr>
                    <w:t>本项目为标准化厂房建设。项目建成后将完善环境风险管理，并对入驻企业要求编制突发环境事件应急预案，对周围环境影响较小。</w:t>
                  </w:r>
                </w:p>
              </w:tc>
              <w:tc>
                <w:tcPr>
                  <w:tcW w:w="960"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eastAsia" w:ascii="Times New Roman" w:hAnsi="Times New Roman" w:cs="Times New Roman"/>
                      <w:color w:val="auto"/>
                      <w:u w:val="single" w:color="auto"/>
                      <w:vertAlign w:val="baseline"/>
                      <w:lang w:val="en-US" w:eastAsia="zh-CN"/>
                    </w:rPr>
                    <w:t>7</w:t>
                  </w:r>
                </w:p>
              </w:tc>
              <w:tc>
                <w:tcPr>
                  <w:tcW w:w="3147" w:type="dxa"/>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default"/>
                      <w:color w:val="auto"/>
                      <w:u w:val="single" w:color="auto"/>
                      <w:vertAlign w:val="baseline"/>
                      <w:lang w:val="en-US" w:eastAsia="zh-CN"/>
                    </w:rPr>
                    <w:t>做好周边控规，落实拆迁安置计划。与地方政府做好协调，对于园区及周边新建集中居住区、学校、医院的，应尽量远离工业集中开发的区域布局,为园区工业的合理发展预留空间，对于具体项目环评设置防护距离和提出搬迁要求的，要确保予以落实。</w:t>
                  </w:r>
                </w:p>
              </w:tc>
              <w:tc>
                <w:tcPr>
                  <w:tcW w:w="2961" w:type="dxa"/>
                  <w:vAlign w:val="center"/>
                </w:tcPr>
                <w:p>
                  <w:pPr>
                    <w:keepNext w:val="0"/>
                    <w:keepLines w:val="0"/>
                    <w:pageBreakBefore w:val="0"/>
                    <w:kinsoku/>
                    <w:wordWrap/>
                    <w:topLinePunct w:val="0"/>
                    <w:bidi w:val="0"/>
                    <w:spacing w:line="240" w:lineRule="auto"/>
                    <w:ind w:right="63" w:rightChars="30"/>
                    <w:jc w:val="center"/>
                    <w:rPr>
                      <w:rFonts w:hint="default" w:eastAsia="宋体" w:cs="Times New Roman"/>
                      <w:color w:val="auto"/>
                      <w:u w:val="single" w:color="auto"/>
                      <w:vertAlign w:val="baseline"/>
                      <w:lang w:val="en-US" w:eastAsia="zh-CN"/>
                    </w:rPr>
                  </w:pPr>
                  <w:r>
                    <w:rPr>
                      <w:rFonts w:hint="eastAsia" w:eastAsia="宋体" w:cs="Times New Roman"/>
                      <w:color w:val="auto"/>
                      <w:u w:val="single" w:color="auto"/>
                      <w:vertAlign w:val="baseline"/>
                      <w:lang w:val="en-US" w:eastAsia="zh-CN"/>
                    </w:rPr>
                    <w:t>本项目不涉及居民拆迁，符合要求。</w:t>
                  </w:r>
                </w:p>
                <w:p>
                  <w:pPr>
                    <w:keepNext w:val="0"/>
                    <w:keepLines w:val="0"/>
                    <w:pageBreakBefore w:val="0"/>
                    <w:kinsoku/>
                    <w:wordWrap/>
                    <w:topLinePunct w:val="0"/>
                    <w:bidi w:val="0"/>
                    <w:spacing w:line="240" w:lineRule="auto"/>
                    <w:ind w:right="63" w:rightChars="30"/>
                    <w:jc w:val="center"/>
                    <w:rPr>
                      <w:rFonts w:hint="default" w:eastAsia="宋体" w:cs="Times New Roman"/>
                      <w:color w:val="auto"/>
                      <w:u w:val="single" w:color="auto"/>
                      <w:vertAlign w:val="baseline"/>
                      <w:lang w:val="en-US" w:eastAsia="zh-CN"/>
                    </w:rPr>
                  </w:pPr>
                </w:p>
              </w:tc>
              <w:tc>
                <w:tcPr>
                  <w:tcW w:w="960" w:type="dxa"/>
                  <w:vAlign w:val="center"/>
                </w:tcPr>
                <w:p>
                  <w:pPr>
                    <w:keepNext w:val="0"/>
                    <w:keepLines w:val="0"/>
                    <w:pageBreakBefore w:val="0"/>
                    <w:kinsoku/>
                    <w:wordWrap/>
                    <w:topLinePunct w:val="0"/>
                    <w:bidi w:val="0"/>
                    <w:spacing w:line="240" w:lineRule="auto"/>
                    <w:ind w:right="63" w:rightChars="30"/>
                    <w:jc w:val="center"/>
                    <w:rPr>
                      <w:rFonts w:hint="default" w:eastAsia="宋体" w:cs="Times New Roman"/>
                      <w:color w:val="auto"/>
                      <w:u w:val="single" w:color="auto"/>
                      <w:vertAlign w:val="baseline"/>
                      <w:lang w:val="en-US" w:eastAsia="zh-CN"/>
                    </w:rPr>
                  </w:pPr>
                  <w:r>
                    <w:rPr>
                      <w:rFonts w:hint="eastAsia" w:eastAsia="宋体" w:cs="Times New Roman"/>
                      <w:color w:val="auto"/>
                      <w:u w:val="singl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vAlign w:val="center"/>
                </w:tcPr>
                <w:p>
                  <w:pPr>
                    <w:keepNext w:val="0"/>
                    <w:keepLines w:val="0"/>
                    <w:pageBreakBefore w:val="0"/>
                    <w:kinsoku/>
                    <w:wordWrap/>
                    <w:topLinePunct w:val="0"/>
                    <w:bidi w:val="0"/>
                    <w:spacing w:line="240" w:lineRule="auto"/>
                    <w:ind w:right="63" w:rightChars="30"/>
                    <w:jc w:val="center"/>
                    <w:rPr>
                      <w:rFonts w:hint="default" w:ascii="Times New Roman" w:hAnsi="Times New Roman" w:cs="Times New Roman"/>
                      <w:color w:val="auto"/>
                      <w:u w:val="single" w:color="auto"/>
                      <w:vertAlign w:val="baseline"/>
                      <w:lang w:val="en-US" w:eastAsia="zh-CN"/>
                    </w:rPr>
                  </w:pPr>
                  <w:r>
                    <w:rPr>
                      <w:rFonts w:hint="eastAsia" w:ascii="Times New Roman" w:hAnsi="Times New Roman" w:cs="Times New Roman"/>
                      <w:color w:val="auto"/>
                      <w:u w:val="single" w:color="auto"/>
                      <w:vertAlign w:val="baseline"/>
                      <w:lang w:val="en-US" w:eastAsia="zh-CN"/>
                    </w:rPr>
                    <w:t>8</w:t>
                  </w:r>
                </w:p>
              </w:tc>
              <w:tc>
                <w:tcPr>
                  <w:tcW w:w="3147" w:type="dxa"/>
                </w:tcPr>
                <w:p>
                  <w:pPr>
                    <w:keepNext w:val="0"/>
                    <w:keepLines w:val="0"/>
                    <w:pageBreakBefore w:val="0"/>
                    <w:kinsoku/>
                    <w:wordWrap/>
                    <w:topLinePunct w:val="0"/>
                    <w:bidi w:val="0"/>
                    <w:spacing w:line="240" w:lineRule="auto"/>
                    <w:ind w:right="63" w:rightChars="30"/>
                    <w:jc w:val="both"/>
                    <w:rPr>
                      <w:rFonts w:hint="default"/>
                      <w:color w:val="auto"/>
                      <w:u w:val="single" w:color="auto"/>
                      <w:vertAlign w:val="baseline"/>
                      <w:lang w:val="en-US" w:eastAsia="zh-CN"/>
                    </w:rPr>
                  </w:pPr>
                  <w:r>
                    <w:rPr>
                      <w:rFonts w:hint="default"/>
                      <w:color w:val="auto"/>
                      <w:u w:val="single" w:color="auto"/>
                      <w:vertAlign w:val="baseline"/>
                      <w:lang w:val="en-US" w:eastAsia="zh-CN"/>
                    </w:rPr>
                    <w:t>做好园区建设期生态保护和水土保持。尽可能保留自然水体，施工期对于石方开挖、堆存及回填要实施围挡、护坡等措施，裸露地及时恢复植被，防止水土流失，杜绝后续施工建设对地表水体的污染。</w:t>
                  </w:r>
                </w:p>
              </w:tc>
              <w:tc>
                <w:tcPr>
                  <w:tcW w:w="2961"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本</w:t>
                  </w:r>
                  <w:r>
                    <w:rPr>
                      <w:rFonts w:hint="default"/>
                      <w:color w:val="auto"/>
                      <w:u w:val="single" w:color="auto"/>
                      <w:vertAlign w:val="baseline"/>
                      <w:lang w:val="en-US" w:eastAsia="zh-CN"/>
                    </w:rPr>
                    <w:t>项目建设按照要求进行生态保护和水土保持。</w:t>
                  </w:r>
                </w:p>
              </w:tc>
              <w:tc>
                <w:tcPr>
                  <w:tcW w:w="960" w:type="dxa"/>
                  <w:vAlign w:val="center"/>
                </w:tcPr>
                <w:p>
                  <w:pPr>
                    <w:keepNext w:val="0"/>
                    <w:keepLines w:val="0"/>
                    <w:pageBreakBefore w:val="0"/>
                    <w:kinsoku/>
                    <w:wordWrap/>
                    <w:topLinePunct w:val="0"/>
                    <w:bidi w:val="0"/>
                    <w:spacing w:line="240" w:lineRule="auto"/>
                    <w:ind w:right="63" w:rightChars="30"/>
                    <w:jc w:val="center"/>
                    <w:rPr>
                      <w:rFonts w:hint="default"/>
                      <w:color w:val="auto"/>
                      <w:u w:val="single" w:color="auto"/>
                      <w:vertAlign w:val="baseline"/>
                      <w:lang w:val="en-US" w:eastAsia="zh-CN"/>
                    </w:rPr>
                  </w:pPr>
                  <w:r>
                    <w:rPr>
                      <w:rFonts w:hint="eastAsia"/>
                      <w:color w:val="auto"/>
                      <w:u w:val="single" w:color="auto"/>
                      <w:vertAlign w:val="baseline"/>
                      <w:lang w:val="en-US" w:eastAsia="zh-CN"/>
                    </w:rPr>
                    <w:t>符合</w:t>
                  </w:r>
                </w:p>
              </w:tc>
            </w:tr>
          </w:tbl>
          <w:p>
            <w:pPr>
              <w:keepNext w:val="0"/>
              <w:keepLines w:val="0"/>
              <w:pageBreakBefore w:val="0"/>
              <w:kinsoku/>
              <w:wordWrap/>
              <w:topLinePunct w:val="0"/>
              <w:bidi w:val="0"/>
              <w:spacing w:line="360" w:lineRule="auto"/>
              <w:ind w:right="63" w:rightChars="30"/>
              <w:jc w:val="left"/>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
                <w:bCs/>
                <w:color w:val="auto"/>
                <w:sz w:val="24"/>
                <w:szCs w:val="24"/>
                <w:lang w:val="en-US" w:eastAsia="zh-CN"/>
              </w:rPr>
              <w:t>3、长沙临港产业开发区规划环境影响报告书的准入条件及符合性</w:t>
            </w:r>
          </w:p>
          <w:p>
            <w:pPr>
              <w:pStyle w:val="26"/>
              <w:numPr>
                <w:ilvl w:val="0"/>
                <w:numId w:val="0"/>
              </w:numPr>
              <w:ind w:leftChars="30"/>
              <w:jc w:val="center"/>
              <w:rPr>
                <w:rFonts w:hint="default"/>
                <w:b/>
                <w:bCs/>
                <w:color w:val="auto"/>
                <w:vertAlign w:val="baseline"/>
                <w:lang w:val="en-US" w:eastAsia="zh-CN"/>
              </w:rPr>
            </w:pPr>
            <w:r>
              <w:rPr>
                <w:rFonts w:hint="eastAsia"/>
                <w:b/>
                <w:bCs/>
                <w:color w:val="auto"/>
                <w:lang w:val="en-US" w:eastAsia="zh-CN"/>
              </w:rPr>
              <w:t>表</w:t>
            </w:r>
            <w:r>
              <w:rPr>
                <w:rFonts w:hint="default" w:ascii="Times New Roman" w:hAnsi="Times New Roman" w:cs="Times New Roman"/>
                <w:b/>
                <w:bCs/>
                <w:color w:val="auto"/>
                <w:lang w:val="en-US" w:eastAsia="zh-CN"/>
              </w:rPr>
              <w:t xml:space="preserve">1-2  </w:t>
            </w:r>
            <w:r>
              <w:rPr>
                <w:rFonts w:hint="eastAsia"/>
                <w:b/>
                <w:bCs/>
                <w:color w:val="auto"/>
                <w:lang w:val="en-US" w:eastAsia="zh-CN"/>
              </w:rPr>
              <w:t>长沙临港产业开发区规划环境影响报告书准入条件及符合性</w:t>
            </w:r>
          </w:p>
          <w:tbl>
            <w:tblPr>
              <w:tblStyle w:val="31"/>
              <w:tblW w:w="7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050"/>
              <w:gridCol w:w="3724"/>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trPr>
              <w:tc>
                <w:tcPr>
                  <w:tcW w:w="1115" w:type="dxa"/>
                  <w:vAlign w:val="center"/>
                </w:tcPr>
                <w:p>
                  <w:pPr>
                    <w:pStyle w:val="26"/>
                    <w:numPr>
                      <w:ilvl w:val="0"/>
                      <w:numId w:val="0"/>
                    </w:numPr>
                    <w:jc w:val="center"/>
                    <w:rPr>
                      <w:rFonts w:hint="default"/>
                      <w:b w:val="0"/>
                      <w:bCs w:val="0"/>
                      <w:color w:val="auto"/>
                      <w:vertAlign w:val="baseline"/>
                      <w:lang w:val="en-US" w:eastAsia="zh-CN"/>
                    </w:rPr>
                  </w:pPr>
                  <w:r>
                    <w:rPr>
                      <w:rFonts w:hint="eastAsia"/>
                      <w:b w:val="0"/>
                      <w:bCs w:val="0"/>
                      <w:color w:val="auto"/>
                      <w:vertAlign w:val="baseline"/>
                      <w:lang w:val="en-US" w:eastAsia="zh-CN"/>
                    </w:rPr>
                    <w:t>区域</w:t>
                  </w:r>
                </w:p>
              </w:tc>
              <w:tc>
                <w:tcPr>
                  <w:tcW w:w="1050" w:type="dxa"/>
                </w:tcPr>
                <w:p>
                  <w:pPr>
                    <w:pStyle w:val="26"/>
                    <w:numPr>
                      <w:ilvl w:val="0"/>
                      <w:numId w:val="0"/>
                    </w:numPr>
                    <w:jc w:val="center"/>
                    <w:rPr>
                      <w:rFonts w:hint="default"/>
                      <w:b w:val="0"/>
                      <w:bCs w:val="0"/>
                      <w:color w:val="auto"/>
                      <w:vertAlign w:val="baseline"/>
                      <w:lang w:val="en-US" w:eastAsia="zh-CN"/>
                    </w:rPr>
                  </w:pPr>
                  <w:r>
                    <w:rPr>
                      <w:rFonts w:hint="eastAsia"/>
                      <w:b w:val="0"/>
                      <w:bCs w:val="0"/>
                      <w:color w:val="auto"/>
                      <w:vertAlign w:val="baseline"/>
                      <w:lang w:val="en-US" w:eastAsia="zh-CN"/>
                    </w:rPr>
                    <w:t>类别</w:t>
                  </w:r>
                </w:p>
              </w:tc>
              <w:tc>
                <w:tcPr>
                  <w:tcW w:w="3724" w:type="dxa"/>
                </w:tcPr>
                <w:p>
                  <w:pPr>
                    <w:pStyle w:val="26"/>
                    <w:numPr>
                      <w:ilvl w:val="0"/>
                      <w:numId w:val="0"/>
                    </w:numPr>
                    <w:jc w:val="center"/>
                    <w:rPr>
                      <w:rFonts w:hint="default"/>
                      <w:b w:val="0"/>
                      <w:bCs w:val="0"/>
                      <w:color w:val="auto"/>
                      <w:vertAlign w:val="baseline"/>
                      <w:lang w:val="en-US" w:eastAsia="zh-CN"/>
                    </w:rPr>
                  </w:pPr>
                  <w:r>
                    <w:rPr>
                      <w:rFonts w:hint="eastAsia"/>
                      <w:b w:val="0"/>
                      <w:bCs w:val="0"/>
                      <w:color w:val="auto"/>
                      <w:vertAlign w:val="baseline"/>
                      <w:lang w:val="en-US" w:eastAsia="zh-CN"/>
                    </w:rPr>
                    <w:t>行业</w:t>
                  </w:r>
                </w:p>
              </w:tc>
              <w:tc>
                <w:tcPr>
                  <w:tcW w:w="1963" w:type="dxa"/>
                </w:tcPr>
                <w:p>
                  <w:pPr>
                    <w:pStyle w:val="26"/>
                    <w:numPr>
                      <w:ilvl w:val="0"/>
                      <w:numId w:val="0"/>
                    </w:numPr>
                    <w:jc w:val="center"/>
                    <w:rPr>
                      <w:rFonts w:hint="default"/>
                      <w:b w:val="0"/>
                      <w:bCs w:val="0"/>
                      <w:color w:val="auto"/>
                      <w:vertAlign w:val="baseline"/>
                      <w:lang w:val="en-US" w:eastAsia="zh-CN"/>
                    </w:rPr>
                  </w:pPr>
                  <w:r>
                    <w:rPr>
                      <w:rFonts w:hint="eastAsia"/>
                      <w:b w:val="0"/>
                      <w:bCs w:val="0"/>
                      <w:color w:val="auto"/>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Merge w:val="restart"/>
                  <w:vAlign w:val="center"/>
                </w:tcPr>
                <w:p>
                  <w:pPr>
                    <w:pStyle w:val="26"/>
                    <w:numPr>
                      <w:ilvl w:val="0"/>
                      <w:numId w:val="0"/>
                    </w:numPr>
                    <w:jc w:val="center"/>
                    <w:rPr>
                      <w:rFonts w:hint="eastAsia"/>
                      <w:b w:val="0"/>
                      <w:bCs w:val="0"/>
                      <w:color w:val="auto"/>
                      <w:vertAlign w:val="baseline"/>
                      <w:lang w:val="en-US" w:eastAsia="zh-CN"/>
                    </w:rPr>
                  </w:pPr>
                </w:p>
                <w:p>
                  <w:pPr>
                    <w:pStyle w:val="26"/>
                    <w:numPr>
                      <w:ilvl w:val="0"/>
                      <w:numId w:val="0"/>
                    </w:numPr>
                    <w:jc w:val="center"/>
                    <w:rPr>
                      <w:rFonts w:hint="eastAsia"/>
                      <w:b w:val="0"/>
                      <w:bCs w:val="0"/>
                      <w:color w:val="auto"/>
                      <w:vertAlign w:val="baseline"/>
                      <w:lang w:val="en-US" w:eastAsia="zh-CN"/>
                    </w:rPr>
                  </w:pPr>
                </w:p>
                <w:p>
                  <w:pPr>
                    <w:pStyle w:val="26"/>
                    <w:numPr>
                      <w:ilvl w:val="0"/>
                      <w:numId w:val="0"/>
                    </w:numPr>
                    <w:jc w:val="center"/>
                    <w:rPr>
                      <w:rFonts w:hint="eastAsia"/>
                      <w:b w:val="0"/>
                      <w:bCs w:val="0"/>
                      <w:color w:val="auto"/>
                      <w:vertAlign w:val="baseline"/>
                      <w:lang w:val="en-US" w:eastAsia="zh-CN"/>
                    </w:rPr>
                  </w:pPr>
                </w:p>
                <w:p>
                  <w:pPr>
                    <w:pStyle w:val="26"/>
                    <w:numPr>
                      <w:ilvl w:val="0"/>
                      <w:numId w:val="0"/>
                    </w:numPr>
                    <w:jc w:val="center"/>
                    <w:rPr>
                      <w:rFonts w:hint="eastAsia"/>
                      <w:b w:val="0"/>
                      <w:bCs w:val="0"/>
                      <w:color w:val="auto"/>
                      <w:vertAlign w:val="baseline"/>
                      <w:lang w:val="en-US" w:eastAsia="zh-CN"/>
                    </w:rPr>
                  </w:pPr>
                </w:p>
                <w:p>
                  <w:pPr>
                    <w:pStyle w:val="26"/>
                    <w:numPr>
                      <w:ilvl w:val="0"/>
                      <w:numId w:val="0"/>
                    </w:numPr>
                    <w:jc w:val="center"/>
                    <w:rPr>
                      <w:rFonts w:hint="eastAsia"/>
                      <w:b w:val="0"/>
                      <w:bCs w:val="0"/>
                      <w:color w:val="auto"/>
                      <w:vertAlign w:val="baseline"/>
                      <w:lang w:val="en-US" w:eastAsia="zh-CN"/>
                    </w:rPr>
                  </w:pPr>
                </w:p>
                <w:p>
                  <w:pPr>
                    <w:pStyle w:val="26"/>
                    <w:numPr>
                      <w:ilvl w:val="0"/>
                      <w:numId w:val="0"/>
                    </w:numPr>
                    <w:jc w:val="center"/>
                    <w:rPr>
                      <w:rFonts w:hint="eastAsia"/>
                      <w:b w:val="0"/>
                      <w:bCs w:val="0"/>
                      <w:color w:val="auto"/>
                      <w:vertAlign w:val="baseline"/>
                      <w:lang w:val="en-US" w:eastAsia="zh-CN"/>
                    </w:rPr>
                  </w:pPr>
                </w:p>
                <w:p>
                  <w:pPr>
                    <w:pStyle w:val="26"/>
                    <w:numPr>
                      <w:ilvl w:val="0"/>
                      <w:numId w:val="0"/>
                    </w:numPr>
                    <w:jc w:val="center"/>
                    <w:rPr>
                      <w:rFonts w:hint="eastAsia"/>
                      <w:b w:val="0"/>
                      <w:bCs w:val="0"/>
                      <w:color w:val="auto"/>
                      <w:vertAlign w:val="baseline"/>
                      <w:lang w:val="en-US" w:eastAsia="zh-CN"/>
                    </w:rPr>
                  </w:pPr>
                </w:p>
                <w:p>
                  <w:pPr>
                    <w:pStyle w:val="26"/>
                    <w:numPr>
                      <w:ilvl w:val="0"/>
                      <w:numId w:val="0"/>
                    </w:numPr>
                    <w:jc w:val="center"/>
                    <w:rPr>
                      <w:rFonts w:hint="default"/>
                      <w:b w:val="0"/>
                      <w:bCs w:val="0"/>
                      <w:color w:val="auto"/>
                      <w:vertAlign w:val="baseline"/>
                      <w:lang w:val="en-US" w:eastAsia="zh-CN"/>
                    </w:rPr>
                  </w:pPr>
                  <w:r>
                    <w:rPr>
                      <w:rFonts w:hint="eastAsia"/>
                      <w:b w:val="0"/>
                      <w:bCs w:val="0"/>
                      <w:color w:val="auto"/>
                      <w:vertAlign w:val="baseline"/>
                      <w:lang w:val="en-US" w:eastAsia="zh-CN"/>
                    </w:rPr>
                    <w:t>金龙南区</w:t>
                  </w:r>
                </w:p>
              </w:tc>
              <w:tc>
                <w:tcPr>
                  <w:tcW w:w="1050" w:type="dxa"/>
                  <w:vAlign w:val="center"/>
                </w:tcPr>
                <w:p>
                  <w:pPr>
                    <w:pStyle w:val="26"/>
                    <w:numPr>
                      <w:ilvl w:val="0"/>
                      <w:numId w:val="0"/>
                    </w:numPr>
                    <w:jc w:val="center"/>
                    <w:rPr>
                      <w:rFonts w:hint="default"/>
                      <w:b w:val="0"/>
                      <w:bCs w:val="0"/>
                      <w:color w:val="auto"/>
                      <w:vertAlign w:val="baseline"/>
                      <w:lang w:val="en-US" w:eastAsia="zh-CN"/>
                    </w:rPr>
                  </w:pPr>
                  <w:r>
                    <w:rPr>
                      <w:rFonts w:hint="default"/>
                      <w:b w:val="0"/>
                      <w:bCs w:val="0"/>
                      <w:color w:val="auto"/>
                      <w:vertAlign w:val="baseline"/>
                      <w:lang w:val="en-US" w:eastAsia="zh-CN"/>
                    </w:rPr>
                    <w:t>产业定位</w:t>
                  </w:r>
                </w:p>
              </w:tc>
              <w:tc>
                <w:tcPr>
                  <w:tcW w:w="3724" w:type="dxa"/>
                </w:tcPr>
                <w:p>
                  <w:pPr>
                    <w:pStyle w:val="26"/>
                    <w:numPr>
                      <w:ilvl w:val="0"/>
                      <w:numId w:val="0"/>
                    </w:numPr>
                    <w:jc w:val="both"/>
                    <w:rPr>
                      <w:rFonts w:hint="default"/>
                      <w:b w:val="0"/>
                      <w:bCs w:val="0"/>
                      <w:color w:val="auto"/>
                      <w:vertAlign w:val="baseline"/>
                      <w:lang w:val="en-US" w:eastAsia="zh-CN"/>
                    </w:rPr>
                  </w:pPr>
                  <w:r>
                    <w:rPr>
                      <w:rFonts w:hint="default"/>
                      <w:b w:val="0"/>
                      <w:bCs w:val="0"/>
                      <w:color w:val="auto"/>
                      <w:vertAlign w:val="baseline"/>
                      <w:lang w:val="en-US" w:eastAsia="zh-CN"/>
                    </w:rPr>
                    <w:t>金龙南区以先进装备制造为主导产业，以新能源产业为特色产业，科技研发、仓储物流、智能制造为配套产业</w:t>
                  </w:r>
                </w:p>
              </w:tc>
              <w:tc>
                <w:tcPr>
                  <w:tcW w:w="1963" w:type="dxa"/>
                  <w:vMerge w:val="restart"/>
                </w:tcPr>
                <w:p>
                  <w:pPr>
                    <w:pStyle w:val="26"/>
                    <w:numPr>
                      <w:ilvl w:val="0"/>
                      <w:numId w:val="0"/>
                    </w:numPr>
                    <w:jc w:val="center"/>
                    <w:rPr>
                      <w:rFonts w:hint="eastAsia" w:ascii="Times New Roman" w:hAnsi="Times New Roman" w:cs="Times New Roman"/>
                      <w:color w:val="auto"/>
                      <w:vertAlign w:val="baseline"/>
                      <w:lang w:val="en-US" w:eastAsia="zh-CN"/>
                    </w:rPr>
                  </w:pPr>
                </w:p>
                <w:p>
                  <w:pPr>
                    <w:pStyle w:val="26"/>
                    <w:numPr>
                      <w:ilvl w:val="0"/>
                      <w:numId w:val="0"/>
                    </w:numPr>
                    <w:jc w:val="center"/>
                    <w:rPr>
                      <w:rFonts w:hint="eastAsia" w:ascii="Times New Roman" w:hAnsi="Times New Roman" w:cs="Times New Roman"/>
                      <w:color w:val="auto"/>
                      <w:vertAlign w:val="baseline"/>
                      <w:lang w:val="en-US" w:eastAsia="zh-CN"/>
                    </w:rPr>
                  </w:pPr>
                </w:p>
                <w:p>
                  <w:pPr>
                    <w:pStyle w:val="26"/>
                    <w:numPr>
                      <w:ilvl w:val="0"/>
                      <w:numId w:val="0"/>
                    </w:numPr>
                    <w:jc w:val="center"/>
                    <w:rPr>
                      <w:rFonts w:hint="eastAsia" w:ascii="Times New Roman" w:hAnsi="Times New Roman" w:cs="Times New Roman"/>
                      <w:color w:val="auto"/>
                      <w:vertAlign w:val="baseline"/>
                      <w:lang w:val="en-US" w:eastAsia="zh-CN"/>
                    </w:rPr>
                  </w:pPr>
                </w:p>
                <w:p>
                  <w:pPr>
                    <w:pStyle w:val="26"/>
                    <w:numPr>
                      <w:ilvl w:val="0"/>
                      <w:numId w:val="0"/>
                    </w:numPr>
                    <w:jc w:val="center"/>
                    <w:rPr>
                      <w:rFonts w:hint="eastAsia" w:ascii="Times New Roman" w:hAnsi="Times New Roman" w:cs="Times New Roman"/>
                      <w:color w:val="auto"/>
                      <w:vertAlign w:val="baseline"/>
                      <w:lang w:val="en-US" w:eastAsia="zh-CN"/>
                    </w:rPr>
                  </w:pPr>
                </w:p>
                <w:p>
                  <w:pPr>
                    <w:pStyle w:val="26"/>
                    <w:numPr>
                      <w:ilvl w:val="0"/>
                      <w:numId w:val="0"/>
                    </w:numPr>
                    <w:jc w:val="center"/>
                    <w:rPr>
                      <w:rFonts w:hint="default"/>
                      <w:b w:val="0"/>
                      <w:bCs w:val="0"/>
                      <w:color w:val="auto"/>
                      <w:vertAlign w:val="baseline"/>
                      <w:lang w:val="en-US" w:eastAsia="zh-CN"/>
                    </w:rPr>
                  </w:pPr>
                  <w:r>
                    <w:rPr>
                      <w:rFonts w:hint="default"/>
                      <w:color w:val="auto"/>
                      <w:vertAlign w:val="baseline"/>
                      <w:lang w:val="en-US" w:eastAsia="zh-CN"/>
                    </w:rPr>
                    <w:t>本项目标准厂房主要引入智能制造产业（新能源智能制造）以及电子信息产业（半导体下游通讯、计算器、汽车零部件、消费电子）等一类工业项目，</w:t>
                  </w:r>
                  <w:r>
                    <w:rPr>
                      <w:rFonts w:hint="eastAsia"/>
                      <w:color w:val="auto"/>
                      <w:vertAlign w:val="baseline"/>
                      <w:lang w:val="en-US" w:eastAsia="zh-CN"/>
                    </w:rPr>
                    <w:t>符合园区产业准入要求</w:t>
                  </w:r>
                  <w:r>
                    <w:rPr>
                      <w:rFonts w:hint="default"/>
                      <w:color w:val="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Merge w:val="continue"/>
                </w:tcPr>
                <w:p>
                  <w:pPr>
                    <w:pStyle w:val="26"/>
                    <w:numPr>
                      <w:ilvl w:val="0"/>
                      <w:numId w:val="0"/>
                    </w:numPr>
                    <w:jc w:val="center"/>
                    <w:rPr>
                      <w:rFonts w:hint="default"/>
                      <w:b w:val="0"/>
                      <w:bCs w:val="0"/>
                      <w:color w:val="auto"/>
                      <w:vertAlign w:val="baseline"/>
                      <w:lang w:val="en-US" w:eastAsia="zh-CN"/>
                    </w:rPr>
                  </w:pPr>
                </w:p>
              </w:tc>
              <w:tc>
                <w:tcPr>
                  <w:tcW w:w="1050" w:type="dxa"/>
                  <w:vAlign w:val="center"/>
                </w:tcPr>
                <w:p>
                  <w:pPr>
                    <w:pStyle w:val="26"/>
                    <w:numPr>
                      <w:ilvl w:val="0"/>
                      <w:numId w:val="0"/>
                    </w:numPr>
                    <w:jc w:val="center"/>
                    <w:rPr>
                      <w:rFonts w:hint="default"/>
                      <w:b w:val="0"/>
                      <w:bCs w:val="0"/>
                      <w:color w:val="auto"/>
                      <w:vertAlign w:val="baseline"/>
                      <w:lang w:val="en-US" w:eastAsia="zh-CN"/>
                    </w:rPr>
                  </w:pPr>
                </w:p>
                <w:p>
                  <w:pPr>
                    <w:pStyle w:val="26"/>
                    <w:numPr>
                      <w:ilvl w:val="0"/>
                      <w:numId w:val="0"/>
                    </w:numPr>
                    <w:jc w:val="center"/>
                    <w:rPr>
                      <w:rFonts w:hint="default"/>
                      <w:b w:val="0"/>
                      <w:bCs w:val="0"/>
                      <w:color w:val="auto"/>
                      <w:vertAlign w:val="baseline"/>
                      <w:lang w:val="en-US" w:eastAsia="zh-CN"/>
                    </w:rPr>
                  </w:pPr>
                  <w:r>
                    <w:rPr>
                      <w:rFonts w:hint="default"/>
                      <w:b w:val="0"/>
                      <w:bCs w:val="0"/>
                      <w:color w:val="auto"/>
                      <w:vertAlign w:val="baseline"/>
                      <w:lang w:val="en-US" w:eastAsia="zh-CN"/>
                    </w:rPr>
                    <w:t>限制类</w:t>
                  </w:r>
                </w:p>
              </w:tc>
              <w:tc>
                <w:tcPr>
                  <w:tcW w:w="3724" w:type="dxa"/>
                </w:tcPr>
                <w:p>
                  <w:pPr>
                    <w:keepNext w:val="0"/>
                    <w:keepLines w:val="0"/>
                    <w:widowControl/>
                    <w:suppressLineNumbers w:val="0"/>
                    <w:jc w:val="both"/>
                    <w:rPr>
                      <w:rFonts w:hint="default"/>
                      <w:b w:val="0"/>
                      <w:bCs w:val="0"/>
                      <w:color w:val="auto"/>
                      <w:vertAlign w:val="baseline"/>
                      <w:lang w:val="en-US" w:eastAsia="zh-CN"/>
                    </w:rPr>
                  </w:pPr>
                  <w:r>
                    <w:rPr>
                      <w:rFonts w:hint="default"/>
                      <w:b w:val="0"/>
                      <w:bCs w:val="0"/>
                      <w:color w:val="auto"/>
                      <w:vertAlign w:val="baseline"/>
                      <w:lang w:val="en-US" w:eastAsia="zh-CN"/>
                    </w:rPr>
                    <w:t>水泥制造、平板玻璃制造等气型污染严重的项目；使用不符合《低挥发性有机化合物含量涂料产</w:t>
                  </w:r>
                  <w:r>
                    <w:rPr>
                      <w:rFonts w:hint="default" w:ascii="Times New Roman" w:hAnsi="Times New Roman" w:cs="Times New Roman"/>
                      <w:b w:val="0"/>
                      <w:bCs w:val="0"/>
                      <w:color w:val="auto"/>
                      <w:vertAlign w:val="baseline"/>
                      <w:lang w:val="en-US" w:eastAsia="zh-CN"/>
                    </w:rPr>
                    <w:t>品技术要求》（GB/T38597-2020）、GB 38507-2020《油墨中可挥发性有机化合物（VOCs）含量的限值》（高清版）的涂料和油</w:t>
                  </w:r>
                  <w:r>
                    <w:rPr>
                      <w:rFonts w:hint="default"/>
                      <w:b w:val="0"/>
                      <w:bCs w:val="0"/>
                      <w:color w:val="auto"/>
                      <w:vertAlign w:val="baseline"/>
                      <w:lang w:val="en-US" w:eastAsia="zh-CN"/>
                    </w:rPr>
                    <w:t>墨项目；其他属于《产业结构调整指导目录》（2024 年本）限制</w:t>
                  </w:r>
                  <w:r>
                    <w:rPr>
                      <w:rFonts w:hint="eastAsia" w:ascii="宋体" w:hAnsi="宋体" w:eastAsia="宋体" w:cs="宋体"/>
                      <w:color w:val="auto"/>
                      <w:kern w:val="0"/>
                      <w:sz w:val="21"/>
                      <w:szCs w:val="21"/>
                      <w:lang w:val="en-US" w:eastAsia="zh-CN" w:bidi="ar"/>
                    </w:rPr>
                    <w:t>类工艺和设备。</w:t>
                  </w:r>
                </w:p>
              </w:tc>
              <w:tc>
                <w:tcPr>
                  <w:tcW w:w="1963" w:type="dxa"/>
                  <w:vMerge w:val="continue"/>
                </w:tcPr>
                <w:p>
                  <w:pPr>
                    <w:pStyle w:val="26"/>
                    <w:numPr>
                      <w:ilvl w:val="0"/>
                      <w:numId w:val="0"/>
                    </w:numPr>
                    <w:jc w:val="center"/>
                    <w:rPr>
                      <w:rFonts w:hint="default"/>
                      <w:b w:val="0"/>
                      <w:bCs w:val="0"/>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vMerge w:val="continue"/>
                </w:tcPr>
                <w:p>
                  <w:pPr>
                    <w:pStyle w:val="26"/>
                    <w:numPr>
                      <w:ilvl w:val="0"/>
                      <w:numId w:val="0"/>
                    </w:numPr>
                    <w:jc w:val="center"/>
                    <w:rPr>
                      <w:rFonts w:hint="default"/>
                      <w:b w:val="0"/>
                      <w:bCs w:val="0"/>
                      <w:color w:val="auto"/>
                      <w:vertAlign w:val="baseline"/>
                      <w:lang w:val="en-US" w:eastAsia="zh-CN"/>
                    </w:rPr>
                  </w:pPr>
                </w:p>
              </w:tc>
              <w:tc>
                <w:tcPr>
                  <w:tcW w:w="1050" w:type="dxa"/>
                  <w:vAlign w:val="center"/>
                </w:tcPr>
                <w:p>
                  <w:pPr>
                    <w:pStyle w:val="26"/>
                    <w:numPr>
                      <w:ilvl w:val="0"/>
                      <w:numId w:val="0"/>
                    </w:numPr>
                    <w:jc w:val="center"/>
                    <w:rPr>
                      <w:rFonts w:hint="default"/>
                      <w:b w:val="0"/>
                      <w:bCs w:val="0"/>
                      <w:color w:val="auto"/>
                      <w:vertAlign w:val="baseline"/>
                      <w:lang w:val="en-US" w:eastAsia="zh-CN"/>
                    </w:rPr>
                  </w:pPr>
                  <w:r>
                    <w:rPr>
                      <w:rFonts w:hint="default"/>
                      <w:b w:val="0"/>
                      <w:bCs w:val="0"/>
                      <w:color w:val="auto"/>
                      <w:vertAlign w:val="baseline"/>
                      <w:lang w:val="en-US" w:eastAsia="zh-CN"/>
                    </w:rPr>
                    <w:t>禁止类</w:t>
                  </w:r>
                </w:p>
              </w:tc>
              <w:tc>
                <w:tcPr>
                  <w:tcW w:w="3724" w:type="dxa"/>
                </w:tcPr>
                <w:p>
                  <w:pPr>
                    <w:pStyle w:val="26"/>
                    <w:numPr>
                      <w:ilvl w:val="0"/>
                      <w:numId w:val="0"/>
                    </w:numPr>
                    <w:jc w:val="center"/>
                    <w:rPr>
                      <w:rFonts w:hint="default" w:ascii="Times New Roman" w:hAnsi="Times New Roman" w:cs="Times New Roman"/>
                      <w:b w:val="0"/>
                      <w:bCs w:val="0"/>
                      <w:color w:val="auto"/>
                      <w:vertAlign w:val="baseline"/>
                      <w:lang w:val="en-US" w:eastAsia="zh-CN"/>
                    </w:rPr>
                  </w:pPr>
                  <w:r>
                    <w:rPr>
                      <w:rFonts w:hint="default"/>
                      <w:b w:val="0"/>
                      <w:bCs w:val="0"/>
                      <w:color w:val="auto"/>
                      <w:vertAlign w:val="baseline"/>
                      <w:lang w:val="en-US" w:eastAsia="zh-CN"/>
                    </w:rPr>
                    <w:t>火电、钢铁、电解铝、煤炭、冶金、化工、石化、焦化、造纸、制革和采矿业等重污染行</w:t>
                  </w:r>
                  <w:r>
                    <w:rPr>
                      <w:rFonts w:hint="default" w:ascii="Times New Roman" w:hAnsi="Times New Roman" w:cs="Times New Roman"/>
                      <w:b w:val="0"/>
                      <w:bCs w:val="0"/>
                      <w:color w:val="auto"/>
                      <w:vertAlign w:val="baseline"/>
                      <w:lang w:val="en-US" w:eastAsia="zh-CN"/>
                    </w:rPr>
                    <w:t>业；三类工业项目；危险废物利用和集中处置项目；《产业结构调整指导目录》（2024 年本）淘汰类工艺和设备；《湖南省“两高”项目管理目录》中的“两高”项目；不符合国家产能置换要求的严重过剩产能行业的项目；</w:t>
                  </w:r>
                </w:p>
                <w:p>
                  <w:pPr>
                    <w:pStyle w:val="26"/>
                    <w:numPr>
                      <w:ilvl w:val="0"/>
                      <w:numId w:val="0"/>
                    </w:numPr>
                    <w:jc w:val="center"/>
                    <w:rPr>
                      <w:rFonts w:hint="default"/>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其他国家产业政策规定落后生</w:t>
                  </w:r>
                  <w:r>
                    <w:rPr>
                      <w:rFonts w:hint="default"/>
                      <w:b w:val="0"/>
                      <w:bCs w:val="0"/>
                      <w:color w:val="auto"/>
                      <w:vertAlign w:val="baseline"/>
                      <w:lang w:val="en-US" w:eastAsia="zh-CN"/>
                    </w:rPr>
                    <w:t>产工艺装备和落后产品及国家明令禁止或淘汰工艺。</w:t>
                  </w:r>
                </w:p>
              </w:tc>
              <w:tc>
                <w:tcPr>
                  <w:tcW w:w="1963" w:type="dxa"/>
                  <w:vMerge w:val="continue"/>
                </w:tcPr>
                <w:p>
                  <w:pPr>
                    <w:pStyle w:val="26"/>
                    <w:numPr>
                      <w:ilvl w:val="0"/>
                      <w:numId w:val="0"/>
                    </w:numPr>
                    <w:jc w:val="center"/>
                    <w:rPr>
                      <w:rFonts w:hint="default"/>
                      <w:b w:val="0"/>
                      <w:bCs w:val="0"/>
                      <w:color w:val="auto"/>
                      <w:vertAlign w:val="baseline"/>
                      <w:lang w:val="en-US" w:eastAsia="zh-CN"/>
                    </w:rPr>
                  </w:pPr>
                </w:p>
              </w:tc>
            </w:tr>
          </w:tbl>
          <w:p>
            <w:pPr>
              <w:pStyle w:val="26"/>
              <w:ind w:left="0" w:leftChars="0" w:firstLine="0" w:firstLineChars="0"/>
              <w:rPr>
                <w:rFonts w:hint="default"/>
                <w:color w:val="auto"/>
                <w:lang w:val="en-US" w:eastAsia="zh-CN"/>
              </w:rPr>
            </w:pPr>
          </w:p>
          <w:p>
            <w:pPr>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0" w:type="dxa"/>
            <w:tcMar>
              <w:top w:w="16" w:type="dxa"/>
              <w:left w:w="16" w:type="dxa"/>
              <w:right w:w="16" w:type="dxa"/>
            </w:tcMar>
            <w:vAlign w:val="center"/>
          </w:tcPr>
          <w:p>
            <w:pPr>
              <w:autoSpaceDE w:val="0"/>
              <w:autoSpaceDN w:val="0"/>
              <w:adjustRightInd w:val="0"/>
              <w:snapToGrid w:val="0"/>
              <w:ind w:left="63" w:leftChars="30" w:right="63" w:rightChars="30"/>
              <w:jc w:val="center"/>
              <w:rPr>
                <w:rFonts w:hint="default" w:ascii="Times New Roman" w:hAnsi="Times New Roman" w:cs="Times New Roman"/>
                <w:color w:val="FF0000"/>
                <w:kern w:val="0"/>
                <w:szCs w:val="21"/>
                <w:u w:val="none" w:color="auto"/>
              </w:rPr>
            </w:pPr>
            <w:bookmarkStart w:id="6" w:name="_Hlk56690880"/>
            <w:r>
              <w:rPr>
                <w:rFonts w:hint="default" w:ascii="Times New Roman" w:hAnsi="Times New Roman" w:cs="Times New Roman"/>
                <w:color w:val="auto"/>
                <w:kern w:val="0"/>
                <w:sz w:val="21"/>
                <w:szCs w:val="21"/>
                <w:u w:val="none" w:color="auto"/>
              </w:rPr>
              <w:t>其他符合性分析</w:t>
            </w:r>
            <w:bookmarkEnd w:id="6"/>
          </w:p>
        </w:tc>
        <w:tc>
          <w:tcPr>
            <w:tcW w:w="7932" w:type="dxa"/>
            <w:gridSpan w:val="3"/>
            <w:tcMar>
              <w:top w:w="16" w:type="dxa"/>
              <w:left w:w="16" w:type="dxa"/>
              <w:right w:w="16" w:type="dxa"/>
            </w:tcMar>
            <w:vAlign w:val="center"/>
          </w:tcPr>
          <w:p>
            <w:pPr>
              <w:pStyle w:val="71"/>
              <w:keepNext w:val="0"/>
              <w:keepLines w:val="0"/>
              <w:pageBreakBefore w:val="0"/>
              <w:numPr>
                <w:ilvl w:val="0"/>
                <w:numId w:val="0"/>
              </w:numPr>
              <w:tabs>
                <w:tab w:val="left" w:pos="860"/>
              </w:tabs>
              <w:kinsoku/>
              <w:wordWrap/>
              <w:topLinePunct w:val="0"/>
              <w:bidi w:val="0"/>
              <w:spacing w:line="360" w:lineRule="auto"/>
              <w:jc w:val="both"/>
              <w:rPr>
                <w:rFonts w:hint="default" w:ascii="Times New Roman" w:hAnsi="Times New Roman" w:cs="Times New Roman"/>
                <w:b/>
                <w:color w:val="auto"/>
                <w:sz w:val="24"/>
                <w:szCs w:val="24"/>
                <w:u w:val="none" w:color="auto"/>
              </w:rPr>
            </w:pPr>
            <w:r>
              <w:rPr>
                <w:rFonts w:hint="default" w:ascii="Times New Roman" w:hAnsi="Times New Roman" w:cs="Times New Roman"/>
                <w:b/>
                <w:color w:val="auto"/>
                <w:sz w:val="24"/>
                <w:szCs w:val="24"/>
                <w:u w:val="none" w:color="auto"/>
                <w:lang w:val="en-US" w:eastAsia="zh-CN"/>
              </w:rPr>
              <w:t>1、</w:t>
            </w:r>
            <w:r>
              <w:rPr>
                <w:rFonts w:hint="default" w:ascii="Times New Roman" w:hAnsi="Times New Roman" w:cs="Times New Roman"/>
                <w:b/>
                <w:color w:val="auto"/>
                <w:sz w:val="24"/>
                <w:szCs w:val="24"/>
                <w:u w:val="none" w:color="auto"/>
              </w:rPr>
              <w:t>产业政策符合性分析</w:t>
            </w:r>
          </w:p>
          <w:p>
            <w:pPr>
              <w:keepNext w:val="0"/>
              <w:keepLines w:val="0"/>
              <w:pageBreakBefore w:val="0"/>
              <w:kinsoku/>
              <w:wordWrap/>
              <w:topLinePunct w:val="0"/>
              <w:bidi w:val="0"/>
              <w:spacing w:line="360" w:lineRule="auto"/>
              <w:ind w:left="63" w:leftChars="30" w:right="63" w:rightChars="30" w:firstLine="480" w:firstLineChars="200"/>
              <w:jc w:val="left"/>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本项目对照国家发改委颁布实施的《产业结构调整指导目录(20</w:t>
            </w:r>
            <w:r>
              <w:rPr>
                <w:rFonts w:hint="eastAsia" w:ascii="Times New Roman" w:hAnsi="Times New Roman" w:cs="Times New Roman"/>
                <w:color w:val="auto"/>
                <w:sz w:val="24"/>
                <w:szCs w:val="24"/>
                <w:u w:val="none" w:color="auto"/>
                <w:lang w:val="en-US" w:eastAsia="zh-CN"/>
              </w:rPr>
              <w:t>24</w:t>
            </w:r>
            <w:r>
              <w:rPr>
                <w:rFonts w:hint="default" w:ascii="Times New Roman" w:hAnsi="Times New Roman" w:eastAsia="宋体" w:cs="Times New Roman"/>
                <w:color w:val="auto"/>
                <w:sz w:val="24"/>
                <w:szCs w:val="24"/>
                <w:u w:val="none" w:color="auto"/>
                <w:lang w:eastAsia="zh-CN"/>
              </w:rPr>
              <w:t>年本)》，不在限制类和淘汰类规定的范围，项目建成后入驻企业需符合国家现行产业政策。</w:t>
            </w:r>
          </w:p>
          <w:p>
            <w:pPr>
              <w:keepNext w:val="0"/>
              <w:keepLines w:val="0"/>
              <w:pageBreakBefore w:val="0"/>
              <w:kinsoku/>
              <w:wordWrap/>
              <w:topLinePunct w:val="0"/>
              <w:bidi w:val="0"/>
              <w:spacing w:line="360" w:lineRule="auto"/>
              <w:ind w:left="63" w:leftChars="30" w:right="63" w:rightChars="30" w:firstLine="480" w:firstLineChars="200"/>
              <w:jc w:val="left"/>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eastAsia="zh-CN"/>
              </w:rPr>
              <w:t>在项目引进过程中必须严格按照《产业结构调整指导目录（20</w:t>
            </w:r>
            <w:r>
              <w:rPr>
                <w:rFonts w:hint="eastAsia" w:ascii="Times New Roman" w:hAnsi="Times New Roman" w:cs="Times New Roman"/>
                <w:color w:val="auto"/>
                <w:sz w:val="24"/>
                <w:szCs w:val="24"/>
                <w:u w:val="none" w:color="auto"/>
                <w:lang w:val="en-US" w:eastAsia="zh-CN"/>
              </w:rPr>
              <w:t>24</w:t>
            </w:r>
            <w:r>
              <w:rPr>
                <w:rFonts w:hint="default" w:ascii="Times New Roman" w:hAnsi="Times New Roman" w:eastAsia="宋体" w:cs="Times New Roman"/>
                <w:color w:val="auto"/>
                <w:sz w:val="24"/>
                <w:szCs w:val="24"/>
                <w:u w:val="none" w:color="auto"/>
                <w:lang w:eastAsia="zh-CN"/>
              </w:rPr>
              <w:t>年本）》的要求进行，鼓励类的允许进入，限制类与淘汰类项目严禁入驻。各企业入驻前按照相关规定单独申报环境影响评价审批手续制度，环评审批不过关的企业禁止入园。</w:t>
            </w:r>
          </w:p>
          <w:p>
            <w:pPr>
              <w:pStyle w:val="71"/>
              <w:keepNext w:val="0"/>
              <w:keepLines w:val="0"/>
              <w:pageBreakBefore w:val="0"/>
              <w:numPr>
                <w:ilvl w:val="0"/>
                <w:numId w:val="0"/>
              </w:numPr>
              <w:tabs>
                <w:tab w:val="left" w:pos="860"/>
              </w:tabs>
              <w:kinsoku/>
              <w:wordWrap/>
              <w:topLinePunct w:val="0"/>
              <w:bidi w:val="0"/>
              <w:spacing w:line="360" w:lineRule="auto"/>
              <w:ind w:leftChars="30"/>
              <w:jc w:val="both"/>
              <w:rPr>
                <w:rFonts w:hint="eastAsia" w:ascii="Times New Roman" w:hAnsi="Times New Roman" w:cs="Times New Roman"/>
                <w:b/>
                <w:color w:val="auto"/>
                <w:sz w:val="24"/>
                <w:szCs w:val="24"/>
                <w:u w:val="none" w:color="auto"/>
                <w:lang w:val="en-US" w:eastAsia="zh-CN"/>
              </w:rPr>
            </w:pPr>
            <w:bookmarkStart w:id="7" w:name="_Toc22172"/>
            <w:r>
              <w:rPr>
                <w:rFonts w:hint="eastAsia" w:ascii="Times New Roman" w:hAnsi="Times New Roman" w:cs="Times New Roman"/>
                <w:b/>
                <w:color w:val="auto"/>
                <w:sz w:val="24"/>
                <w:szCs w:val="24"/>
                <w:u w:val="none" w:color="auto"/>
                <w:lang w:val="en-US" w:eastAsia="zh-CN"/>
              </w:rPr>
              <w:t>2、选址符合性分析</w:t>
            </w:r>
          </w:p>
          <w:p>
            <w:pPr>
              <w:keepNext w:val="0"/>
              <w:keepLines w:val="0"/>
              <w:pageBreakBefore w:val="0"/>
              <w:kinsoku/>
              <w:wordWrap/>
              <w:topLinePunct w:val="0"/>
              <w:bidi w:val="0"/>
              <w:spacing w:line="360" w:lineRule="auto"/>
              <w:ind w:left="63" w:leftChars="30" w:right="63" w:rightChars="30" w:firstLine="480" w:firstLineChars="200"/>
              <w:jc w:val="left"/>
              <w:rPr>
                <w:rFonts w:hint="default" w:ascii="Times New Roman" w:hAnsi="Times New Roman" w:eastAsia="宋体" w:cs="Times New Roman"/>
                <w:color w:val="auto"/>
                <w:sz w:val="24"/>
                <w:szCs w:val="24"/>
                <w:u w:val="none" w:color="auto"/>
                <w:lang w:eastAsia="zh-CN"/>
              </w:rPr>
            </w:pPr>
            <w:r>
              <w:rPr>
                <w:rFonts w:hint="eastAsia" w:ascii="宋体" w:hAnsi="宋体" w:eastAsia="宋体" w:cs="宋体"/>
                <w:color w:val="auto"/>
                <w:kern w:val="0"/>
                <w:sz w:val="24"/>
                <w:szCs w:val="24"/>
                <w:lang w:val="en-US" w:eastAsia="zh-CN" w:bidi="ar"/>
              </w:rPr>
              <w:t>项</w:t>
            </w:r>
            <w:r>
              <w:rPr>
                <w:rFonts w:hint="eastAsia" w:ascii="Times New Roman" w:hAnsi="Times New Roman" w:eastAsia="宋体" w:cs="Times New Roman"/>
                <w:color w:val="auto"/>
                <w:sz w:val="24"/>
                <w:szCs w:val="24"/>
                <w:u w:val="none" w:color="auto"/>
                <w:lang w:val="en-US" w:eastAsia="zh-CN"/>
              </w:rPr>
              <w:t>目选址位于湖南省岳阳市湘阴县金龙镇，芙蓉北路西侧，万福路南侧，</w:t>
            </w:r>
            <w:r>
              <w:rPr>
                <w:rFonts w:hint="eastAsia" w:ascii="Times New Roman" w:hAnsi="Times New Roman" w:eastAsia="宋体" w:cs="Times New Roman"/>
                <w:color w:val="auto"/>
                <w:sz w:val="24"/>
                <w:szCs w:val="24"/>
                <w:highlight w:val="none"/>
                <w:u w:val="none" w:color="auto"/>
                <w:lang w:val="en-US" w:eastAsia="zh-CN"/>
              </w:rPr>
              <w:t>根据长沙临港产业开发区</w:t>
            </w:r>
            <w:r>
              <w:rPr>
                <w:rFonts w:hint="eastAsia" w:ascii="Times New Roman" w:hAnsi="Times New Roman" w:cs="Times New Roman"/>
                <w:color w:val="auto"/>
                <w:sz w:val="24"/>
                <w:szCs w:val="24"/>
                <w:highlight w:val="none"/>
                <w:u w:val="none" w:color="auto"/>
                <w:lang w:val="en-US" w:eastAsia="zh-CN"/>
              </w:rPr>
              <w:t>金龙南区土地利用</w:t>
            </w:r>
            <w:r>
              <w:rPr>
                <w:rFonts w:hint="eastAsia" w:ascii="Times New Roman" w:hAnsi="Times New Roman" w:eastAsia="宋体" w:cs="Times New Roman"/>
                <w:color w:val="auto"/>
                <w:sz w:val="24"/>
                <w:szCs w:val="24"/>
                <w:highlight w:val="none"/>
                <w:u w:val="none" w:color="auto"/>
                <w:lang w:val="en-US" w:eastAsia="zh-CN"/>
              </w:rPr>
              <w:t>规划图及项目用地规划许可证</w:t>
            </w:r>
            <w:r>
              <w:rPr>
                <w:rFonts w:hint="eastAsia" w:ascii="Times New Roman" w:hAnsi="Times New Roman"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本项目用地性质为一类工业用地，符合</w:t>
            </w:r>
            <w:r>
              <w:rPr>
                <w:rFonts w:hint="eastAsia" w:ascii="Times New Roman" w:hAnsi="Times New Roman" w:eastAsia="宋体" w:cs="Times New Roman"/>
                <w:color w:val="auto"/>
                <w:sz w:val="24"/>
                <w:szCs w:val="24"/>
                <w:u w:val="none" w:color="auto"/>
                <w:lang w:val="en-US" w:eastAsia="zh-CN"/>
              </w:rPr>
              <w:t>园区用地规划。该区拥有完善的供配电、供水、排水及排污管网、电讯等基础设施，区内主要定位为先进装备制造为主导产业，以新能源产业为特色产业，科技研发、仓储物流、智能制造为配套产业，生产过程中无重大污染物产生，在对入驻企业产生污染物采取有效治理措施，实现达标排放前提下，对外环境影响较小，且园区内交通通畅，便于本项目原辅材料和产品的运输。项目所在地周围</w:t>
            </w:r>
            <w:r>
              <w:rPr>
                <w:rFonts w:hint="default" w:ascii="Times New Roman" w:hAnsi="Times New Roman" w:eastAsia="宋体" w:cs="Times New Roman"/>
                <w:color w:val="auto"/>
                <w:sz w:val="24"/>
                <w:szCs w:val="24"/>
                <w:u w:val="none" w:color="auto"/>
                <w:lang w:val="en-US" w:eastAsia="zh-CN"/>
              </w:rPr>
              <w:t xml:space="preserve">200m </w:t>
            </w:r>
            <w:r>
              <w:rPr>
                <w:rFonts w:hint="eastAsia" w:ascii="Times New Roman" w:hAnsi="Times New Roman" w:eastAsia="宋体" w:cs="Times New Roman"/>
                <w:color w:val="auto"/>
                <w:sz w:val="24"/>
                <w:szCs w:val="24"/>
                <w:u w:val="none" w:color="auto"/>
                <w:lang w:val="en-US" w:eastAsia="zh-CN"/>
              </w:rPr>
              <w:t xml:space="preserve">范围内无重要保护文物、风景名胜区等保护目标。故本项目与周围环境具有相容性。 </w:t>
            </w:r>
          </w:p>
          <w:p>
            <w:pPr>
              <w:keepNext w:val="0"/>
              <w:keepLines w:val="0"/>
              <w:pageBreakBefore w:val="0"/>
              <w:kinsoku/>
              <w:wordWrap/>
              <w:topLinePunct w:val="0"/>
              <w:bidi w:val="0"/>
              <w:spacing w:line="360" w:lineRule="auto"/>
              <w:ind w:left="63" w:leftChars="30" w:right="63" w:rightChars="30" w:firstLine="480" w:firstLineChars="200"/>
              <w:jc w:val="left"/>
              <w:rPr>
                <w:rFonts w:hint="default" w:ascii="Times New Roman" w:hAnsi="Times New Roman" w:eastAsia="宋体" w:cs="Times New Roman"/>
                <w:color w:val="auto"/>
                <w:sz w:val="24"/>
                <w:szCs w:val="24"/>
                <w:u w:val="none" w:color="auto"/>
                <w:lang w:eastAsia="zh-CN"/>
              </w:rPr>
            </w:pPr>
            <w:r>
              <w:rPr>
                <w:rFonts w:hint="eastAsia" w:ascii="Times New Roman" w:hAnsi="Times New Roman" w:eastAsia="宋体" w:cs="Times New Roman"/>
                <w:color w:val="auto"/>
                <w:sz w:val="24"/>
                <w:szCs w:val="24"/>
                <w:u w:val="none" w:color="auto"/>
                <w:lang w:val="en-US" w:eastAsia="zh-CN"/>
              </w:rPr>
              <w:t>综上所述，本项目选址合理。</w:t>
            </w:r>
          </w:p>
          <w:p>
            <w:pPr>
              <w:pStyle w:val="71"/>
              <w:keepNext w:val="0"/>
              <w:keepLines w:val="0"/>
              <w:pageBreakBefore w:val="0"/>
              <w:numPr>
                <w:ilvl w:val="0"/>
                <w:numId w:val="2"/>
              </w:numPr>
              <w:tabs>
                <w:tab w:val="left" w:pos="860"/>
              </w:tabs>
              <w:kinsoku/>
              <w:wordWrap/>
              <w:topLinePunct w:val="0"/>
              <w:bidi w:val="0"/>
              <w:spacing w:line="360" w:lineRule="auto"/>
              <w:ind w:left="63" w:leftChars="30" w:firstLine="0" w:firstLineChars="0"/>
              <w:jc w:val="both"/>
              <w:rPr>
                <w:rFonts w:hint="eastAsia" w:ascii="Times New Roman" w:hAnsi="Times New Roman" w:cs="Times New Roman"/>
                <w:b/>
                <w:color w:val="auto"/>
                <w:sz w:val="24"/>
                <w:szCs w:val="24"/>
                <w:u w:val="none" w:color="auto"/>
                <w:lang w:val="en-US" w:eastAsia="zh-CN"/>
              </w:rPr>
            </w:pPr>
            <w:r>
              <w:rPr>
                <w:rFonts w:hint="eastAsia" w:ascii="Times New Roman" w:hAnsi="Times New Roman" w:cs="Times New Roman"/>
                <w:b/>
                <w:color w:val="auto"/>
                <w:sz w:val="24"/>
                <w:szCs w:val="24"/>
                <w:u w:val="none" w:color="auto"/>
                <w:lang w:val="en-US" w:eastAsia="zh-CN"/>
              </w:rPr>
              <w:t>生态环境分区管控</w:t>
            </w:r>
            <w:r>
              <w:rPr>
                <w:rFonts w:hint="default" w:ascii="Times New Roman" w:hAnsi="Times New Roman" w:cs="Times New Roman"/>
                <w:b/>
                <w:color w:val="auto"/>
                <w:sz w:val="24"/>
                <w:szCs w:val="24"/>
                <w:u w:val="none" w:color="auto"/>
                <w:lang w:val="en-US" w:eastAsia="zh-CN"/>
              </w:rPr>
              <w:t>符合性分析</w:t>
            </w:r>
          </w:p>
          <w:bookmarkEnd w:id="7"/>
          <w:p>
            <w:pPr>
              <w:pStyle w:val="71"/>
              <w:keepNext w:val="0"/>
              <w:keepLines w:val="0"/>
              <w:pageBreakBefore w:val="0"/>
              <w:numPr>
                <w:ilvl w:val="0"/>
                <w:numId w:val="0"/>
              </w:numPr>
              <w:tabs>
                <w:tab w:val="left" w:pos="860"/>
              </w:tabs>
              <w:kinsoku/>
              <w:wordWrap/>
              <w:topLinePunct w:val="0"/>
              <w:bidi w:val="0"/>
              <w:spacing w:line="360" w:lineRule="auto"/>
              <w:jc w:val="both"/>
              <w:rPr>
                <w:rFonts w:hint="default" w:ascii="Times New Roman" w:hAnsi="Times New Roman" w:cs="Times New Roman"/>
                <w:b/>
                <w:color w:val="auto"/>
                <w:sz w:val="24"/>
                <w:szCs w:val="24"/>
                <w:u w:val="none" w:color="auto"/>
                <w:lang w:val="en-US" w:eastAsia="zh-CN"/>
              </w:rPr>
            </w:pPr>
            <w:bookmarkStart w:id="8" w:name="_Toc15210"/>
            <w:r>
              <w:rPr>
                <w:rFonts w:hint="eastAsia" w:ascii="Times New Roman" w:hAnsi="Times New Roman" w:cs="Times New Roman"/>
                <w:b/>
                <w:color w:val="auto"/>
                <w:sz w:val="24"/>
                <w:szCs w:val="24"/>
                <w:u w:val="none" w:color="auto"/>
                <w:lang w:val="en-US" w:eastAsia="zh-CN"/>
              </w:rPr>
              <w:t>3</w:t>
            </w:r>
            <w:r>
              <w:rPr>
                <w:rFonts w:hint="default" w:ascii="Times New Roman" w:hAnsi="Times New Roman" w:cs="Times New Roman"/>
                <w:b/>
                <w:color w:val="auto"/>
                <w:sz w:val="24"/>
                <w:szCs w:val="24"/>
                <w:u w:val="none" w:color="auto"/>
                <w:lang w:val="en-US" w:eastAsia="zh-CN"/>
              </w:rPr>
              <w:t>.1</w:t>
            </w:r>
            <w:r>
              <w:rPr>
                <w:rFonts w:hint="eastAsia" w:ascii="Times New Roman" w:hAnsi="Times New Roman" w:cs="Times New Roman"/>
                <w:b/>
                <w:color w:val="auto"/>
                <w:sz w:val="24"/>
                <w:szCs w:val="24"/>
                <w:u w:val="none" w:color="auto"/>
                <w:lang w:val="en-US" w:eastAsia="zh-CN"/>
              </w:rPr>
              <w:t>、</w:t>
            </w:r>
            <w:r>
              <w:rPr>
                <w:rFonts w:hint="default" w:ascii="Times New Roman" w:hAnsi="Times New Roman" w:cs="Times New Roman"/>
                <w:b/>
                <w:color w:val="auto"/>
                <w:sz w:val="24"/>
                <w:szCs w:val="24"/>
                <w:u w:val="none" w:color="auto"/>
                <w:lang w:val="en-US" w:eastAsia="zh-CN"/>
              </w:rPr>
              <w:t>生态红线</w:t>
            </w:r>
          </w:p>
          <w:bookmarkEnd w:id="8"/>
          <w:p>
            <w:pPr>
              <w:keepNext w:val="0"/>
              <w:keepLines w:val="0"/>
              <w:pageBreakBefore w:val="0"/>
              <w:kinsoku/>
              <w:wordWrap/>
              <w:topLinePunct w:val="0"/>
              <w:bidi w:val="0"/>
              <w:spacing w:line="360" w:lineRule="auto"/>
              <w:ind w:left="63" w:leftChars="30" w:right="63" w:rightChars="30" w:firstLine="480" w:firstLineChars="200"/>
              <w:jc w:val="left"/>
              <w:rPr>
                <w:rFonts w:hint="default" w:ascii="Times New Roman" w:hAnsi="Times New Roman" w:eastAsia="宋体" w:cs="Times New Roman"/>
                <w:color w:val="auto"/>
                <w:sz w:val="24"/>
                <w:szCs w:val="24"/>
                <w:u w:val="none" w:color="auto"/>
              </w:rPr>
            </w:pPr>
            <w:r>
              <w:rPr>
                <w:rFonts w:hint="default" w:ascii="Times New Roman" w:hAnsi="Times New Roman" w:cs="Times New Roman"/>
                <w:color w:val="auto"/>
                <w:kern w:val="0"/>
                <w:sz w:val="24"/>
                <w:u w:val="none" w:color="auto"/>
              </w:rPr>
              <w:t>根据湖南省人民政府关于印发《湖南省生态保护红线&gt;的通知》（湘政发[2018]20 号）和岳阳市生态保护红线划定情况，本项目位于长沙临港产业开发区</w:t>
            </w:r>
            <w:r>
              <w:rPr>
                <w:rFonts w:hint="eastAsia" w:ascii="Times New Roman" w:hAnsi="Times New Roman" w:cs="Times New Roman"/>
                <w:color w:val="auto"/>
                <w:kern w:val="0"/>
                <w:sz w:val="24"/>
                <w:u w:val="none" w:color="auto"/>
                <w:lang w:val="en-US" w:eastAsia="zh-CN"/>
              </w:rPr>
              <w:t>金龙南区内</w:t>
            </w:r>
            <w:r>
              <w:rPr>
                <w:rFonts w:hint="default" w:ascii="Times New Roman" w:hAnsi="Times New Roman" w:cs="Times New Roman"/>
                <w:color w:val="auto"/>
                <w:kern w:val="0"/>
                <w:sz w:val="24"/>
                <w:u w:val="none" w:color="auto"/>
              </w:rPr>
              <w:t>，项目所在地用地性质为工业用地，不属于生态保护红线范围内，符合生态保护红线要求。</w:t>
            </w:r>
          </w:p>
          <w:p>
            <w:pPr>
              <w:pStyle w:val="71"/>
              <w:keepNext w:val="0"/>
              <w:keepLines w:val="0"/>
              <w:pageBreakBefore w:val="0"/>
              <w:numPr>
                <w:ilvl w:val="0"/>
                <w:numId w:val="0"/>
              </w:numPr>
              <w:tabs>
                <w:tab w:val="left" w:pos="860"/>
              </w:tabs>
              <w:kinsoku/>
              <w:wordWrap/>
              <w:topLinePunct w:val="0"/>
              <w:bidi w:val="0"/>
              <w:spacing w:line="360" w:lineRule="auto"/>
              <w:jc w:val="both"/>
              <w:rPr>
                <w:rFonts w:hint="default" w:ascii="Times New Roman" w:hAnsi="Times New Roman" w:cs="Times New Roman"/>
                <w:b/>
                <w:color w:val="auto"/>
                <w:sz w:val="24"/>
                <w:szCs w:val="24"/>
                <w:u w:val="none" w:color="auto"/>
                <w:lang w:val="en-US" w:eastAsia="zh-CN"/>
              </w:rPr>
            </w:pPr>
            <w:bookmarkStart w:id="9" w:name="_Toc23266"/>
            <w:r>
              <w:rPr>
                <w:rFonts w:hint="eastAsia" w:ascii="Times New Roman" w:hAnsi="Times New Roman" w:cs="Times New Roman"/>
                <w:b/>
                <w:color w:val="auto"/>
                <w:sz w:val="24"/>
                <w:szCs w:val="24"/>
                <w:u w:val="none" w:color="auto"/>
                <w:lang w:val="en-US" w:eastAsia="zh-CN"/>
              </w:rPr>
              <w:t>3</w:t>
            </w:r>
            <w:r>
              <w:rPr>
                <w:rFonts w:hint="default" w:ascii="Times New Roman" w:hAnsi="Times New Roman" w:cs="Times New Roman"/>
                <w:b/>
                <w:color w:val="auto"/>
                <w:sz w:val="24"/>
                <w:szCs w:val="24"/>
                <w:u w:val="none" w:color="auto"/>
                <w:lang w:val="en-US" w:eastAsia="zh-CN"/>
              </w:rPr>
              <w:t>.2</w:t>
            </w:r>
            <w:r>
              <w:rPr>
                <w:rFonts w:hint="eastAsia" w:ascii="Times New Roman" w:hAnsi="Times New Roman" w:cs="Times New Roman"/>
                <w:b/>
                <w:color w:val="auto"/>
                <w:sz w:val="24"/>
                <w:szCs w:val="24"/>
                <w:u w:val="none" w:color="auto"/>
                <w:lang w:val="en-US" w:eastAsia="zh-CN"/>
              </w:rPr>
              <w:t>、</w:t>
            </w:r>
            <w:r>
              <w:rPr>
                <w:rFonts w:hint="default" w:ascii="Times New Roman" w:hAnsi="Times New Roman" w:cs="Times New Roman"/>
                <w:b/>
                <w:color w:val="auto"/>
                <w:sz w:val="24"/>
                <w:szCs w:val="24"/>
                <w:u w:val="none" w:color="auto"/>
                <w:lang w:val="en-US" w:eastAsia="zh-CN"/>
              </w:rPr>
              <w:t>环境质量底线</w:t>
            </w:r>
          </w:p>
          <w:bookmarkEnd w:id="9"/>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u w:val="none" w:color="auto"/>
              </w:rPr>
            </w:pPr>
            <w:bookmarkStart w:id="10" w:name="_Toc3522"/>
            <w:r>
              <w:rPr>
                <w:rFonts w:hint="default" w:ascii="Times New Roman" w:hAnsi="Times New Roman" w:eastAsia="宋体" w:cs="Times New Roman"/>
                <w:color w:val="auto"/>
                <w:sz w:val="24"/>
                <w:szCs w:val="24"/>
                <w:u w:val="none" w:color="auto"/>
              </w:rPr>
              <w:t>根据岳阳市生态环境局湘阴分局发布的《202</w:t>
            </w:r>
            <w:r>
              <w:rPr>
                <w:rFonts w:hint="eastAsia" w:ascii="Times New Roman" w:hAnsi="Times New Roman"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年1月-12月空气质量报表》，项目评价范围内二氧化硫、二氧化氮、O</w:t>
            </w:r>
            <w:r>
              <w:rPr>
                <w:rFonts w:hint="default" w:ascii="Times New Roman" w:hAnsi="Times New Roman" w:eastAsia="宋体" w:cs="Times New Roman"/>
                <w:color w:val="auto"/>
                <w:sz w:val="24"/>
                <w:szCs w:val="24"/>
                <w:u w:val="none" w:color="auto"/>
                <w:vertAlign w:val="subscript"/>
              </w:rPr>
              <w:t>3</w:t>
            </w:r>
            <w:r>
              <w:rPr>
                <w:rFonts w:hint="default" w:ascii="Times New Roman" w:hAnsi="Times New Roman" w:eastAsia="宋体" w:cs="Times New Roman"/>
                <w:color w:val="auto"/>
                <w:sz w:val="24"/>
                <w:szCs w:val="24"/>
                <w:u w:val="none" w:color="auto"/>
              </w:rPr>
              <w:t>、CO、PM</w:t>
            </w:r>
            <w:r>
              <w:rPr>
                <w:rFonts w:hint="default" w:ascii="Times New Roman" w:hAnsi="Times New Roman" w:eastAsia="宋体" w:cs="Times New Roman"/>
                <w:color w:val="auto"/>
                <w:sz w:val="24"/>
                <w:szCs w:val="24"/>
                <w:u w:val="none" w:color="auto"/>
                <w:vertAlign w:val="subscript"/>
              </w:rPr>
              <w:t>2.5</w:t>
            </w:r>
            <w:r>
              <w:rPr>
                <w:rFonts w:hint="default" w:ascii="Times New Roman" w:hAnsi="Times New Roman" w:eastAsia="宋体" w:cs="Times New Roman"/>
                <w:color w:val="auto"/>
                <w:sz w:val="24"/>
                <w:szCs w:val="24"/>
                <w:u w:val="none" w:color="auto"/>
              </w:rPr>
              <w:t>、PM</w:t>
            </w:r>
            <w:r>
              <w:rPr>
                <w:rFonts w:hint="default" w:ascii="Times New Roman" w:hAnsi="Times New Roman" w:eastAsia="宋体" w:cs="Times New Roman"/>
                <w:color w:val="auto"/>
                <w:sz w:val="24"/>
                <w:szCs w:val="24"/>
                <w:u w:val="none" w:color="auto"/>
                <w:vertAlign w:val="subscript"/>
              </w:rPr>
              <w:t>10</w:t>
            </w:r>
            <w:r>
              <w:rPr>
                <w:rFonts w:hint="default" w:ascii="Times New Roman" w:hAnsi="Times New Roman" w:eastAsia="宋体" w:cs="Times New Roman"/>
                <w:color w:val="auto"/>
                <w:sz w:val="24"/>
                <w:szCs w:val="24"/>
                <w:u w:val="none" w:color="auto"/>
              </w:rPr>
              <w:t>均能满足《环境空气质量标准》（GB3095-2012）的要求，属于达标区。</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岳阳市2024年度生态环境质量公报》，2024年湘江干流岳阳段共有5个监测断面，分别为乌龙嘴、屈原湘江取水口、屈原自来水厂、磊石山、白水港，2024年各断面5个监测断面水质均达到Ⅱ类。湘江干、支流岳阳段水体水质总体为优。</w:t>
            </w:r>
          </w:p>
          <w:p>
            <w:pPr>
              <w:pStyle w:val="2"/>
              <w:keepNext w:val="0"/>
              <w:keepLines w:val="0"/>
              <w:pageBreakBefore w:val="0"/>
              <w:kinsoku/>
              <w:wordWrap/>
              <w:overflowPunct/>
              <w:topLinePunct w:val="0"/>
              <w:bidi w:val="0"/>
              <w:spacing w:before="0" w:after="0" w:line="360" w:lineRule="auto"/>
              <w:ind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区域声环境达到《声环境质量标准》（GB3096-2008）3 类相关标准。</w:t>
            </w:r>
          </w:p>
          <w:p>
            <w:pPr>
              <w:pStyle w:val="2"/>
              <w:keepNext w:val="0"/>
              <w:keepLines w:val="0"/>
              <w:pageBreakBefore w:val="0"/>
              <w:kinsoku/>
              <w:wordWrap/>
              <w:overflowPunct/>
              <w:topLinePunct w:val="0"/>
              <w:bidi w:val="0"/>
              <w:spacing w:before="0" w:after="0" w:line="360" w:lineRule="auto"/>
              <w:ind w:righ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项目经本评价提出的污染防治措施处理后均能达标排放，不会导致当地的区域环境质量下降，区域环境质量基本能维持现状，因此，符合环境质量底线要求。</w:t>
            </w:r>
          </w:p>
          <w:p>
            <w:pPr>
              <w:pStyle w:val="71"/>
              <w:keepNext w:val="0"/>
              <w:keepLines w:val="0"/>
              <w:pageBreakBefore w:val="0"/>
              <w:numPr>
                <w:ilvl w:val="0"/>
                <w:numId w:val="0"/>
              </w:numPr>
              <w:tabs>
                <w:tab w:val="left" w:pos="860"/>
              </w:tabs>
              <w:kinsoku/>
              <w:wordWrap/>
              <w:topLinePunct w:val="0"/>
              <w:bidi w:val="0"/>
              <w:spacing w:line="360" w:lineRule="auto"/>
              <w:jc w:val="both"/>
              <w:rPr>
                <w:rFonts w:hint="default" w:ascii="Times New Roman" w:hAnsi="Times New Roman" w:cs="Times New Roman"/>
                <w:b/>
                <w:color w:val="auto"/>
                <w:sz w:val="24"/>
                <w:szCs w:val="24"/>
                <w:u w:val="none" w:color="auto"/>
                <w:lang w:val="en-US" w:eastAsia="zh-CN"/>
              </w:rPr>
            </w:pPr>
            <w:r>
              <w:rPr>
                <w:rFonts w:hint="eastAsia" w:ascii="Times New Roman" w:hAnsi="Times New Roman" w:cs="Times New Roman"/>
                <w:b/>
                <w:color w:val="auto"/>
                <w:sz w:val="24"/>
                <w:szCs w:val="24"/>
                <w:u w:val="none" w:color="auto"/>
                <w:lang w:val="en-US" w:eastAsia="zh-CN"/>
              </w:rPr>
              <w:t>3</w:t>
            </w:r>
            <w:r>
              <w:rPr>
                <w:rFonts w:hint="default" w:ascii="Times New Roman" w:hAnsi="Times New Roman" w:cs="Times New Roman"/>
                <w:b/>
                <w:color w:val="auto"/>
                <w:sz w:val="24"/>
                <w:szCs w:val="24"/>
                <w:u w:val="none" w:color="auto"/>
                <w:lang w:val="en-US" w:eastAsia="zh-CN"/>
              </w:rPr>
              <w:t>.3</w:t>
            </w:r>
            <w:r>
              <w:rPr>
                <w:rFonts w:hint="eastAsia" w:ascii="Times New Roman" w:hAnsi="Times New Roman" w:cs="Times New Roman"/>
                <w:b/>
                <w:color w:val="auto"/>
                <w:sz w:val="24"/>
                <w:szCs w:val="24"/>
                <w:u w:val="none" w:color="auto"/>
                <w:lang w:val="en-US" w:eastAsia="zh-CN"/>
              </w:rPr>
              <w:t>、</w:t>
            </w:r>
            <w:r>
              <w:rPr>
                <w:rFonts w:hint="default" w:ascii="Times New Roman" w:hAnsi="Times New Roman" w:cs="Times New Roman"/>
                <w:b/>
                <w:color w:val="auto"/>
                <w:sz w:val="24"/>
                <w:szCs w:val="24"/>
                <w:u w:val="none" w:color="auto"/>
                <w:lang w:val="en-US" w:eastAsia="zh-CN"/>
              </w:rPr>
              <w:t>资源利用上线</w:t>
            </w:r>
          </w:p>
          <w:bookmarkEnd w:id="10"/>
          <w:p>
            <w:pPr>
              <w:keepNext w:val="0"/>
              <w:keepLines w:val="0"/>
              <w:pageBreakBefore w:val="0"/>
              <w:kinsoku/>
              <w:wordWrap/>
              <w:topLinePunct w:val="0"/>
              <w:bidi w:val="0"/>
              <w:spacing w:line="360" w:lineRule="auto"/>
              <w:ind w:left="63" w:leftChars="30" w:right="63" w:rightChars="30" w:firstLine="480" w:firstLineChars="200"/>
              <w:jc w:val="left"/>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项目主要使用资源为自来水和电能，其中自来水来自园区供水管网，能够满足本项目用水要求；供电依托园区供电系统。项目所选工艺设备选用了高效、先进的设备，提高了生产效率，降低了产品的损耗率，减少了原料的用量和废物的产生量，减少了物流运输次数和运输量，节省了能源</w:t>
            </w:r>
            <w:r>
              <w:rPr>
                <w:rFonts w:hint="default" w:ascii="Times New Roman" w:hAnsi="Times New Roman" w:cs="Times New Roman"/>
                <w:color w:val="auto"/>
                <w:sz w:val="24"/>
                <w:szCs w:val="24"/>
                <w:u w:val="none" w:color="auto"/>
                <w:lang w:val="en-US" w:eastAsia="zh-CN"/>
              </w:rPr>
              <w:t>。</w:t>
            </w:r>
          </w:p>
          <w:p>
            <w:pPr>
              <w:keepNext w:val="0"/>
              <w:keepLines w:val="0"/>
              <w:pageBreakBefore w:val="0"/>
              <w:kinsoku/>
              <w:wordWrap/>
              <w:topLinePunct w:val="0"/>
              <w:bidi w:val="0"/>
              <w:spacing w:line="360" w:lineRule="auto"/>
              <w:ind w:left="63" w:leftChars="30" w:right="63" w:rightChars="30" w:firstLine="480" w:firstLineChars="200"/>
              <w:jc w:val="left"/>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因此，项目建设不会破坏区域自然资源上线。</w:t>
            </w:r>
          </w:p>
          <w:p>
            <w:pPr>
              <w:pStyle w:val="71"/>
              <w:keepNext w:val="0"/>
              <w:keepLines w:val="0"/>
              <w:pageBreakBefore w:val="0"/>
              <w:numPr>
                <w:ilvl w:val="0"/>
                <w:numId w:val="0"/>
              </w:numPr>
              <w:tabs>
                <w:tab w:val="left" w:pos="860"/>
              </w:tabs>
              <w:kinsoku/>
              <w:wordWrap/>
              <w:topLinePunct w:val="0"/>
              <w:bidi w:val="0"/>
              <w:spacing w:line="360" w:lineRule="auto"/>
              <w:jc w:val="both"/>
              <w:rPr>
                <w:rFonts w:hint="default" w:ascii="Times New Roman" w:hAnsi="Times New Roman" w:cs="Times New Roman"/>
                <w:b/>
                <w:color w:val="auto"/>
                <w:sz w:val="24"/>
                <w:szCs w:val="24"/>
                <w:u w:val="none" w:color="auto"/>
                <w:lang w:val="en-US" w:eastAsia="zh-CN"/>
              </w:rPr>
            </w:pPr>
            <w:bookmarkStart w:id="11" w:name="_Toc4213"/>
            <w:r>
              <w:rPr>
                <w:rFonts w:hint="eastAsia" w:ascii="Times New Roman" w:hAnsi="Times New Roman" w:cs="Times New Roman"/>
                <w:b/>
                <w:color w:val="auto"/>
                <w:sz w:val="24"/>
                <w:szCs w:val="24"/>
                <w:u w:val="none" w:color="auto"/>
                <w:lang w:val="en-US" w:eastAsia="zh-CN"/>
              </w:rPr>
              <w:t>3</w:t>
            </w:r>
            <w:r>
              <w:rPr>
                <w:rFonts w:hint="default" w:ascii="Times New Roman" w:hAnsi="Times New Roman" w:cs="Times New Roman"/>
                <w:b/>
                <w:color w:val="auto"/>
                <w:sz w:val="24"/>
                <w:szCs w:val="24"/>
                <w:u w:val="none" w:color="auto"/>
                <w:lang w:val="en-US" w:eastAsia="zh-CN"/>
              </w:rPr>
              <w:t>.4</w:t>
            </w:r>
            <w:r>
              <w:rPr>
                <w:rFonts w:hint="eastAsia" w:ascii="Times New Roman" w:hAnsi="Times New Roman" w:cs="Times New Roman"/>
                <w:b/>
                <w:color w:val="auto"/>
                <w:sz w:val="24"/>
                <w:szCs w:val="24"/>
                <w:u w:val="none" w:color="auto"/>
                <w:lang w:val="en-US" w:eastAsia="zh-CN"/>
              </w:rPr>
              <w:t>、</w:t>
            </w:r>
            <w:r>
              <w:rPr>
                <w:rFonts w:hint="default" w:ascii="Times New Roman" w:hAnsi="Times New Roman" w:cs="Times New Roman"/>
                <w:b/>
                <w:color w:val="auto"/>
                <w:sz w:val="24"/>
                <w:szCs w:val="24"/>
                <w:u w:val="none" w:color="auto"/>
                <w:lang w:val="en-US" w:eastAsia="zh-CN"/>
              </w:rPr>
              <w:t>环境准入</w:t>
            </w:r>
            <w:r>
              <w:rPr>
                <w:rFonts w:hint="eastAsia" w:ascii="Times New Roman" w:hAnsi="Times New Roman" w:cs="Times New Roman"/>
                <w:b/>
                <w:color w:val="auto"/>
                <w:sz w:val="24"/>
                <w:szCs w:val="24"/>
                <w:u w:val="none" w:color="auto"/>
                <w:lang w:val="en-US" w:eastAsia="zh-CN"/>
              </w:rPr>
              <w:t>负面</w:t>
            </w:r>
            <w:r>
              <w:rPr>
                <w:rFonts w:hint="default" w:ascii="Times New Roman" w:hAnsi="Times New Roman" w:cs="Times New Roman"/>
                <w:b/>
                <w:color w:val="auto"/>
                <w:sz w:val="24"/>
                <w:szCs w:val="24"/>
                <w:u w:val="none" w:color="auto"/>
                <w:lang w:val="en-US" w:eastAsia="zh-CN"/>
              </w:rPr>
              <w:t>清单</w:t>
            </w:r>
          </w:p>
          <w:bookmarkEnd w:id="11"/>
          <w:p>
            <w:pPr>
              <w:widowControl w:val="0"/>
              <w:adjustRightInd/>
              <w:snapToGrid/>
              <w:spacing w:after="0" w:line="360" w:lineRule="auto"/>
              <w:ind w:left="0" w:leftChars="0" w:firstLine="480" w:firstLineChars="200"/>
              <w:jc w:val="both"/>
              <w:textAlignment w:val="baseline"/>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bidi="ar-SA"/>
              </w:rPr>
              <w:t>项目位于长沙临港产业开发区金龙南区内，不涉及环境敏感区，无明显的环境制约因素，不在《湖南省国家重点生态功能区产业准入负面清单（试行）》（2016年）及《湖南省新增19个国家重点生态功能区产业准入负面清单（试行）》（2018年）里。</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cs="Times New Roman"/>
                <w:bCs/>
                <w:color w:val="auto"/>
                <w:sz w:val="24"/>
                <w:u w:val="single" w:color="auto"/>
                <w:lang w:val="en-US" w:eastAsia="zh-CN"/>
              </w:rPr>
            </w:pPr>
            <w:r>
              <w:rPr>
                <w:rFonts w:hint="eastAsia" w:ascii="Times New Roman" w:hAnsi="Times New Roman" w:cs="Times New Roman"/>
                <w:bCs/>
                <w:color w:val="auto"/>
                <w:sz w:val="24"/>
                <w:u w:val="single" w:color="auto"/>
                <w:lang w:val="en-US" w:eastAsia="zh-CN"/>
              </w:rPr>
              <w:t>本项目选址于湖南省岳阳市湘阴县金龙镇，芙蓉北路西侧，万福路南侧，</w:t>
            </w:r>
            <w:r>
              <w:rPr>
                <w:rFonts w:hint="eastAsia" w:ascii="Times New Roman" w:hAnsi="Times New Roman" w:cs="Times New Roman"/>
                <w:color w:val="auto"/>
                <w:kern w:val="0"/>
                <w:sz w:val="24"/>
                <w:szCs w:val="24"/>
                <w:u w:val="single" w:color="auto"/>
                <w:lang w:val="en-US" w:eastAsia="zh-CN" w:bidi="ar-SA"/>
              </w:rPr>
              <w:t>属于</w:t>
            </w:r>
            <w:r>
              <w:rPr>
                <w:rFonts w:hint="default" w:ascii="Times New Roman" w:hAnsi="Times New Roman" w:eastAsia="宋体" w:cs="Times New Roman"/>
                <w:color w:val="auto"/>
                <w:kern w:val="0"/>
                <w:sz w:val="24"/>
                <w:szCs w:val="24"/>
                <w:u w:val="single" w:color="auto"/>
                <w:lang w:val="en-US" w:eastAsia="zh-CN" w:bidi="ar-SA"/>
              </w:rPr>
              <w:t>长沙临港产业开发区金龙南区</w:t>
            </w:r>
            <w:r>
              <w:rPr>
                <w:rFonts w:hint="eastAsia" w:ascii="Times New Roman" w:hAnsi="Times New Roman" w:cs="Times New Roman"/>
                <w:color w:val="auto"/>
                <w:kern w:val="0"/>
                <w:sz w:val="24"/>
                <w:szCs w:val="24"/>
                <w:u w:val="single" w:color="auto"/>
                <w:lang w:val="en-US" w:eastAsia="zh-CN" w:bidi="ar-SA"/>
              </w:rPr>
              <w:t>范围，</w:t>
            </w:r>
            <w:r>
              <w:rPr>
                <w:rFonts w:hint="eastAsia" w:ascii="Times New Roman" w:hAnsi="Times New Roman" w:cs="Times New Roman"/>
                <w:bCs/>
                <w:color w:val="auto"/>
                <w:sz w:val="24"/>
                <w:u w:val="single" w:color="auto"/>
                <w:lang w:val="en-US" w:eastAsia="zh-CN"/>
              </w:rPr>
              <w:t>根据《长沙临港产业开发区规划（2023-2035）环境影响报告书》长沙临港产业开发区生态环境准入清单，具体分析如下：</w:t>
            </w:r>
          </w:p>
          <w:p>
            <w:pPr>
              <w:keepNext w:val="0"/>
              <w:keepLines w:val="0"/>
              <w:pageBreakBefore w:val="0"/>
              <w:widowControl w:val="0"/>
              <w:kinsoku/>
              <w:wordWrap/>
              <w:overflowPunct/>
              <w:topLinePunct w:val="0"/>
              <w:autoSpaceDE/>
              <w:autoSpaceDN/>
              <w:bidi w:val="0"/>
              <w:adjustRightInd/>
              <w:snapToGrid/>
              <w:spacing w:before="33" w:line="240" w:lineRule="auto"/>
              <w:jc w:val="center"/>
              <w:textAlignment w:val="auto"/>
              <w:rPr>
                <w:rFonts w:hint="default" w:ascii="Times New Roman" w:hAnsi="Times New Roman" w:eastAsia="宋体" w:cs="Times New Roman"/>
                <w:b/>
                <w:bCs/>
                <w:color w:val="auto"/>
                <w:spacing w:val="-1"/>
                <w:sz w:val="21"/>
                <w:szCs w:val="21"/>
                <w:u w:val="single" w:color="auto"/>
                <w:lang w:val="en-US" w:eastAsia="zh-CN"/>
              </w:rPr>
            </w:pPr>
            <w:r>
              <w:rPr>
                <w:rFonts w:hint="eastAsia" w:ascii="Times New Roman" w:hAnsi="Times New Roman" w:eastAsia="宋体" w:cs="Times New Roman"/>
                <w:b/>
                <w:bCs/>
                <w:color w:val="auto"/>
                <w:spacing w:val="-1"/>
                <w:sz w:val="21"/>
                <w:szCs w:val="21"/>
                <w:u w:val="single" w:color="auto"/>
                <w:lang w:val="en-US" w:eastAsia="zh-CN"/>
              </w:rPr>
              <w:t>表1-</w:t>
            </w:r>
            <w:r>
              <w:rPr>
                <w:rFonts w:hint="eastAsia" w:ascii="Times New Roman" w:hAnsi="Times New Roman" w:cs="Times New Roman"/>
                <w:b/>
                <w:bCs/>
                <w:color w:val="auto"/>
                <w:spacing w:val="-1"/>
                <w:sz w:val="21"/>
                <w:szCs w:val="21"/>
                <w:u w:val="single" w:color="auto"/>
                <w:lang w:val="en-US" w:eastAsia="zh-CN"/>
              </w:rPr>
              <w:t>3</w:t>
            </w:r>
            <w:r>
              <w:rPr>
                <w:rFonts w:hint="eastAsia" w:ascii="Times New Roman" w:hAnsi="Times New Roman" w:eastAsia="宋体" w:cs="Times New Roman"/>
                <w:b/>
                <w:bCs/>
                <w:color w:val="auto"/>
                <w:spacing w:val="-1"/>
                <w:sz w:val="21"/>
                <w:szCs w:val="21"/>
                <w:u w:val="single" w:color="auto"/>
                <w:lang w:val="en-US" w:eastAsia="zh-CN"/>
              </w:rPr>
              <w:t xml:space="preserve"> </w:t>
            </w:r>
            <w:r>
              <w:rPr>
                <w:rFonts w:hint="eastAsia" w:ascii="Times New Roman" w:hAnsi="Times New Roman" w:cs="Times New Roman"/>
                <w:b/>
                <w:bCs/>
                <w:color w:val="auto"/>
                <w:spacing w:val="-1"/>
                <w:sz w:val="21"/>
                <w:szCs w:val="21"/>
                <w:u w:val="single" w:color="auto"/>
                <w:lang w:val="en-US" w:eastAsia="zh-CN"/>
              </w:rPr>
              <w:t xml:space="preserve"> 与长沙临港产业开发区生态环境准入符合性分析</w:t>
            </w:r>
          </w:p>
          <w:tbl>
            <w:tblPr>
              <w:tblStyle w:val="31"/>
              <w:tblW w:w="7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315"/>
              <w:gridCol w:w="3001"/>
              <w:gridCol w:w="2247"/>
              <w:gridCol w:w="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序号</w:t>
                  </w:r>
                </w:p>
              </w:tc>
              <w:tc>
                <w:tcPr>
                  <w:tcW w:w="1315"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管控维度</w:t>
                  </w:r>
                </w:p>
              </w:tc>
              <w:tc>
                <w:tcPr>
                  <w:tcW w:w="3001"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管控要求（一般管控单元）</w:t>
                  </w:r>
                </w:p>
              </w:tc>
              <w:tc>
                <w:tcPr>
                  <w:tcW w:w="2247"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本项目情况</w:t>
                  </w:r>
                </w:p>
              </w:tc>
              <w:tc>
                <w:tcPr>
                  <w:tcW w:w="614"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1</w:t>
                  </w:r>
                </w:p>
              </w:tc>
              <w:tc>
                <w:tcPr>
                  <w:tcW w:w="1315" w:type="dxa"/>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 xml:space="preserve">空间布局 </w:t>
                  </w:r>
                </w:p>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约束</w:t>
                  </w:r>
                </w:p>
              </w:tc>
              <w:tc>
                <w:tcPr>
                  <w:tcW w:w="3001" w:type="dxa"/>
                  <w:tcBorders>
                    <w:tl2br w:val="nil"/>
                    <w:tr2bl w:val="nil"/>
                  </w:tcBorders>
                  <w:noWrap w:val="0"/>
                  <w:vAlign w:val="center"/>
                </w:tcPr>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1.1）新引进项目及园外企业搬迁入园过程中应着重从降低环境影响的角度出发合理选址布局，不得在工业用地上布局与之功能定位不相符的工业项目。对于园区外已有企业或项目的搬迁入园应确保实现其清洁生产水平的提升与污染物排放总量的降低。</w:t>
                  </w:r>
                </w:p>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（1.2）区块二（金龙南区）禁止引入三类工业项目，一类工业用地的地块禁止大型喷涂、涉及酸雾排放等气型污染严重企业入驻。</w:t>
                  </w:r>
                </w:p>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（1.3）靠近交通干线两侧一定范围不得新建对噪声敏感的建筑物，居民安置区与工业用地之间设置一定宽度的防护距离，防止功能干扰。</w:t>
                  </w:r>
                </w:p>
              </w:tc>
              <w:tc>
                <w:tcPr>
                  <w:tcW w:w="2247" w:type="dxa"/>
                  <w:tcBorders>
                    <w:tl2br w:val="nil"/>
                    <w:tr2bl w:val="nil"/>
                  </w:tcBorders>
                  <w:noWrap w:val="0"/>
                  <w:vAlign w:val="center"/>
                </w:tcPr>
                <w:p>
                  <w:pPr>
                    <w:keepNext w:val="0"/>
                    <w:keepLines w:val="0"/>
                    <w:widowControl/>
                    <w:suppressLineNumbers w:val="0"/>
                    <w:jc w:val="both"/>
                    <w:rPr>
                      <w:rFonts w:hint="eastAsia" w:ascii="Times New Roman" w:hAnsi="Times New Roman" w:eastAsia="宋体" w:cs="Times New Roman"/>
                      <w:snapToGrid/>
                      <w:color w:val="auto"/>
                      <w:kern w:val="2"/>
                      <w:sz w:val="21"/>
                      <w:szCs w:val="21"/>
                      <w:u w:val="single" w:color="auto"/>
                      <w:lang w:val="en-US" w:eastAsia="zh-CN"/>
                    </w:rPr>
                  </w:pPr>
                  <w:r>
                    <w:rPr>
                      <w:rFonts w:hint="default"/>
                      <w:color w:val="auto"/>
                      <w:u w:val="single" w:color="auto"/>
                      <w:vertAlign w:val="baseline"/>
                      <w:lang w:val="en-US" w:eastAsia="zh-CN"/>
                    </w:rPr>
                    <w:t>本项目</w:t>
                  </w:r>
                  <w:r>
                    <w:rPr>
                      <w:rFonts w:hint="eastAsia"/>
                      <w:color w:val="auto"/>
                      <w:u w:val="single" w:color="auto"/>
                      <w:vertAlign w:val="baseline"/>
                      <w:lang w:val="en-US" w:eastAsia="zh-CN"/>
                    </w:rPr>
                    <w:t>位于</w:t>
                  </w:r>
                  <w:r>
                    <w:rPr>
                      <w:rFonts w:hint="default"/>
                      <w:color w:val="auto"/>
                      <w:u w:val="single" w:color="auto"/>
                      <w:vertAlign w:val="baseline"/>
                      <w:lang w:val="en-US" w:eastAsia="zh-CN"/>
                    </w:rPr>
                    <w:t>长沙临港产业开发区金龙</w:t>
                  </w:r>
                  <w:r>
                    <w:rPr>
                      <w:rFonts w:hint="eastAsia"/>
                      <w:color w:val="auto"/>
                      <w:u w:val="single" w:color="auto"/>
                      <w:vertAlign w:val="baseline"/>
                      <w:lang w:val="en-US" w:eastAsia="zh-CN"/>
                    </w:rPr>
                    <w:t>南</w:t>
                  </w:r>
                  <w:r>
                    <w:rPr>
                      <w:rFonts w:hint="default"/>
                      <w:color w:val="auto"/>
                      <w:u w:val="single" w:color="auto"/>
                      <w:vertAlign w:val="baseline"/>
                      <w:lang w:val="en-US" w:eastAsia="zh-CN"/>
                    </w:rPr>
                    <w:t>区范围内，本项目标准厂房主要引入智能制造产业（新能源智能制造）以及电子信息产业（半导体下游通讯、计算器、汽车零部件、消费电子）等一类工业项目，</w:t>
                  </w:r>
                  <w:r>
                    <w:rPr>
                      <w:rFonts w:hint="eastAsia"/>
                      <w:color w:val="auto"/>
                      <w:u w:val="single" w:color="auto"/>
                      <w:vertAlign w:val="baseline"/>
                      <w:lang w:val="en-US" w:eastAsia="zh-CN"/>
                    </w:rPr>
                    <w:t>符合园区产业定位要求</w:t>
                  </w:r>
                  <w:r>
                    <w:rPr>
                      <w:rFonts w:hint="default"/>
                      <w:color w:val="auto"/>
                      <w:u w:val="single" w:color="auto"/>
                      <w:vertAlign w:val="baseline"/>
                      <w:lang w:val="en-US" w:eastAsia="zh-CN"/>
                    </w:rPr>
                    <w:t>。</w:t>
                  </w:r>
                </w:p>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p>
              </w:tc>
              <w:tc>
                <w:tcPr>
                  <w:tcW w:w="614"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5" w:hRule="atLeast"/>
                <w:jc w:val="center"/>
              </w:trPr>
              <w:tc>
                <w:tcPr>
                  <w:tcW w:w="652" w:type="dxa"/>
                  <w:vMerge w:val="restart"/>
                  <w:tcBorders>
                    <w:tl2br w:val="nil"/>
                    <w:tr2bl w:val="nil"/>
                  </w:tcBorders>
                  <w:noWrap w:val="0"/>
                  <w:vAlign w:val="center"/>
                </w:tcPr>
                <w:p>
                  <w:pPr>
                    <w:numPr>
                      <w:ilvl w:val="0"/>
                      <w:numId w:val="0"/>
                    </w:numPr>
                    <w:bidi w:val="0"/>
                    <w:adjustRightInd/>
                    <w:snapToGrid/>
                    <w:spacing w:line="240" w:lineRule="auto"/>
                    <w:jc w:val="center"/>
                    <w:rPr>
                      <w:rFonts w:hint="eastAsia" w:ascii="Times New Roman" w:hAnsi="Times New Roman" w:cs="Times New Roman"/>
                      <w:snapToGrid/>
                      <w:color w:val="auto"/>
                      <w:kern w:val="2"/>
                      <w:sz w:val="21"/>
                      <w:szCs w:val="21"/>
                      <w:u w:val="single" w:color="auto"/>
                      <w:lang w:val="en-US" w:eastAsia="zh-CN"/>
                    </w:rPr>
                  </w:pPr>
                </w:p>
                <w:p>
                  <w:pPr>
                    <w:numPr>
                      <w:ilvl w:val="0"/>
                      <w:numId w:val="0"/>
                    </w:numPr>
                    <w:bidi w:val="0"/>
                    <w:adjustRightInd/>
                    <w:snapToGrid/>
                    <w:spacing w:line="240" w:lineRule="auto"/>
                    <w:jc w:val="center"/>
                    <w:rPr>
                      <w:rFonts w:hint="eastAsia" w:ascii="Times New Roman" w:hAnsi="Times New Roman" w:cs="Times New Roman"/>
                      <w:snapToGrid/>
                      <w:color w:val="auto"/>
                      <w:kern w:val="2"/>
                      <w:sz w:val="21"/>
                      <w:szCs w:val="21"/>
                      <w:u w:val="single" w:color="auto"/>
                      <w:lang w:val="en-US" w:eastAsia="zh-CN"/>
                    </w:rPr>
                  </w:pPr>
                </w:p>
                <w:p>
                  <w:pPr>
                    <w:numPr>
                      <w:ilvl w:val="0"/>
                      <w:numId w:val="0"/>
                    </w:numPr>
                    <w:bidi w:val="0"/>
                    <w:adjustRightInd/>
                    <w:snapToGrid/>
                    <w:spacing w:line="240" w:lineRule="auto"/>
                    <w:jc w:val="center"/>
                    <w:rPr>
                      <w:rFonts w:hint="eastAsia" w:ascii="Times New Roman" w:hAnsi="Times New Roman" w:cs="Times New Roman"/>
                      <w:snapToGrid/>
                      <w:color w:val="auto"/>
                      <w:kern w:val="2"/>
                      <w:sz w:val="21"/>
                      <w:szCs w:val="21"/>
                      <w:u w:val="single" w:color="auto"/>
                      <w:lang w:val="en-US" w:eastAsia="zh-CN"/>
                    </w:rPr>
                  </w:pPr>
                </w:p>
                <w:p>
                  <w:pPr>
                    <w:numPr>
                      <w:ilvl w:val="0"/>
                      <w:numId w:val="0"/>
                    </w:numPr>
                    <w:bidi w:val="0"/>
                    <w:adjustRightInd/>
                    <w:snapToGrid/>
                    <w:spacing w:line="240" w:lineRule="auto"/>
                    <w:jc w:val="center"/>
                    <w:rPr>
                      <w:rFonts w:hint="eastAsia" w:ascii="Times New Roman" w:hAnsi="Times New Roman" w:cs="Times New Roman"/>
                      <w:snapToGrid/>
                      <w:color w:val="auto"/>
                      <w:kern w:val="2"/>
                      <w:sz w:val="21"/>
                      <w:szCs w:val="21"/>
                      <w:u w:val="single" w:color="auto"/>
                      <w:lang w:val="en-US" w:eastAsia="zh-CN"/>
                    </w:rPr>
                  </w:pPr>
                </w:p>
                <w:p>
                  <w:pPr>
                    <w:numPr>
                      <w:ilvl w:val="0"/>
                      <w:numId w:val="0"/>
                    </w:numPr>
                    <w:bidi w:val="0"/>
                    <w:adjustRightInd/>
                    <w:snapToGrid/>
                    <w:spacing w:line="240" w:lineRule="auto"/>
                    <w:jc w:val="center"/>
                    <w:rPr>
                      <w:rFonts w:hint="eastAsia" w:ascii="Times New Roman" w:hAnsi="Times New Roman" w:cs="Times New Roman"/>
                      <w:snapToGrid/>
                      <w:color w:val="auto"/>
                      <w:kern w:val="2"/>
                      <w:sz w:val="21"/>
                      <w:szCs w:val="21"/>
                      <w:u w:val="single" w:color="auto"/>
                      <w:lang w:val="en-US" w:eastAsia="zh-CN"/>
                    </w:rPr>
                  </w:pPr>
                </w:p>
                <w:p>
                  <w:pPr>
                    <w:numPr>
                      <w:ilvl w:val="0"/>
                      <w:numId w:val="0"/>
                    </w:numPr>
                    <w:bidi w:val="0"/>
                    <w:adjustRightInd/>
                    <w:snapToGrid/>
                    <w:spacing w:line="240" w:lineRule="auto"/>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2</w:t>
                  </w:r>
                </w:p>
              </w:tc>
              <w:tc>
                <w:tcPr>
                  <w:tcW w:w="1315" w:type="dxa"/>
                  <w:vMerge w:val="restart"/>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p>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p>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p>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p>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default" w:ascii="Times New Roman" w:hAnsi="Times New Roman" w:eastAsia="宋体" w:cs="Times New Roman"/>
                      <w:snapToGrid/>
                      <w:color w:val="auto"/>
                      <w:kern w:val="2"/>
                      <w:sz w:val="21"/>
                      <w:szCs w:val="21"/>
                      <w:u w:val="single" w:color="auto"/>
                      <w:lang w:val="en-US" w:eastAsia="zh-CN"/>
                    </w:rPr>
                    <w:t>污染物排</w:t>
                  </w:r>
                </w:p>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default" w:ascii="Times New Roman" w:hAnsi="Times New Roman" w:eastAsia="宋体" w:cs="Times New Roman"/>
                      <w:snapToGrid/>
                      <w:color w:val="auto"/>
                      <w:kern w:val="2"/>
                      <w:sz w:val="21"/>
                      <w:szCs w:val="21"/>
                      <w:u w:val="single" w:color="auto"/>
                      <w:lang w:val="en-US" w:eastAsia="zh-CN"/>
                    </w:rPr>
                    <w:t>放管控</w:t>
                  </w:r>
                </w:p>
              </w:tc>
              <w:tc>
                <w:tcPr>
                  <w:tcW w:w="3001" w:type="dxa"/>
                  <w:tcBorders>
                    <w:tl2br w:val="nil"/>
                    <w:tr2bl w:val="nil"/>
                  </w:tcBorders>
                  <w:noWrap w:val="0"/>
                  <w:vAlign w:val="center"/>
                </w:tcPr>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2.1）废水：加快园区污水收集管网及集中处理设施建设，实行雨污分流、污污分流，确保园区生产生活污水应收尽收，集中纳入污水处理厂处理。园区企业涉重金属废水应在企业排放口满足《污水综合排放标准（GB8978-1996）》或相关行业标准中重金属排放限值要求后，方可纳入集中式污水处理厂处理，集中式污水处理厂排放标准为：化学需氧量、氨氮、总磷、总氮执行《湖南省城镇污水处理厂主要水污染物排放标准》（DB43/T 1546-2018）一级标准（枯水期总磷执行《湖南省枯水期水生态环境管理强化措施（试行）》控制浓度限值 0.2mg/L），其他指标执行《城镇污水处理厂污染物排放标准》（GB18918-2002）一级 A 标准；做好园区污水处理厂及配套管网的建设，确保其与新建涉生产废水排放项目同步投入使用，园区后续不得超过污水处理厂的处理能力和排污口审批所规定的废水排放量引进项目。</w:t>
                  </w:r>
                </w:p>
              </w:tc>
              <w:tc>
                <w:tcPr>
                  <w:tcW w:w="2247" w:type="dxa"/>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项目</w:t>
                  </w:r>
                  <w:r>
                    <w:rPr>
                      <w:rFonts w:hint="eastAsia" w:ascii="Times New Roman" w:hAnsi="Times New Roman" w:eastAsia="宋体" w:cs="Times New Roman"/>
                      <w:snapToGrid/>
                      <w:color w:val="auto"/>
                      <w:kern w:val="2"/>
                      <w:sz w:val="21"/>
                      <w:szCs w:val="21"/>
                      <w:u w:val="single" w:color="auto"/>
                      <w:lang w:val="en-US" w:eastAsia="zh-CN"/>
                    </w:rPr>
                    <w:t>废水依托湘阴县第三污水处理厂处理达标后由洋沙河排入洋沙湖</w:t>
                  </w:r>
                  <w:r>
                    <w:rPr>
                      <w:rFonts w:hint="eastAsia" w:ascii="Times New Roman" w:hAnsi="Times New Roman" w:cs="Times New Roman"/>
                      <w:snapToGrid/>
                      <w:color w:val="auto"/>
                      <w:kern w:val="2"/>
                      <w:sz w:val="21"/>
                      <w:szCs w:val="21"/>
                      <w:u w:val="single" w:color="auto"/>
                      <w:lang w:val="en-US" w:eastAsia="zh-CN"/>
                    </w:rPr>
                    <w:t>，目前园区污水管网未通，项目园区污水管网相通前不得引入生产废水外排的企业。</w:t>
                  </w:r>
                </w:p>
              </w:tc>
              <w:tc>
                <w:tcPr>
                  <w:tcW w:w="614" w:type="dxa"/>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652" w:type="dxa"/>
                  <w:vMerge w:val="continue"/>
                  <w:tcBorders>
                    <w:tl2br w:val="nil"/>
                    <w:tr2bl w:val="nil"/>
                  </w:tcBorders>
                  <w:noWrap w:val="0"/>
                  <w:vAlign w:val="center"/>
                </w:tcPr>
                <w:p>
                  <w:pPr>
                    <w:bidi w:val="0"/>
                    <w:adjustRightInd/>
                    <w:snapToGrid/>
                    <w:spacing w:line="240" w:lineRule="auto"/>
                    <w:ind w:firstLine="0" w:firstLineChars="0"/>
                    <w:jc w:val="both"/>
                    <w:rPr>
                      <w:rFonts w:ascii="Times New Roman" w:hAnsi="Times New Roman" w:eastAsia="宋体" w:cs="Times New Roman"/>
                      <w:snapToGrid/>
                      <w:color w:val="auto"/>
                      <w:kern w:val="2"/>
                      <w:sz w:val="21"/>
                      <w:szCs w:val="21"/>
                      <w:u w:val="none" w:color="auto"/>
                    </w:rPr>
                  </w:pPr>
                </w:p>
              </w:tc>
              <w:tc>
                <w:tcPr>
                  <w:tcW w:w="1315" w:type="dxa"/>
                  <w:vMerge w:val="continue"/>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none" w:color="auto"/>
                      <w:lang w:val="en-US" w:eastAsia="zh-CN"/>
                    </w:rPr>
                  </w:pPr>
                </w:p>
              </w:tc>
              <w:tc>
                <w:tcPr>
                  <w:tcW w:w="3001" w:type="dxa"/>
                  <w:tcBorders>
                    <w:tl2br w:val="nil"/>
                    <w:tr2bl w:val="nil"/>
                  </w:tcBorders>
                  <w:noWrap w:val="0"/>
                  <w:vAlign w:val="center"/>
                </w:tcPr>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（2.2）废气：促进能源结构低碳化，推广使用清洁能源，加强园区大气污染防治，采取有效措施减少污染物排放总量，严格控制无组织排放，加强对园区企业颗粒物、VOCs 排放的治理；对各企业工艺废气产出的生产节点须配置废气收集与处理净化装置，确保达标排放。园区涉喷涂项目优先采用水性涂料或低挥发性涂料，引进涉油性涂料项目应在项目环评报告中开展油性涂料不可替代性论证。</w:t>
                  </w:r>
                </w:p>
              </w:tc>
              <w:tc>
                <w:tcPr>
                  <w:tcW w:w="2247" w:type="dxa"/>
                  <w:tcBorders>
                    <w:tl2br w:val="nil"/>
                    <w:tr2bl w:val="nil"/>
                  </w:tcBorders>
                  <w:noWrap w:val="0"/>
                  <w:vAlign w:val="center"/>
                </w:tcPr>
                <w:p>
                  <w:pPr>
                    <w:bidi w:val="0"/>
                    <w:adjustRightInd/>
                    <w:snapToGrid/>
                    <w:spacing w:line="240" w:lineRule="auto"/>
                    <w:ind w:firstLine="0" w:firstLineChars="0"/>
                    <w:jc w:val="both"/>
                    <w:rPr>
                      <w:rFonts w:hint="default" w:ascii="Times New Roman" w:hAnsi="Times New Roman" w:eastAsia="宋体" w:cs="Times New Roman"/>
                      <w:snapToGrid/>
                      <w:color w:val="auto"/>
                      <w:kern w:val="2"/>
                      <w:sz w:val="21"/>
                      <w:szCs w:val="21"/>
                      <w:u w:val="single" w:color="auto"/>
                      <w:lang w:val="en-US" w:eastAsia="zh-CN"/>
                    </w:rPr>
                  </w:pPr>
                  <w:r>
                    <w:rPr>
                      <w:rFonts w:hint="default" w:ascii="Times New Roman" w:hAnsi="Times New Roman" w:eastAsia="宋体" w:cs="Times New Roman"/>
                      <w:snapToGrid/>
                      <w:color w:val="auto"/>
                      <w:kern w:val="2"/>
                      <w:sz w:val="21"/>
                      <w:szCs w:val="21"/>
                      <w:u w:val="single" w:color="auto"/>
                      <w:lang w:val="en-US" w:eastAsia="zh-CN"/>
                    </w:rPr>
                    <w:t>引进企业应根据要求另行环评</w:t>
                  </w:r>
                  <w:r>
                    <w:rPr>
                      <w:rFonts w:hint="eastAsia" w:ascii="Times New Roman" w:hAnsi="Times New Roman" w:cs="Times New Roman"/>
                      <w:snapToGrid/>
                      <w:color w:val="auto"/>
                      <w:kern w:val="2"/>
                      <w:sz w:val="21"/>
                      <w:szCs w:val="21"/>
                      <w:u w:val="single" w:color="auto"/>
                      <w:lang w:val="en-US" w:eastAsia="zh-CN"/>
                    </w:rPr>
                    <w:t>，</w:t>
                  </w:r>
                  <w:r>
                    <w:rPr>
                      <w:rFonts w:hint="eastAsia" w:ascii="Times New Roman" w:hAnsi="Times New Roman" w:eastAsia="宋体" w:cs="Times New Roman"/>
                      <w:snapToGrid/>
                      <w:color w:val="auto"/>
                      <w:kern w:val="2"/>
                      <w:sz w:val="21"/>
                      <w:szCs w:val="21"/>
                      <w:u w:val="single" w:color="auto"/>
                      <w:lang w:val="en-US" w:eastAsia="zh-CN"/>
                    </w:rPr>
                    <w:t>对入驻园区企业</w:t>
                  </w:r>
                  <w:r>
                    <w:rPr>
                      <w:rFonts w:hint="eastAsia" w:ascii="Times New Roman" w:hAnsi="Times New Roman" w:cs="Times New Roman"/>
                      <w:snapToGrid/>
                      <w:color w:val="auto"/>
                      <w:kern w:val="2"/>
                      <w:sz w:val="21"/>
                      <w:szCs w:val="21"/>
                      <w:u w:val="single" w:color="auto"/>
                      <w:lang w:val="en-US" w:eastAsia="zh-CN"/>
                    </w:rPr>
                    <w:t>产生的</w:t>
                  </w:r>
                  <w:r>
                    <w:rPr>
                      <w:rFonts w:hint="eastAsia" w:ascii="Times New Roman" w:hAnsi="Times New Roman" w:eastAsia="宋体" w:cs="Times New Roman"/>
                      <w:snapToGrid/>
                      <w:color w:val="auto"/>
                      <w:kern w:val="2"/>
                      <w:sz w:val="21"/>
                      <w:szCs w:val="21"/>
                      <w:u w:val="single" w:color="auto"/>
                      <w:lang w:val="en-US" w:eastAsia="zh-CN"/>
                    </w:rPr>
                    <w:t>颗粒物、VOCs</w:t>
                  </w:r>
                  <w:r>
                    <w:rPr>
                      <w:rFonts w:hint="eastAsia" w:ascii="Times New Roman" w:hAnsi="Times New Roman" w:cs="Times New Roman"/>
                      <w:snapToGrid/>
                      <w:color w:val="auto"/>
                      <w:kern w:val="2"/>
                      <w:sz w:val="21"/>
                      <w:szCs w:val="21"/>
                      <w:u w:val="single" w:color="auto"/>
                      <w:lang w:val="en-US" w:eastAsia="zh-CN"/>
                    </w:rPr>
                    <w:t>经处理后达标排放，</w:t>
                  </w:r>
                  <w:r>
                    <w:rPr>
                      <w:rFonts w:hint="default" w:ascii="Times New Roman" w:hAnsi="Times New Roman" w:eastAsia="宋体" w:cs="Times New Roman"/>
                      <w:snapToGrid/>
                      <w:color w:val="auto"/>
                      <w:kern w:val="2"/>
                      <w:sz w:val="21"/>
                      <w:szCs w:val="21"/>
                      <w:u w:val="single" w:color="auto"/>
                      <w:lang w:val="en-US" w:eastAsia="zh-CN"/>
                    </w:rPr>
                    <w:t>能够严格控制无组织废气的排放</w:t>
                  </w:r>
                  <w:r>
                    <w:rPr>
                      <w:rFonts w:hint="eastAsia" w:ascii="Times New Roman" w:hAnsi="Times New Roman" w:eastAsia="宋体" w:cs="Times New Roman"/>
                      <w:snapToGrid/>
                      <w:color w:val="auto"/>
                      <w:kern w:val="2"/>
                      <w:sz w:val="21"/>
                      <w:szCs w:val="21"/>
                      <w:u w:val="single" w:color="auto"/>
                      <w:lang w:val="en-US" w:eastAsia="zh-CN"/>
                    </w:rPr>
                    <w:t>。</w:t>
                  </w:r>
                </w:p>
              </w:tc>
              <w:tc>
                <w:tcPr>
                  <w:tcW w:w="614" w:type="dxa"/>
                  <w:vMerge w:val="restart"/>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52" w:type="dxa"/>
                  <w:vMerge w:val="continue"/>
                  <w:tcBorders>
                    <w:tl2br w:val="nil"/>
                    <w:tr2bl w:val="nil"/>
                  </w:tcBorders>
                  <w:noWrap w:val="0"/>
                  <w:vAlign w:val="center"/>
                </w:tcPr>
                <w:p>
                  <w:pPr>
                    <w:bidi w:val="0"/>
                    <w:adjustRightInd/>
                    <w:snapToGrid/>
                    <w:spacing w:line="240" w:lineRule="auto"/>
                    <w:ind w:firstLine="0" w:firstLineChars="0"/>
                    <w:jc w:val="both"/>
                    <w:rPr>
                      <w:rFonts w:ascii="Times New Roman" w:hAnsi="Times New Roman" w:eastAsia="宋体" w:cs="Times New Roman"/>
                      <w:snapToGrid/>
                      <w:color w:val="auto"/>
                      <w:kern w:val="2"/>
                      <w:sz w:val="21"/>
                      <w:szCs w:val="21"/>
                      <w:u w:val="none" w:color="auto"/>
                    </w:rPr>
                  </w:pPr>
                </w:p>
              </w:tc>
              <w:tc>
                <w:tcPr>
                  <w:tcW w:w="1315" w:type="dxa"/>
                  <w:vMerge w:val="continue"/>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none" w:color="auto"/>
                      <w:lang w:val="en-US" w:eastAsia="zh-CN"/>
                    </w:rPr>
                  </w:pPr>
                </w:p>
              </w:tc>
              <w:tc>
                <w:tcPr>
                  <w:tcW w:w="3001" w:type="dxa"/>
                  <w:tcBorders>
                    <w:tl2br w:val="nil"/>
                    <w:tr2bl w:val="nil"/>
                  </w:tcBorders>
                  <w:noWrap w:val="0"/>
                  <w:vAlign w:val="center"/>
                </w:tcPr>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2.3）固体废物：建立园区固废规范化管理体系，做好工业固体废物的分类收集、转运、综合利用和无害化处理。对危险废物应严格按照国家有关规定综合利用或妥善处置，对危险废物产生企业和经营单位，应强化日常环境监管。</w:t>
                  </w:r>
                </w:p>
              </w:tc>
              <w:tc>
                <w:tcPr>
                  <w:tcW w:w="2247" w:type="dxa"/>
                  <w:tcBorders>
                    <w:tl2br w:val="nil"/>
                    <w:tr2bl w:val="nil"/>
                  </w:tcBorders>
                  <w:noWrap w:val="0"/>
                  <w:vAlign w:val="center"/>
                </w:tcPr>
                <w:p>
                  <w:pPr>
                    <w:bidi w:val="0"/>
                    <w:adjustRightInd/>
                    <w:snapToGrid/>
                    <w:spacing w:line="240" w:lineRule="auto"/>
                    <w:ind w:firstLine="0" w:firstLineChars="0"/>
                    <w:jc w:val="both"/>
                    <w:rPr>
                      <w:rFonts w:hint="default" w:ascii="Times New Roman" w:hAnsi="Times New Roman" w:eastAsia="宋体" w:cs="Times New Roman"/>
                      <w:snapToGrid/>
                      <w:color w:val="auto"/>
                      <w:kern w:val="2"/>
                      <w:sz w:val="21"/>
                      <w:szCs w:val="21"/>
                      <w:u w:val="single" w:color="auto"/>
                      <w:lang w:val="en-US" w:eastAsia="zh-CN"/>
                    </w:rPr>
                  </w:pPr>
                  <w:r>
                    <w:rPr>
                      <w:rFonts w:hint="default" w:ascii="Times New Roman" w:hAnsi="Times New Roman" w:eastAsia="宋体" w:cs="Times New Roman"/>
                      <w:snapToGrid/>
                      <w:color w:val="auto"/>
                      <w:kern w:val="2"/>
                      <w:sz w:val="21"/>
                      <w:szCs w:val="21"/>
                      <w:u w:val="single" w:color="auto"/>
                      <w:lang w:val="en-US" w:eastAsia="zh-CN"/>
                    </w:rPr>
                    <w:t>本项目</w:t>
                  </w:r>
                  <w:r>
                    <w:rPr>
                      <w:rFonts w:hint="eastAsia" w:ascii="Times New Roman" w:hAnsi="Times New Roman" w:cs="Times New Roman"/>
                      <w:snapToGrid/>
                      <w:color w:val="auto"/>
                      <w:kern w:val="2"/>
                      <w:sz w:val="21"/>
                      <w:szCs w:val="21"/>
                      <w:u w:val="single" w:color="auto"/>
                      <w:lang w:val="en-US" w:eastAsia="zh-CN"/>
                    </w:rPr>
                    <w:t>入驻企业产生的</w:t>
                  </w:r>
                  <w:r>
                    <w:rPr>
                      <w:rFonts w:hint="default" w:ascii="Times New Roman" w:hAnsi="Times New Roman" w:eastAsia="宋体" w:cs="Times New Roman"/>
                      <w:snapToGrid/>
                      <w:color w:val="auto"/>
                      <w:kern w:val="2"/>
                      <w:sz w:val="21"/>
                      <w:szCs w:val="21"/>
                      <w:u w:val="single" w:color="auto"/>
                      <w:lang w:val="en-US" w:eastAsia="zh-CN"/>
                    </w:rPr>
                    <w:t>一般固体废物分类暂存一般固废暂存间后</w:t>
                  </w:r>
                  <w:r>
                    <w:rPr>
                      <w:rFonts w:hint="eastAsia" w:ascii="Times New Roman" w:hAnsi="Times New Roman" w:cs="Times New Roman"/>
                      <w:snapToGrid/>
                      <w:color w:val="auto"/>
                      <w:kern w:val="2"/>
                      <w:sz w:val="21"/>
                      <w:szCs w:val="21"/>
                      <w:u w:val="single" w:color="auto"/>
                      <w:lang w:val="en-US" w:eastAsia="zh-CN"/>
                    </w:rPr>
                    <w:t>统一</w:t>
                  </w:r>
                  <w:r>
                    <w:rPr>
                      <w:rFonts w:hint="default" w:ascii="Times New Roman" w:hAnsi="Times New Roman" w:eastAsia="宋体" w:cs="Times New Roman"/>
                      <w:snapToGrid/>
                      <w:color w:val="auto"/>
                      <w:kern w:val="2"/>
                      <w:sz w:val="21"/>
                      <w:szCs w:val="21"/>
                      <w:u w:val="single" w:color="auto"/>
                      <w:lang w:val="en-US" w:eastAsia="zh-CN"/>
                    </w:rPr>
                    <w:t>处理；危险废物暂存危废暂存间后交有资质单位处理。</w:t>
                  </w:r>
                </w:p>
              </w:tc>
              <w:tc>
                <w:tcPr>
                  <w:tcW w:w="614" w:type="dxa"/>
                  <w:vMerge w:val="continue"/>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Merge w:val="continue"/>
                  <w:tcBorders>
                    <w:tl2br w:val="nil"/>
                    <w:tr2bl w:val="nil"/>
                  </w:tcBorders>
                  <w:noWrap w:val="0"/>
                  <w:vAlign w:val="center"/>
                </w:tcPr>
                <w:p>
                  <w:pPr>
                    <w:bidi w:val="0"/>
                    <w:adjustRightInd/>
                    <w:snapToGrid/>
                    <w:spacing w:line="240" w:lineRule="auto"/>
                    <w:ind w:firstLine="0" w:firstLineChars="0"/>
                    <w:jc w:val="both"/>
                    <w:rPr>
                      <w:rFonts w:ascii="Times New Roman" w:hAnsi="Times New Roman" w:eastAsia="宋体" w:cs="Times New Roman"/>
                      <w:snapToGrid/>
                      <w:color w:val="auto"/>
                      <w:kern w:val="2"/>
                      <w:sz w:val="21"/>
                      <w:szCs w:val="21"/>
                      <w:u w:val="none" w:color="auto"/>
                    </w:rPr>
                  </w:pPr>
                </w:p>
              </w:tc>
              <w:tc>
                <w:tcPr>
                  <w:tcW w:w="1315" w:type="dxa"/>
                  <w:vMerge w:val="continue"/>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none" w:color="auto"/>
                      <w:lang w:val="en-US" w:eastAsia="zh-CN"/>
                    </w:rPr>
                  </w:pPr>
                </w:p>
              </w:tc>
              <w:tc>
                <w:tcPr>
                  <w:tcW w:w="3001" w:type="dxa"/>
                  <w:tcBorders>
                    <w:tl2br w:val="nil"/>
                    <w:tr2bl w:val="nil"/>
                  </w:tcBorders>
                  <w:noWrap w:val="0"/>
                  <w:vAlign w:val="center"/>
                </w:tcPr>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（2.4）建立健全环境空气、地表水、地下水、土壤等环境要素的监控体系。合理布局大气小微站，并涵盖相关特征污染物监测。</w:t>
                  </w:r>
                </w:p>
              </w:tc>
              <w:tc>
                <w:tcPr>
                  <w:tcW w:w="2247" w:type="dxa"/>
                  <w:tcBorders>
                    <w:tl2br w:val="nil"/>
                    <w:tr2bl w:val="nil"/>
                  </w:tcBorders>
                  <w:noWrap w:val="0"/>
                  <w:vAlign w:val="center"/>
                </w:tcPr>
                <w:p>
                  <w:pPr>
                    <w:bidi w:val="0"/>
                    <w:adjustRightInd/>
                    <w:snapToGrid/>
                    <w:spacing w:line="240" w:lineRule="auto"/>
                    <w:ind w:firstLine="0" w:firstLineChars="0"/>
                    <w:jc w:val="both"/>
                    <w:rPr>
                      <w:rFonts w:hint="default" w:ascii="Times New Roman" w:hAnsi="Times New Roman" w:eastAsia="宋体" w:cs="Times New Roman"/>
                      <w:snapToGrid/>
                      <w:color w:val="auto"/>
                      <w:kern w:val="2"/>
                      <w:sz w:val="21"/>
                      <w:szCs w:val="21"/>
                      <w:u w:val="single" w:color="auto"/>
                      <w:lang w:val="en-US" w:eastAsia="zh-CN"/>
                    </w:rPr>
                  </w:pPr>
                  <w:r>
                    <w:rPr>
                      <w:rFonts w:hint="default" w:ascii="Times New Roman" w:hAnsi="Times New Roman" w:eastAsia="宋体" w:cs="Times New Roman"/>
                      <w:snapToGrid/>
                      <w:color w:val="auto"/>
                      <w:kern w:val="2"/>
                      <w:sz w:val="21"/>
                      <w:szCs w:val="21"/>
                      <w:u w:val="single" w:color="auto"/>
                      <w:lang w:val="en-US" w:eastAsia="zh-CN"/>
                    </w:rPr>
                    <w:t>本评价按要求制定了自行监测方案。</w:t>
                  </w:r>
                </w:p>
              </w:tc>
              <w:tc>
                <w:tcPr>
                  <w:tcW w:w="614" w:type="dxa"/>
                  <w:vMerge w:val="continue"/>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3</w:t>
                  </w:r>
                </w:p>
              </w:tc>
              <w:tc>
                <w:tcPr>
                  <w:tcW w:w="1315"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环境风险管控</w:t>
                  </w:r>
                </w:p>
              </w:tc>
              <w:tc>
                <w:tcPr>
                  <w:tcW w:w="3001" w:type="dxa"/>
                  <w:tcBorders>
                    <w:tl2br w:val="nil"/>
                    <w:tr2bl w:val="nil"/>
                  </w:tcBorders>
                  <w:noWrap w:val="0"/>
                  <w:vAlign w:val="center"/>
                </w:tcPr>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3.1）园区应建立健全环境风险防控体系，组织推动园区应急预案编制、修编并落实相关要求，定期组织开展园区应急演练，加强环境风险事故防范和应急管理。危化品仓储应满足《危险化学品仓库储存通则》（GB15603-2022）的要求。</w:t>
                  </w:r>
                </w:p>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3.2）园区可能发生突发环境事件的污染物排放企业，生产、储存、运输、使用危险化学品的企业，生产、收集、贮存、运输危险废物的企业，应当编制和实施环境应急预案；鼓励其他企业制定单独的环境应急预案，或在突发事件应急预案中制定环境应急预案专章，并备案。</w:t>
                  </w:r>
                </w:p>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（3.3）虞公港北区三类工业用地引入存在相关环境风险的企业应建设事故水池、应急截流沟等环境风险设施，完善环境风险防范和环境风险应急体系管控要求。</w:t>
                  </w:r>
                </w:p>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3.4）强化源头风险隐患排查，建立土壤环境风险管控清单，对重点监管源实施分类别、分用途和分阶段的全过程监管和综合整治，逐步构建形成具有区域特色的土壤环境管理体系，推动区域土壤环境质量逐步改善与提升。</w:t>
                  </w:r>
                </w:p>
              </w:tc>
              <w:tc>
                <w:tcPr>
                  <w:tcW w:w="2247" w:type="dxa"/>
                  <w:tcBorders>
                    <w:tl2br w:val="nil"/>
                    <w:tr2bl w:val="nil"/>
                  </w:tcBorders>
                  <w:noWrap w:val="0"/>
                  <w:vAlign w:val="center"/>
                </w:tcPr>
                <w:p>
                  <w:pPr>
                    <w:bidi w:val="0"/>
                    <w:adjustRightInd/>
                    <w:snapToGrid/>
                    <w:spacing w:line="240" w:lineRule="auto"/>
                    <w:ind w:firstLine="0" w:firstLineChars="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本项目为标准化厂房建设。项目建成后将完善环境风险管理，并对入驻企业要求编制突发环境事件应急预案，对周围环境影响较小。</w:t>
                  </w:r>
                </w:p>
              </w:tc>
              <w:tc>
                <w:tcPr>
                  <w:tcW w:w="614"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2" w:hRule="atLeast"/>
                <w:jc w:val="center"/>
              </w:trPr>
              <w:tc>
                <w:tcPr>
                  <w:tcW w:w="652" w:type="dxa"/>
                  <w:tcBorders>
                    <w:tl2br w:val="nil"/>
                    <w:tr2bl w:val="nil"/>
                  </w:tcBorders>
                  <w:noWrap w:val="0"/>
                  <w:vAlign w:val="center"/>
                </w:tcPr>
                <w:p>
                  <w:pPr>
                    <w:bidi w:val="0"/>
                    <w:adjustRightInd/>
                    <w:snapToGrid/>
                    <w:spacing w:line="240" w:lineRule="auto"/>
                    <w:ind w:firstLine="0" w:firstLineChars="0"/>
                    <w:jc w:val="center"/>
                    <w:rPr>
                      <w:rFonts w:hint="default" w:ascii="Times New Roman" w:hAnsi="Times New Roman"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4</w:t>
                  </w:r>
                </w:p>
              </w:tc>
              <w:tc>
                <w:tcPr>
                  <w:tcW w:w="1315" w:type="dxa"/>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资源</w:t>
                  </w:r>
                </w:p>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开发</w:t>
                  </w:r>
                </w:p>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效率</w:t>
                  </w:r>
                </w:p>
                <w:p>
                  <w:pPr>
                    <w:bidi w:val="0"/>
                    <w:adjustRightInd/>
                    <w:snapToGrid/>
                    <w:spacing w:line="240" w:lineRule="auto"/>
                    <w:ind w:firstLine="0" w:firstLineChars="0"/>
                    <w:jc w:val="center"/>
                    <w:rPr>
                      <w:rFonts w:hint="eastAsia"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eastAsia="宋体" w:cs="Times New Roman"/>
                      <w:snapToGrid/>
                      <w:color w:val="auto"/>
                      <w:kern w:val="2"/>
                      <w:sz w:val="21"/>
                      <w:szCs w:val="21"/>
                      <w:u w:val="single" w:color="auto"/>
                      <w:lang w:val="en-US" w:eastAsia="zh-CN"/>
                    </w:rPr>
                    <w:t>要求</w:t>
                  </w:r>
                </w:p>
              </w:tc>
              <w:tc>
                <w:tcPr>
                  <w:tcW w:w="3001" w:type="dxa"/>
                  <w:tcBorders>
                    <w:tl2br w:val="nil"/>
                    <w:tr2bl w:val="nil"/>
                  </w:tcBorders>
                  <w:noWrap w:val="0"/>
                  <w:vAlign w:val="center"/>
                </w:tcPr>
                <w:p>
                  <w:pPr>
                    <w:keepNext w:val="0"/>
                    <w:keepLines w:val="0"/>
                    <w:widowControl/>
                    <w:suppressLineNumbers w:val="0"/>
                    <w:jc w:val="both"/>
                    <w:rPr>
                      <w:color w:val="auto"/>
                      <w:u w:val="single" w:color="auto"/>
                    </w:rPr>
                  </w:pPr>
                  <w:r>
                    <w:rPr>
                      <w:rFonts w:hint="eastAsia" w:ascii="宋体" w:hAnsi="宋体" w:eastAsia="宋体" w:cs="宋体"/>
                      <w:color w:val="auto"/>
                      <w:kern w:val="0"/>
                      <w:sz w:val="21"/>
                      <w:szCs w:val="21"/>
                      <w:u w:val="single" w:color="auto"/>
                      <w:lang w:val="en-US" w:eastAsia="zh-CN" w:bidi="ar"/>
                    </w:rPr>
                    <w:t>（</w:t>
                  </w:r>
                  <w:r>
                    <w:rPr>
                      <w:rFonts w:hint="default" w:ascii="Times New Roman" w:hAnsi="Times New Roman" w:eastAsia="宋体" w:cs="Times New Roman"/>
                      <w:color w:val="auto"/>
                      <w:kern w:val="0"/>
                      <w:sz w:val="21"/>
                      <w:szCs w:val="21"/>
                      <w:u w:val="single" w:color="auto"/>
                      <w:lang w:val="en-US" w:eastAsia="zh-CN" w:bidi="ar"/>
                    </w:rPr>
                    <w:t>4.1</w:t>
                  </w:r>
                  <w:r>
                    <w:rPr>
                      <w:rFonts w:hint="eastAsia" w:ascii="宋体" w:hAnsi="宋体" w:eastAsia="宋体" w:cs="宋体"/>
                      <w:color w:val="auto"/>
                      <w:kern w:val="0"/>
                      <w:sz w:val="21"/>
                      <w:szCs w:val="21"/>
                      <w:u w:val="single" w:color="auto"/>
                      <w:lang w:val="en-US" w:eastAsia="zh-CN" w:bidi="ar"/>
                    </w:rPr>
                    <w:t>）能源：积极推广电、天然气等清洁能源，努力提升产业绿色发展水平。园区</w:t>
                  </w:r>
                  <w:r>
                    <w:rPr>
                      <w:rFonts w:hint="default" w:ascii="Times New Roman" w:hAnsi="Times New Roman" w:eastAsia="宋体" w:cs="Times New Roman"/>
                      <w:color w:val="auto"/>
                      <w:kern w:val="0"/>
                      <w:sz w:val="21"/>
                      <w:szCs w:val="21"/>
                      <w:u w:val="single" w:color="auto"/>
                      <w:lang w:val="en-US" w:eastAsia="zh-CN" w:bidi="ar"/>
                    </w:rPr>
                    <w:t>2025</w:t>
                  </w:r>
                  <w:r>
                    <w:rPr>
                      <w:rFonts w:hint="eastAsia" w:ascii="宋体" w:hAnsi="宋体" w:eastAsia="宋体" w:cs="宋体"/>
                      <w:color w:val="auto"/>
                      <w:kern w:val="0"/>
                      <w:sz w:val="21"/>
                      <w:szCs w:val="21"/>
                      <w:u w:val="single" w:color="auto"/>
                      <w:lang w:val="en-US" w:eastAsia="zh-CN" w:bidi="ar"/>
                    </w:rPr>
                    <w:t>年区域单位</w:t>
                  </w:r>
                  <w:r>
                    <w:rPr>
                      <w:rFonts w:hint="default" w:ascii="Times New Roman" w:hAnsi="Times New Roman" w:eastAsia="宋体" w:cs="Times New Roman"/>
                      <w:color w:val="auto"/>
                      <w:kern w:val="0"/>
                      <w:sz w:val="21"/>
                      <w:szCs w:val="21"/>
                      <w:u w:val="single" w:color="auto"/>
                      <w:lang w:val="en-US" w:eastAsia="zh-CN" w:bidi="ar"/>
                    </w:rPr>
                    <w:t>GDP</w:t>
                  </w:r>
                  <w:r>
                    <w:rPr>
                      <w:rFonts w:hint="eastAsia" w:ascii="宋体" w:hAnsi="宋体" w:eastAsia="宋体" w:cs="宋体"/>
                      <w:color w:val="auto"/>
                      <w:kern w:val="0"/>
                      <w:sz w:val="21"/>
                      <w:szCs w:val="21"/>
                      <w:u w:val="single" w:color="auto"/>
                      <w:lang w:val="en-US" w:eastAsia="zh-CN" w:bidi="ar"/>
                    </w:rPr>
                    <w:t xml:space="preserve">能耗预测值为 </w:t>
                  </w:r>
                  <w:r>
                    <w:rPr>
                      <w:rFonts w:hint="default" w:ascii="Times New Roman" w:hAnsi="Times New Roman" w:eastAsia="宋体" w:cs="Times New Roman"/>
                      <w:color w:val="auto"/>
                      <w:kern w:val="0"/>
                      <w:sz w:val="21"/>
                      <w:szCs w:val="21"/>
                      <w:u w:val="single" w:color="auto"/>
                      <w:lang w:val="en-US" w:eastAsia="zh-CN" w:bidi="ar"/>
                    </w:rPr>
                    <w:t xml:space="preserve">0.5561 </w:t>
                  </w:r>
                  <w:r>
                    <w:rPr>
                      <w:rFonts w:hint="eastAsia" w:ascii="宋体" w:hAnsi="宋体" w:eastAsia="宋体" w:cs="宋体"/>
                      <w:color w:val="auto"/>
                      <w:kern w:val="0"/>
                      <w:sz w:val="21"/>
                      <w:szCs w:val="21"/>
                      <w:u w:val="single" w:color="auto"/>
                      <w:lang w:val="en-US" w:eastAsia="zh-CN" w:bidi="ar"/>
                    </w:rPr>
                    <w:t>吨标煤</w:t>
                  </w:r>
                  <w:r>
                    <w:rPr>
                      <w:rFonts w:hint="default" w:ascii="Times New Roman" w:hAnsi="Times New Roman" w:eastAsia="宋体" w:cs="Times New Roman"/>
                      <w:color w:val="auto"/>
                      <w:kern w:val="0"/>
                      <w:sz w:val="21"/>
                      <w:szCs w:val="21"/>
                      <w:u w:val="single" w:color="auto"/>
                      <w:lang w:val="en-US" w:eastAsia="zh-CN" w:bidi="ar"/>
                    </w:rPr>
                    <w:t>/</w:t>
                  </w:r>
                  <w:r>
                    <w:rPr>
                      <w:rFonts w:hint="eastAsia" w:ascii="宋体" w:hAnsi="宋体" w:eastAsia="宋体" w:cs="宋体"/>
                      <w:color w:val="auto"/>
                      <w:kern w:val="0"/>
                      <w:sz w:val="21"/>
                      <w:szCs w:val="21"/>
                      <w:u w:val="single" w:color="auto"/>
                      <w:lang w:val="en-US" w:eastAsia="zh-CN" w:bidi="ar"/>
                    </w:rPr>
                    <w:t>万元，区域“十四五”时期能源消耗增量控制在</w:t>
                  </w:r>
                  <w:r>
                    <w:rPr>
                      <w:rFonts w:hint="default" w:ascii="Times New Roman" w:hAnsi="Times New Roman" w:eastAsia="宋体" w:cs="Times New Roman"/>
                      <w:color w:val="auto"/>
                      <w:kern w:val="0"/>
                      <w:sz w:val="21"/>
                      <w:szCs w:val="21"/>
                      <w:u w:val="single" w:color="auto"/>
                      <w:lang w:val="en-US" w:eastAsia="zh-CN" w:bidi="ar"/>
                    </w:rPr>
                    <w:t>141700</w:t>
                  </w:r>
                  <w:r>
                    <w:rPr>
                      <w:rFonts w:hint="eastAsia" w:ascii="宋体" w:hAnsi="宋体" w:eastAsia="宋体" w:cs="宋体"/>
                      <w:color w:val="auto"/>
                      <w:kern w:val="0"/>
                      <w:sz w:val="21"/>
                      <w:szCs w:val="21"/>
                      <w:u w:val="single" w:color="auto"/>
                      <w:lang w:val="en-US" w:eastAsia="zh-CN" w:bidi="ar"/>
                    </w:rPr>
                    <w:t xml:space="preserve">吨标煤。 </w:t>
                  </w:r>
                </w:p>
                <w:p>
                  <w:pPr>
                    <w:keepNext w:val="0"/>
                    <w:keepLines w:val="0"/>
                    <w:widowControl/>
                    <w:suppressLineNumbers w:val="0"/>
                    <w:jc w:val="both"/>
                    <w:rPr>
                      <w:color w:val="auto"/>
                      <w:u w:val="single" w:color="auto"/>
                    </w:rPr>
                  </w:pPr>
                  <w:r>
                    <w:rPr>
                      <w:rFonts w:hint="eastAsia" w:ascii="宋体" w:hAnsi="宋体" w:eastAsia="宋体" w:cs="宋体"/>
                      <w:color w:val="auto"/>
                      <w:kern w:val="0"/>
                      <w:sz w:val="21"/>
                      <w:szCs w:val="21"/>
                      <w:u w:val="single" w:color="auto"/>
                      <w:lang w:val="en-US" w:eastAsia="zh-CN" w:bidi="ar"/>
                    </w:rPr>
                    <w:t>（</w:t>
                  </w:r>
                  <w:r>
                    <w:rPr>
                      <w:rFonts w:hint="default" w:ascii="Times New Roman" w:hAnsi="Times New Roman" w:eastAsia="宋体" w:cs="Times New Roman"/>
                      <w:color w:val="auto"/>
                      <w:kern w:val="0"/>
                      <w:sz w:val="21"/>
                      <w:szCs w:val="21"/>
                      <w:u w:val="single" w:color="auto"/>
                      <w:lang w:val="en-US" w:eastAsia="zh-CN" w:bidi="ar"/>
                    </w:rPr>
                    <w:t>4.2</w:t>
                  </w:r>
                  <w:r>
                    <w:rPr>
                      <w:rFonts w:hint="eastAsia" w:ascii="宋体" w:hAnsi="宋体" w:eastAsia="宋体" w:cs="宋体"/>
                      <w:color w:val="auto"/>
                      <w:kern w:val="0"/>
                      <w:sz w:val="21"/>
                      <w:szCs w:val="21"/>
                      <w:u w:val="single" w:color="auto"/>
                      <w:lang w:val="en-US" w:eastAsia="zh-CN" w:bidi="ar"/>
                    </w:rPr>
                    <w:t>）水资源：加强工业节水，重点开展相关工业行业节水技术改造，禁止引入高耗水的落后产能，积极推广工业用水循环利用，支持引导企业开展水平衡测试，继续推进节水型企业、节水型工业园区建设。促进高耗水企业加强废水深度处理和达标再利用。</w:t>
                  </w:r>
                  <w:r>
                    <w:rPr>
                      <w:rFonts w:hint="default" w:ascii="Times New Roman" w:hAnsi="Times New Roman" w:eastAsia="宋体" w:cs="Times New Roman"/>
                      <w:color w:val="auto"/>
                      <w:kern w:val="0"/>
                      <w:sz w:val="21"/>
                      <w:szCs w:val="21"/>
                      <w:u w:val="single" w:color="auto"/>
                      <w:lang w:val="en-US" w:eastAsia="zh-CN" w:bidi="ar"/>
                    </w:rPr>
                    <w:t>2025</w:t>
                  </w:r>
                  <w:r>
                    <w:rPr>
                      <w:rFonts w:hint="eastAsia" w:ascii="宋体" w:hAnsi="宋体" w:eastAsia="宋体" w:cs="宋体"/>
                      <w:color w:val="auto"/>
                      <w:kern w:val="0"/>
                      <w:sz w:val="21"/>
                      <w:szCs w:val="21"/>
                      <w:u w:val="single" w:color="auto"/>
                      <w:lang w:val="en-US" w:eastAsia="zh-CN" w:bidi="ar"/>
                    </w:rPr>
                    <w:t>年湘阴县用水总量控制在</w:t>
                  </w:r>
                  <w:r>
                    <w:rPr>
                      <w:rFonts w:hint="default" w:ascii="Times New Roman" w:hAnsi="Times New Roman" w:eastAsia="宋体" w:cs="Times New Roman"/>
                      <w:color w:val="auto"/>
                      <w:kern w:val="0"/>
                      <w:sz w:val="21"/>
                      <w:szCs w:val="21"/>
                      <w:u w:val="single" w:color="auto"/>
                      <w:lang w:val="en-US" w:eastAsia="zh-CN" w:bidi="ar"/>
                    </w:rPr>
                    <w:t>3.455</w:t>
                  </w:r>
                  <w:r>
                    <w:rPr>
                      <w:rFonts w:hint="eastAsia" w:ascii="宋体" w:hAnsi="宋体" w:eastAsia="宋体" w:cs="宋体"/>
                      <w:color w:val="auto"/>
                      <w:kern w:val="0"/>
                      <w:sz w:val="21"/>
                      <w:szCs w:val="21"/>
                      <w:u w:val="single" w:color="auto"/>
                      <w:lang w:val="en-US" w:eastAsia="zh-CN" w:bidi="ar"/>
                    </w:rPr>
                    <w:t>亿立方米以内，</w:t>
                  </w:r>
                  <w:r>
                    <w:rPr>
                      <w:rFonts w:hint="default" w:ascii="Times New Roman" w:hAnsi="Times New Roman" w:eastAsia="宋体" w:cs="Times New Roman"/>
                      <w:color w:val="auto"/>
                      <w:kern w:val="0"/>
                      <w:sz w:val="21"/>
                      <w:szCs w:val="21"/>
                      <w:u w:val="single" w:color="auto"/>
                      <w:lang w:val="en-US" w:eastAsia="zh-CN" w:bidi="ar"/>
                    </w:rPr>
                    <w:t>2025</w:t>
                  </w:r>
                  <w:r>
                    <w:rPr>
                      <w:rFonts w:hint="eastAsia" w:ascii="宋体" w:hAnsi="宋体" w:eastAsia="宋体" w:cs="宋体"/>
                      <w:color w:val="auto"/>
                      <w:kern w:val="0"/>
                      <w:sz w:val="21"/>
                      <w:szCs w:val="21"/>
                      <w:u w:val="single" w:color="auto"/>
                      <w:lang w:val="en-US" w:eastAsia="zh-CN" w:bidi="ar"/>
                    </w:rPr>
                    <w:t>年万元地区生产总值用水量比</w:t>
                  </w:r>
                  <w:r>
                    <w:rPr>
                      <w:rFonts w:hint="default" w:ascii="Times New Roman" w:hAnsi="Times New Roman" w:eastAsia="宋体" w:cs="Times New Roman"/>
                      <w:color w:val="auto"/>
                      <w:kern w:val="0"/>
                      <w:sz w:val="21"/>
                      <w:szCs w:val="21"/>
                      <w:u w:val="single" w:color="auto"/>
                      <w:lang w:val="en-US" w:eastAsia="zh-CN" w:bidi="ar"/>
                    </w:rPr>
                    <w:t>2020</w:t>
                  </w:r>
                  <w:r>
                    <w:rPr>
                      <w:rFonts w:hint="eastAsia" w:ascii="宋体" w:hAnsi="宋体" w:eastAsia="宋体" w:cs="宋体"/>
                      <w:color w:val="auto"/>
                      <w:kern w:val="0"/>
                      <w:sz w:val="21"/>
                      <w:szCs w:val="21"/>
                      <w:u w:val="single" w:color="auto"/>
                      <w:lang w:val="en-US" w:eastAsia="zh-CN" w:bidi="ar"/>
                    </w:rPr>
                    <w:t xml:space="preserve">年下降 </w:t>
                  </w:r>
                  <w:r>
                    <w:rPr>
                      <w:rFonts w:hint="default" w:ascii="Times New Roman" w:hAnsi="Times New Roman" w:eastAsia="宋体" w:cs="Times New Roman"/>
                      <w:color w:val="auto"/>
                      <w:kern w:val="0"/>
                      <w:sz w:val="21"/>
                      <w:szCs w:val="21"/>
                      <w:u w:val="single" w:color="auto"/>
                      <w:lang w:val="en-US" w:eastAsia="zh-CN" w:bidi="ar"/>
                    </w:rPr>
                    <w:t>21.26%</w:t>
                  </w:r>
                  <w:r>
                    <w:rPr>
                      <w:rFonts w:hint="eastAsia" w:ascii="宋体" w:hAnsi="宋体" w:eastAsia="宋体" w:cs="宋体"/>
                      <w:color w:val="auto"/>
                      <w:kern w:val="0"/>
                      <w:sz w:val="21"/>
                      <w:szCs w:val="21"/>
                      <w:u w:val="single" w:color="auto"/>
                      <w:lang w:val="en-US" w:eastAsia="zh-CN" w:bidi="ar"/>
                    </w:rPr>
                    <w:t>，</w:t>
                  </w:r>
                  <w:r>
                    <w:rPr>
                      <w:rFonts w:hint="default" w:ascii="Times New Roman" w:hAnsi="Times New Roman" w:eastAsia="宋体" w:cs="Times New Roman"/>
                      <w:color w:val="auto"/>
                      <w:kern w:val="0"/>
                      <w:sz w:val="21"/>
                      <w:szCs w:val="21"/>
                      <w:u w:val="single" w:color="auto"/>
                      <w:lang w:val="en-US" w:eastAsia="zh-CN" w:bidi="ar"/>
                    </w:rPr>
                    <w:t>2025</w:t>
                  </w:r>
                  <w:r>
                    <w:rPr>
                      <w:rFonts w:hint="eastAsia" w:ascii="宋体" w:hAnsi="宋体" w:eastAsia="宋体" w:cs="宋体"/>
                      <w:color w:val="auto"/>
                      <w:kern w:val="0"/>
                      <w:sz w:val="21"/>
                      <w:szCs w:val="21"/>
                      <w:u w:val="single" w:color="auto"/>
                      <w:lang w:val="en-US" w:eastAsia="zh-CN" w:bidi="ar"/>
                    </w:rPr>
                    <w:t>年万元工业增加值用水量比</w:t>
                  </w:r>
                  <w:r>
                    <w:rPr>
                      <w:rFonts w:hint="default" w:ascii="Times New Roman" w:hAnsi="Times New Roman" w:eastAsia="宋体" w:cs="Times New Roman"/>
                      <w:color w:val="auto"/>
                      <w:kern w:val="0"/>
                      <w:sz w:val="21"/>
                      <w:szCs w:val="21"/>
                      <w:u w:val="single" w:color="auto"/>
                      <w:lang w:val="en-US" w:eastAsia="zh-CN" w:bidi="ar"/>
                    </w:rPr>
                    <w:t>2020</w:t>
                  </w:r>
                  <w:r>
                    <w:rPr>
                      <w:rFonts w:hint="eastAsia" w:ascii="宋体" w:hAnsi="宋体" w:eastAsia="宋体" w:cs="宋体"/>
                      <w:color w:val="auto"/>
                      <w:kern w:val="0"/>
                      <w:sz w:val="21"/>
                      <w:szCs w:val="21"/>
                      <w:u w:val="single" w:color="auto"/>
                      <w:lang w:val="en-US" w:eastAsia="zh-CN" w:bidi="ar"/>
                    </w:rPr>
                    <w:t>年下降</w:t>
                  </w:r>
                  <w:r>
                    <w:rPr>
                      <w:rFonts w:hint="default" w:ascii="Times New Roman" w:hAnsi="Times New Roman" w:eastAsia="宋体" w:cs="Times New Roman"/>
                      <w:color w:val="auto"/>
                      <w:kern w:val="0"/>
                      <w:sz w:val="21"/>
                      <w:szCs w:val="21"/>
                      <w:u w:val="single" w:color="auto"/>
                      <w:lang w:val="en-US" w:eastAsia="zh-CN" w:bidi="ar"/>
                    </w:rPr>
                    <w:t>21.55%</w:t>
                  </w:r>
                  <w:r>
                    <w:rPr>
                      <w:rFonts w:hint="eastAsia" w:ascii="宋体" w:hAnsi="宋体" w:eastAsia="宋体" w:cs="宋体"/>
                      <w:color w:val="auto"/>
                      <w:kern w:val="0"/>
                      <w:sz w:val="21"/>
                      <w:szCs w:val="21"/>
                      <w:u w:val="single" w:color="auto"/>
                      <w:lang w:val="en-US" w:eastAsia="zh-CN" w:bidi="ar"/>
                    </w:rPr>
                    <w:t xml:space="preserve">。 </w:t>
                  </w:r>
                </w:p>
                <w:p>
                  <w:pPr>
                    <w:keepNext w:val="0"/>
                    <w:keepLines w:val="0"/>
                    <w:widowControl/>
                    <w:suppressLineNumbers w:val="0"/>
                    <w:jc w:val="both"/>
                    <w:rPr>
                      <w:rFonts w:hint="eastAsia" w:ascii="Times New Roman" w:hAnsi="Times New Roman" w:eastAsia="宋体" w:cs="Times New Roman"/>
                      <w:snapToGrid/>
                      <w:color w:val="auto"/>
                      <w:kern w:val="2"/>
                      <w:sz w:val="21"/>
                      <w:szCs w:val="21"/>
                      <w:u w:val="single" w:color="auto"/>
                      <w:lang w:val="en-US" w:eastAsia="zh-CN"/>
                    </w:rPr>
                  </w:pPr>
                  <w:r>
                    <w:rPr>
                      <w:rFonts w:hint="eastAsia" w:ascii="宋体" w:hAnsi="宋体" w:eastAsia="宋体" w:cs="宋体"/>
                      <w:color w:val="auto"/>
                      <w:kern w:val="0"/>
                      <w:sz w:val="21"/>
                      <w:szCs w:val="21"/>
                      <w:u w:val="single" w:color="auto"/>
                      <w:lang w:val="en-US" w:eastAsia="zh-CN" w:bidi="ar"/>
                    </w:rPr>
                    <w:t>（</w:t>
                  </w:r>
                  <w:r>
                    <w:rPr>
                      <w:rFonts w:hint="default" w:ascii="Times New Roman" w:hAnsi="Times New Roman" w:eastAsia="宋体" w:cs="Times New Roman"/>
                      <w:color w:val="auto"/>
                      <w:kern w:val="0"/>
                      <w:sz w:val="21"/>
                      <w:szCs w:val="21"/>
                      <w:u w:val="single" w:color="auto"/>
                      <w:lang w:val="en-US" w:eastAsia="zh-CN" w:bidi="ar"/>
                    </w:rPr>
                    <w:t>4.3</w:t>
                  </w:r>
                  <w:r>
                    <w:rPr>
                      <w:rFonts w:hint="eastAsia" w:ascii="宋体" w:hAnsi="宋体" w:eastAsia="宋体" w:cs="宋体"/>
                      <w:color w:val="auto"/>
                      <w:kern w:val="0"/>
                      <w:sz w:val="21"/>
                      <w:szCs w:val="21"/>
                      <w:u w:val="single" w:color="auto"/>
                      <w:lang w:val="en-US" w:eastAsia="zh-CN" w:bidi="ar"/>
                    </w:rPr>
                    <w:t xml:space="preserve">）土地资源：以国家产业发展政策为导向，合理制定区域产业用地政策，优先保障主导产业发展用地，严禁向禁止类工业项目供地，严格控制限制类工业项目用地，重点支持发展与区域资源环境条件相适应的产业。全面推行工业项目建设用地引导指标和工业项目供地负面清单管理，落户省级园区的项目，投资强度不低于 </w:t>
                  </w:r>
                  <w:r>
                    <w:rPr>
                      <w:rFonts w:hint="default" w:ascii="Times New Roman" w:hAnsi="Times New Roman" w:eastAsia="宋体" w:cs="Times New Roman"/>
                      <w:color w:val="auto"/>
                      <w:kern w:val="0"/>
                      <w:sz w:val="21"/>
                      <w:szCs w:val="21"/>
                      <w:u w:val="single" w:color="auto"/>
                      <w:lang w:val="en-US" w:eastAsia="zh-CN" w:bidi="ar"/>
                    </w:rPr>
                    <w:t>320</w:t>
                  </w:r>
                  <w:r>
                    <w:rPr>
                      <w:rFonts w:hint="eastAsia" w:ascii="宋体" w:hAnsi="宋体" w:eastAsia="宋体" w:cs="宋体"/>
                      <w:color w:val="auto"/>
                      <w:kern w:val="0"/>
                      <w:sz w:val="21"/>
                      <w:szCs w:val="21"/>
                      <w:u w:val="single" w:color="auto"/>
                      <w:lang w:val="en-US" w:eastAsia="zh-CN" w:bidi="ar"/>
                    </w:rPr>
                    <w:t>万元</w:t>
                  </w:r>
                  <w:r>
                    <w:rPr>
                      <w:rFonts w:hint="default" w:ascii="Times New Roman" w:hAnsi="Times New Roman" w:eastAsia="宋体" w:cs="Times New Roman"/>
                      <w:color w:val="auto"/>
                      <w:kern w:val="0"/>
                      <w:sz w:val="21"/>
                      <w:szCs w:val="21"/>
                      <w:u w:val="single" w:color="auto"/>
                      <w:lang w:val="en-US" w:eastAsia="zh-CN" w:bidi="ar"/>
                    </w:rPr>
                    <w:t>/</w:t>
                  </w:r>
                  <w:r>
                    <w:rPr>
                      <w:rFonts w:hint="eastAsia" w:ascii="宋体" w:hAnsi="宋体" w:eastAsia="宋体" w:cs="宋体"/>
                      <w:color w:val="auto"/>
                      <w:kern w:val="0"/>
                      <w:sz w:val="21"/>
                      <w:szCs w:val="21"/>
                      <w:u w:val="single" w:color="auto"/>
                      <w:lang w:val="en-US" w:eastAsia="zh-CN" w:bidi="ar"/>
                    </w:rPr>
                    <w:t>亩、收入不低于</w:t>
                  </w:r>
                  <w:r>
                    <w:rPr>
                      <w:rFonts w:hint="default" w:ascii="Times New Roman" w:hAnsi="Times New Roman" w:eastAsia="宋体" w:cs="Times New Roman"/>
                      <w:color w:val="auto"/>
                      <w:kern w:val="0"/>
                      <w:sz w:val="21"/>
                      <w:szCs w:val="21"/>
                      <w:u w:val="single" w:color="auto"/>
                      <w:lang w:val="en-US" w:eastAsia="zh-CN" w:bidi="ar"/>
                    </w:rPr>
                    <w:t xml:space="preserve">400 </w:t>
                  </w:r>
                  <w:r>
                    <w:rPr>
                      <w:rFonts w:hint="eastAsia" w:ascii="宋体" w:hAnsi="宋体" w:eastAsia="宋体" w:cs="宋体"/>
                      <w:color w:val="auto"/>
                      <w:kern w:val="0"/>
                      <w:sz w:val="21"/>
                      <w:szCs w:val="21"/>
                      <w:u w:val="single" w:color="auto"/>
                      <w:lang w:val="en-US" w:eastAsia="zh-CN" w:bidi="ar"/>
                    </w:rPr>
                    <w:t>万元</w:t>
                  </w:r>
                  <w:r>
                    <w:rPr>
                      <w:rFonts w:hint="default" w:ascii="Times New Roman" w:hAnsi="Times New Roman" w:eastAsia="宋体" w:cs="Times New Roman"/>
                      <w:color w:val="auto"/>
                      <w:kern w:val="0"/>
                      <w:sz w:val="21"/>
                      <w:szCs w:val="21"/>
                      <w:u w:val="single" w:color="auto"/>
                      <w:lang w:val="en-US" w:eastAsia="zh-CN" w:bidi="ar"/>
                    </w:rPr>
                    <w:t>/</w:t>
                  </w:r>
                  <w:r>
                    <w:rPr>
                      <w:rFonts w:hint="eastAsia" w:ascii="宋体" w:hAnsi="宋体" w:eastAsia="宋体" w:cs="宋体"/>
                      <w:color w:val="auto"/>
                      <w:kern w:val="0"/>
                      <w:sz w:val="21"/>
                      <w:szCs w:val="21"/>
                      <w:u w:val="single" w:color="auto"/>
                      <w:lang w:val="en-US" w:eastAsia="zh-CN" w:bidi="ar"/>
                    </w:rPr>
                    <w:t>亩、税收不低于</w:t>
                  </w:r>
                  <w:r>
                    <w:rPr>
                      <w:rFonts w:hint="default" w:ascii="Times New Roman" w:hAnsi="Times New Roman" w:eastAsia="宋体" w:cs="Times New Roman"/>
                      <w:color w:val="auto"/>
                      <w:kern w:val="0"/>
                      <w:sz w:val="21"/>
                      <w:szCs w:val="21"/>
                      <w:u w:val="single" w:color="auto"/>
                      <w:lang w:val="en-US" w:eastAsia="zh-CN" w:bidi="ar"/>
                    </w:rPr>
                    <w:t>24</w:t>
                  </w:r>
                  <w:r>
                    <w:rPr>
                      <w:rFonts w:hint="eastAsia" w:ascii="宋体" w:hAnsi="宋体" w:eastAsia="宋体" w:cs="宋体"/>
                      <w:color w:val="auto"/>
                      <w:kern w:val="0"/>
                      <w:sz w:val="21"/>
                      <w:szCs w:val="21"/>
                      <w:u w:val="single" w:color="auto"/>
                      <w:lang w:val="en-US" w:eastAsia="zh-CN" w:bidi="ar"/>
                    </w:rPr>
                    <w:t>万元</w:t>
                  </w:r>
                  <w:r>
                    <w:rPr>
                      <w:rFonts w:hint="default" w:ascii="Times New Roman" w:hAnsi="Times New Roman" w:eastAsia="宋体" w:cs="Times New Roman"/>
                      <w:color w:val="auto"/>
                      <w:kern w:val="0"/>
                      <w:sz w:val="21"/>
                      <w:szCs w:val="21"/>
                      <w:u w:val="single" w:color="auto"/>
                      <w:lang w:val="en-US" w:eastAsia="zh-CN" w:bidi="ar"/>
                    </w:rPr>
                    <w:t>/</w:t>
                  </w:r>
                  <w:r>
                    <w:rPr>
                      <w:rFonts w:hint="eastAsia" w:ascii="宋体" w:hAnsi="宋体" w:eastAsia="宋体" w:cs="宋体"/>
                      <w:color w:val="auto"/>
                      <w:kern w:val="0"/>
                      <w:sz w:val="21"/>
                      <w:szCs w:val="21"/>
                      <w:u w:val="single" w:color="auto"/>
                      <w:lang w:val="en-US" w:eastAsia="zh-CN" w:bidi="ar"/>
                    </w:rPr>
                    <w:t>亩。</w:t>
                  </w:r>
                </w:p>
              </w:tc>
              <w:tc>
                <w:tcPr>
                  <w:tcW w:w="2247" w:type="dxa"/>
                  <w:tcBorders>
                    <w:tl2br w:val="nil"/>
                    <w:tr2bl w:val="nil"/>
                  </w:tcBorders>
                  <w:noWrap w:val="0"/>
                  <w:vAlign w:val="center"/>
                </w:tcPr>
                <w:p>
                  <w:pPr>
                    <w:bidi w:val="0"/>
                    <w:adjustRightInd/>
                    <w:snapToGrid/>
                    <w:spacing w:line="240" w:lineRule="auto"/>
                    <w:ind w:firstLine="0" w:firstLineChars="0"/>
                    <w:jc w:val="both"/>
                    <w:rPr>
                      <w:rFonts w:hint="default" w:ascii="Times New Roman" w:hAnsi="Times New Roman" w:eastAsia="宋体"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项目使用资源主要为水、电、天然气等，来源于市政供水系统、供气系统和供电系统，本项目建成运行后通过内部管理、设备选择、污染治理等多方面采取可行的防治措施，以“节能、降耗、减污”为目标，有效地控制污染，项目的水、电、天然气等资源不会突破区域的资源利用上线。本项目不新增占地。项目符合当地土地规划要求，亦不会达到资源利用上线。因此，本项目的建设不会突破当地资源利用上线。</w:t>
                  </w:r>
                </w:p>
              </w:tc>
              <w:tc>
                <w:tcPr>
                  <w:tcW w:w="614" w:type="dxa"/>
                  <w:tcBorders>
                    <w:tl2br w:val="nil"/>
                    <w:tr2bl w:val="nil"/>
                  </w:tcBorders>
                  <w:noWrap w:val="0"/>
                  <w:vAlign w:val="center"/>
                </w:tcPr>
                <w:p>
                  <w:pPr>
                    <w:bidi w:val="0"/>
                    <w:adjustRightInd/>
                    <w:snapToGrid/>
                    <w:spacing w:line="240" w:lineRule="auto"/>
                    <w:ind w:firstLine="0" w:firstLineChars="0"/>
                    <w:jc w:val="center"/>
                    <w:rPr>
                      <w:rFonts w:hint="eastAsia" w:ascii="Times New Roman" w:hAnsi="Times New Roman" w:cs="Times New Roman"/>
                      <w:snapToGrid/>
                      <w:color w:val="auto"/>
                      <w:kern w:val="2"/>
                      <w:sz w:val="21"/>
                      <w:szCs w:val="21"/>
                      <w:u w:val="single" w:color="auto"/>
                      <w:lang w:val="en-US" w:eastAsia="zh-CN"/>
                    </w:rPr>
                  </w:pPr>
                  <w:r>
                    <w:rPr>
                      <w:rFonts w:hint="eastAsia" w:ascii="Times New Roman" w:hAnsi="Times New Roman" w:cs="Times New Roman"/>
                      <w:snapToGrid/>
                      <w:color w:val="auto"/>
                      <w:kern w:val="2"/>
                      <w:sz w:val="21"/>
                      <w:szCs w:val="21"/>
                      <w:u w:val="single" w:color="auto"/>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33" w:line="360" w:lineRule="auto"/>
              <w:ind w:firstLine="476" w:firstLineChars="200"/>
              <w:jc w:val="both"/>
              <w:textAlignment w:val="auto"/>
              <w:rPr>
                <w:rFonts w:hint="default"/>
                <w:color w:val="auto"/>
                <w:lang w:val="en-US" w:eastAsia="zh-CN"/>
              </w:rPr>
            </w:pPr>
            <w:r>
              <w:rPr>
                <w:rFonts w:hint="default" w:ascii="Times New Roman" w:hAnsi="Times New Roman" w:eastAsia="宋体" w:cs="Times New Roman"/>
                <w:b w:val="0"/>
                <w:bCs w:val="0"/>
                <w:color w:val="auto"/>
                <w:spacing w:val="-1"/>
                <w:sz w:val="24"/>
                <w:szCs w:val="24"/>
                <w:u w:val="single" w:color="auto"/>
                <w:lang w:val="en-US" w:eastAsia="zh-CN"/>
              </w:rPr>
              <w:t>综上，本项目符合长沙临港产业开发区生态环境准入符合性的要求。</w:t>
            </w:r>
          </w:p>
        </w:tc>
      </w:tr>
    </w:tbl>
    <w:p>
      <w:pPr>
        <w:spacing w:line="360" w:lineRule="auto"/>
        <w:outlineLvl w:val="9"/>
        <w:rPr>
          <w:rFonts w:ascii="Times New Roman" w:hAnsi="Times New Roman" w:eastAsia="黑体"/>
          <w:color w:val="FF0000"/>
          <w:sz w:val="30"/>
          <w:u w:val="none" w:color="auto"/>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7"/>
        <w:jc w:val="center"/>
        <w:outlineLvl w:val="0"/>
        <w:rPr>
          <w:rFonts w:ascii="Times New Roman" w:hAnsi="Times New Roman" w:eastAsia="黑体"/>
          <w:snapToGrid w:val="0"/>
          <w:color w:val="auto"/>
          <w:sz w:val="30"/>
          <w:szCs w:val="30"/>
          <w:u w:val="none" w:color="auto"/>
        </w:rPr>
      </w:pPr>
      <w:bookmarkStart w:id="12" w:name="_Toc26356"/>
      <w:bookmarkStart w:id="13" w:name="_Toc18913"/>
      <w:r>
        <w:rPr>
          <w:rFonts w:ascii="Times New Roman" w:hAnsi="Times New Roman" w:eastAsia="黑体"/>
          <w:snapToGrid w:val="0"/>
          <w:color w:val="auto"/>
          <w:sz w:val="30"/>
          <w:szCs w:val="30"/>
          <w:u w:val="none" w:color="auto"/>
        </w:rPr>
        <w:t>二、建设内容</w:t>
      </w:r>
      <w:bookmarkEnd w:id="12"/>
      <w:bookmarkEnd w:id="13"/>
    </w:p>
    <w:tbl>
      <w:tblPr>
        <w:tblStyle w:val="30"/>
        <w:tblW w:w="88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75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19" w:type="dxa"/>
            <w:vAlign w:val="center"/>
          </w:tcPr>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地理位置</w:t>
            </w:r>
          </w:p>
        </w:tc>
        <w:tc>
          <w:tcPr>
            <w:tcW w:w="7580" w:type="dxa"/>
            <w:vAlign w:val="center"/>
          </w:tcPr>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Calibri"/>
                <w:color w:val="FF0000"/>
                <w:kern w:val="0"/>
                <w:sz w:val="24"/>
                <w:szCs w:val="24"/>
                <w:u w:val="none" w:color="auto"/>
              </w:rPr>
            </w:pPr>
            <w:r>
              <w:rPr>
                <w:rFonts w:hint="default" w:ascii="Times New Roman" w:hAnsi="Times New Roman" w:eastAsia="宋体" w:cs="Times New Roman"/>
                <w:color w:val="auto"/>
                <w:sz w:val="24"/>
                <w:szCs w:val="24"/>
                <w:u w:val="none" w:color="auto"/>
              </w:rPr>
              <w:t>项目位于湖南省岳阳市湘阴县金龙镇，芙蓉北路西侧，万福路南侧（中心经度：</w:t>
            </w:r>
            <w:r>
              <w:rPr>
                <w:rFonts w:hint="eastAsia" w:ascii="Times New Roman" w:hAnsi="Times New Roman" w:cs="Times New Roman"/>
                <w:color w:val="auto"/>
                <w:sz w:val="24"/>
                <w:szCs w:val="24"/>
                <w:u w:val="none" w:color="auto"/>
                <w:lang w:val="en-US" w:eastAsia="zh-CN"/>
              </w:rPr>
              <w:t>112</w:t>
            </w:r>
            <w:r>
              <w:rPr>
                <w:rFonts w:hint="default" w:ascii="Times New Roman" w:hAnsi="Times New Roman" w:eastAsia="宋体" w:cs="Times New Roman"/>
                <w:color w:val="auto"/>
                <w:sz w:val="24"/>
                <w:szCs w:val="24"/>
                <w:u w:val="none" w:color="auto"/>
              </w:rPr>
              <w:t>度55分</w:t>
            </w:r>
            <w:r>
              <w:rPr>
                <w:rFonts w:hint="eastAsia" w:ascii="Times New Roman" w:hAnsi="Times New Roman" w:cs="Times New Roman"/>
                <w:color w:val="auto"/>
                <w:sz w:val="24"/>
                <w:szCs w:val="24"/>
                <w:u w:val="none" w:color="auto"/>
                <w:lang w:val="en-US" w:eastAsia="zh-CN"/>
              </w:rPr>
              <w:t>46.87043</w:t>
            </w:r>
            <w:r>
              <w:rPr>
                <w:rFonts w:hint="default" w:ascii="Times New Roman" w:hAnsi="Times New Roman" w:eastAsia="宋体" w:cs="Times New Roman"/>
                <w:color w:val="auto"/>
                <w:sz w:val="24"/>
                <w:szCs w:val="24"/>
                <w:u w:val="none" w:color="auto"/>
              </w:rPr>
              <w:t>秒，中心纬度：28度32分</w:t>
            </w:r>
            <w:r>
              <w:rPr>
                <w:rFonts w:hint="eastAsia" w:ascii="Times New Roman" w:hAnsi="Times New Roman" w:cs="Times New Roman"/>
                <w:color w:val="auto"/>
                <w:sz w:val="24"/>
                <w:szCs w:val="24"/>
                <w:u w:val="none" w:color="auto"/>
                <w:lang w:val="en-US" w:eastAsia="zh-CN"/>
              </w:rPr>
              <w:t>45.78993</w:t>
            </w:r>
            <w:r>
              <w:rPr>
                <w:rFonts w:hint="default" w:ascii="Times New Roman" w:hAnsi="Times New Roman" w:eastAsia="宋体" w:cs="Times New Roman"/>
                <w:color w:val="auto"/>
                <w:sz w:val="24"/>
                <w:szCs w:val="24"/>
                <w:u w:val="none" w:color="auto"/>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Align w:val="center"/>
          </w:tcPr>
          <w:p>
            <w:pPr>
              <w:autoSpaceDE w:val="0"/>
              <w:autoSpaceDN w:val="0"/>
              <w:adjustRightInd w:val="0"/>
              <w:snapToGrid w:val="0"/>
              <w:ind w:left="63" w:leftChars="30" w:right="63" w:rightChars="3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项目组成及规模</w:t>
            </w:r>
          </w:p>
        </w:tc>
        <w:tc>
          <w:tcPr>
            <w:tcW w:w="7580" w:type="dxa"/>
            <w:vAlign w:val="center"/>
          </w:tcPr>
          <w:p>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bCs w:val="0"/>
                <w:color w:val="auto"/>
                <w:sz w:val="24"/>
                <w:szCs w:val="24"/>
                <w:u w:val="none" w:color="auto"/>
              </w:rPr>
            </w:pPr>
            <w:r>
              <w:rPr>
                <w:rFonts w:hint="eastAsia" w:ascii="Times New Roman" w:hAnsi="Times New Roman" w:eastAsia="宋体" w:cs="Times New Roman"/>
                <w:b/>
                <w:bCs w:val="0"/>
                <w:color w:val="auto"/>
                <w:sz w:val="24"/>
                <w:szCs w:val="24"/>
                <w:u w:val="none" w:color="auto"/>
                <w:lang w:val="en-US" w:eastAsia="zh-CN"/>
              </w:rPr>
              <w:t>1、</w:t>
            </w:r>
            <w:r>
              <w:rPr>
                <w:rFonts w:hint="default" w:ascii="Times New Roman" w:hAnsi="Times New Roman" w:eastAsia="宋体" w:cs="Times New Roman"/>
                <w:b/>
                <w:bCs w:val="0"/>
                <w:color w:val="auto"/>
                <w:sz w:val="24"/>
                <w:szCs w:val="24"/>
                <w:u w:val="none" w:color="auto"/>
              </w:rPr>
              <w:t>项目由来</w:t>
            </w:r>
          </w:p>
          <w:p>
            <w:pPr>
              <w:spacing w:line="360" w:lineRule="auto"/>
              <w:ind w:firstLine="480" w:firstLineChars="200"/>
              <w:jc w:val="both"/>
              <w:rPr>
                <w:rFonts w:hint="default" w:ascii="Times New Roman" w:hAnsi="Times New Roman" w:cs="Times New Roman"/>
                <w:color w:val="auto"/>
                <w:kern w:val="0"/>
                <w:sz w:val="24"/>
                <w:u w:val="none" w:color="auto"/>
                <w:lang w:val="en-US" w:eastAsia="zh-CN"/>
              </w:rPr>
            </w:pPr>
            <w:r>
              <w:rPr>
                <w:rFonts w:hint="default" w:ascii="Times New Roman" w:hAnsi="Times New Roman" w:cs="Times New Roman"/>
                <w:color w:val="auto"/>
                <w:kern w:val="0"/>
                <w:sz w:val="24"/>
                <w:u w:val="none" w:color="auto"/>
                <w:lang w:val="en-US" w:eastAsia="zh-CN"/>
              </w:rPr>
              <w:t>随着经济高速发展，各种先进设备、装备的需求量增加，为了满足市场需求，湘阴梅溪湖开发建设有限公司</w:t>
            </w:r>
            <w:r>
              <w:rPr>
                <w:rFonts w:hint="eastAsia" w:ascii="Times New Roman" w:hAnsi="Times New Roman" w:cs="Times New Roman"/>
                <w:color w:val="auto"/>
                <w:kern w:val="0"/>
                <w:sz w:val="24"/>
                <w:u w:val="none" w:color="auto"/>
                <w:lang w:val="en-US" w:eastAsia="zh-CN"/>
              </w:rPr>
              <w:t>于2024年6月</w:t>
            </w:r>
            <w:r>
              <w:rPr>
                <w:rFonts w:hint="default" w:ascii="Times New Roman" w:hAnsi="Times New Roman" w:cs="Times New Roman"/>
                <w:color w:val="auto"/>
                <w:kern w:val="0"/>
                <w:sz w:val="24"/>
                <w:u w:val="none" w:color="auto"/>
                <w:lang w:val="en-US" w:eastAsia="zh-CN"/>
              </w:rPr>
              <w:t>在湖南省岳阳市湘阴县金龙镇芙蓉北路</w:t>
            </w:r>
            <w:r>
              <w:rPr>
                <w:rFonts w:hint="eastAsia" w:ascii="Times New Roman" w:hAnsi="Times New Roman" w:cs="Times New Roman"/>
                <w:color w:val="auto"/>
                <w:kern w:val="0"/>
                <w:sz w:val="24"/>
                <w:u w:val="none" w:color="auto"/>
                <w:lang w:val="en-US" w:eastAsia="zh-CN"/>
              </w:rPr>
              <w:t>西侧</w:t>
            </w:r>
            <w:r>
              <w:rPr>
                <w:rFonts w:hint="default" w:ascii="Times New Roman" w:hAnsi="Times New Roman" w:cs="Times New Roman"/>
                <w:color w:val="auto"/>
                <w:kern w:val="0"/>
                <w:sz w:val="24"/>
                <w:u w:val="none" w:color="auto"/>
                <w:lang w:val="en-US" w:eastAsia="zh-CN"/>
              </w:rPr>
              <w:t>建设湘阴县金龙先导区智能制造产业园标准化厂房建设项目。</w:t>
            </w:r>
            <w:r>
              <w:rPr>
                <w:rFonts w:hint="eastAsia" w:ascii="Times New Roman" w:hAnsi="Times New Roman" w:cs="Times New Roman"/>
                <w:color w:val="auto"/>
                <w:kern w:val="0"/>
                <w:sz w:val="24"/>
                <w:u w:val="none" w:color="auto"/>
                <w:lang w:val="en-US" w:eastAsia="zh-CN"/>
              </w:rPr>
              <w:t>一期</w:t>
            </w:r>
            <w:r>
              <w:rPr>
                <w:rFonts w:hint="default" w:ascii="Times New Roman" w:hAnsi="Times New Roman" w:cs="Times New Roman"/>
                <w:color w:val="auto"/>
                <w:kern w:val="0"/>
                <w:sz w:val="24"/>
                <w:u w:val="none" w:color="auto"/>
                <w:lang w:val="en-US" w:eastAsia="zh-CN"/>
              </w:rPr>
              <w:t>主要建设内容有标准厂房11栋，1栋设备用房（8#栋1F），2栋配套宿舍（13#栋6F、14#栋7F，其中13#栋一楼二楼为食堂），1 栋生活垃圾站（1F）、门卫室（2个，1F）。</w:t>
            </w:r>
            <w:r>
              <w:rPr>
                <w:rFonts w:hint="eastAsia" w:ascii="Times New Roman" w:hAnsi="Times New Roman" w:cs="Times New Roman"/>
                <w:color w:val="auto"/>
                <w:kern w:val="0"/>
                <w:sz w:val="24"/>
                <w:u w:val="none" w:color="auto"/>
                <w:lang w:val="en-US" w:eastAsia="zh-CN"/>
              </w:rPr>
              <w:t>本项目一期正建设中，未完工。</w:t>
            </w:r>
          </w:p>
          <w:p>
            <w:pPr>
              <w:spacing w:line="360" w:lineRule="auto"/>
              <w:ind w:firstLine="480" w:firstLineChars="200"/>
              <w:jc w:val="both"/>
              <w:rPr>
                <w:rFonts w:hint="default" w:ascii="Times New Roman" w:hAnsi="Times New Roman" w:cs="Times New Roman"/>
                <w:color w:val="auto"/>
                <w:kern w:val="0"/>
                <w:sz w:val="24"/>
                <w:u w:val="none" w:color="auto"/>
                <w:lang w:val="en-US" w:eastAsia="zh-CN"/>
              </w:rPr>
            </w:pPr>
            <w:r>
              <w:rPr>
                <w:rFonts w:hint="default" w:ascii="Times New Roman" w:hAnsi="Times New Roman" w:cs="Times New Roman"/>
                <w:color w:val="auto"/>
                <w:kern w:val="0"/>
                <w:sz w:val="24"/>
                <w:u w:val="none" w:color="auto"/>
                <w:lang w:val="en-US" w:eastAsia="zh-CN"/>
              </w:rPr>
              <w:t>湘阴梅溪湖开发建设有限公司拟在湖南省岳阳市湘阴县金龙镇，芙蓉北路西侧，万福路南侧区域建设湘阴金龙智能制造产业园</w:t>
            </w:r>
            <w:r>
              <w:rPr>
                <w:rFonts w:hint="eastAsia" w:ascii="Times New Roman" w:hAnsi="Times New Roman" w:cs="Times New Roman"/>
                <w:color w:val="auto"/>
                <w:kern w:val="0"/>
                <w:sz w:val="24"/>
                <w:u w:val="none" w:color="auto"/>
                <w:lang w:val="en-US" w:eastAsia="zh-CN"/>
              </w:rPr>
              <w:t>（二期）项目</w:t>
            </w:r>
            <w:r>
              <w:rPr>
                <w:rFonts w:hint="default" w:ascii="Times New Roman" w:hAnsi="Times New Roman" w:cs="Times New Roman"/>
                <w:color w:val="auto"/>
                <w:kern w:val="0"/>
                <w:sz w:val="24"/>
                <w:u w:val="none" w:color="auto"/>
                <w:lang w:val="en-US" w:eastAsia="zh-CN"/>
              </w:rPr>
              <w:t>标准化厂房建设项目，</w:t>
            </w:r>
            <w:r>
              <w:rPr>
                <w:rFonts w:hint="eastAsia" w:ascii="Times New Roman" w:hAnsi="Times New Roman" w:cs="Times New Roman"/>
                <w:color w:val="auto"/>
                <w:kern w:val="0"/>
                <w:sz w:val="24"/>
                <w:u w:val="none" w:color="auto"/>
                <w:lang w:val="en-US" w:eastAsia="zh-CN"/>
              </w:rPr>
              <w:t>项目主要包括7栋标准厂房，项目建成后园区主要定位为智能制造产业（新能源智能制造）以及电子信息产业（半导体下游通讯、计算器、汽车零部件、消费电子）。</w:t>
            </w:r>
          </w:p>
          <w:p>
            <w:pPr>
              <w:spacing w:line="360" w:lineRule="auto"/>
              <w:ind w:firstLine="480" w:firstLineChars="200"/>
              <w:jc w:val="both"/>
              <w:rPr>
                <w:rFonts w:hint="default" w:ascii="Times New Roman" w:hAnsi="Times New Roman" w:cs="Times New Roman"/>
                <w:color w:val="auto"/>
                <w:kern w:val="0"/>
                <w:sz w:val="24"/>
                <w:u w:val="none" w:color="auto"/>
                <w:lang w:val="en-US" w:eastAsia="zh-CN"/>
              </w:rPr>
            </w:pPr>
            <w:r>
              <w:rPr>
                <w:rFonts w:hint="default" w:ascii="Times New Roman" w:hAnsi="Times New Roman" w:cs="Times New Roman"/>
                <w:color w:val="auto"/>
                <w:kern w:val="0"/>
                <w:sz w:val="24"/>
                <w:u w:val="none" w:color="auto"/>
                <w:lang w:val="en-US" w:eastAsia="zh-CN"/>
              </w:rPr>
              <w:t>本项目的实施符合国家关于加快城市建设的精神，符合湘江新区和湘阴县产业经济发展和整体规划的要求，对于加快湘江新区湘阴新片区开发建设有着巨大的推动作用。项目的实施不仅大幅度改观了项目区面貌，提高了区域的成熟度，塑造出高品质的区域形象，引领了区域产业招商和落地，实现经济效益、社会效益和环境效益的统一。</w:t>
            </w:r>
          </w:p>
          <w:p>
            <w:pPr>
              <w:spacing w:line="360" w:lineRule="auto"/>
              <w:ind w:firstLine="480" w:firstLineChars="200"/>
              <w:jc w:val="both"/>
              <w:rPr>
                <w:rFonts w:hint="default" w:ascii="Times New Roman" w:hAnsi="Times New Roman" w:cs="Times New Roman"/>
                <w:color w:val="auto"/>
                <w:kern w:val="0"/>
                <w:sz w:val="24"/>
                <w:u w:val="none" w:color="auto"/>
                <w:lang w:val="en-US" w:eastAsia="zh-CN"/>
              </w:rPr>
            </w:pPr>
            <w:r>
              <w:rPr>
                <w:rFonts w:hint="default" w:ascii="Times New Roman" w:hAnsi="Times New Roman" w:cs="Times New Roman"/>
                <w:color w:val="auto"/>
                <w:kern w:val="0"/>
                <w:sz w:val="24"/>
                <w:u w:val="none" w:color="auto"/>
                <w:lang w:val="en-US" w:eastAsia="zh-CN"/>
              </w:rPr>
              <w:t>根据《中华人民共和国环境保护法》、《中华人民共和国环境影响评价法》和中华人民共和国国务院令第682号《建设项目环境保护管理条例》的有关规定要求，本项目应进行环境影响评价，根据《建设项目环境影响评价分类管理名录（2021年）》“四十四、房地产业97、房地产开发、商业综合体、宾馆、酒店、办公用房、标准厂房等；涉及环境敏感区的需编制环境影响报告表”，环境敏感区域是指以居住、医疗卫生、文化教育、可研、行政办公功能的区域，以及文物保护单位。本项目为标准厂房建设项目，项目建设地处于</w:t>
            </w:r>
            <w:r>
              <w:rPr>
                <w:rFonts w:hint="eastAsia" w:ascii="Times New Roman" w:hAnsi="Times New Roman" w:eastAsia="宋体" w:cs="Times New Roman"/>
                <w:color w:val="auto"/>
                <w:sz w:val="24"/>
                <w:szCs w:val="24"/>
                <w:u w:val="none" w:color="auto"/>
                <w:lang w:eastAsia="zh-CN"/>
              </w:rPr>
              <w:t>湖南省岳阳市湘阴县金龙镇</w:t>
            </w:r>
            <w:r>
              <w:rPr>
                <w:rFonts w:hint="eastAsia" w:ascii="Times New Roman" w:hAnsi="Times New Roman"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芙蓉北路西侧</w:t>
            </w:r>
            <w:r>
              <w:rPr>
                <w:rFonts w:hint="eastAsia" w:ascii="Times New Roman" w:hAnsi="Times New Roman"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万福路南侧</w:t>
            </w:r>
            <w:r>
              <w:rPr>
                <w:rFonts w:hint="default" w:ascii="Times New Roman" w:hAnsi="Times New Roman" w:cs="Times New Roman"/>
                <w:color w:val="auto"/>
                <w:kern w:val="0"/>
                <w:sz w:val="24"/>
                <w:u w:val="none" w:color="auto"/>
                <w:lang w:val="en-US" w:eastAsia="zh-CN"/>
              </w:rPr>
              <w:t>，根据施工期影响分析可知，废气环境影响范围为100m，根据现场勘查，项目100m范围内有金龙</w:t>
            </w:r>
            <w:r>
              <w:rPr>
                <w:rFonts w:hint="eastAsia" w:ascii="Times New Roman" w:hAnsi="Times New Roman" w:cs="Times New Roman"/>
                <w:color w:val="auto"/>
                <w:kern w:val="0"/>
                <w:sz w:val="24"/>
                <w:u w:val="none" w:color="auto"/>
                <w:lang w:val="en-US" w:eastAsia="zh-CN"/>
              </w:rPr>
              <w:t>雅苑</w:t>
            </w:r>
            <w:r>
              <w:rPr>
                <w:rFonts w:hint="default" w:ascii="Times New Roman" w:hAnsi="Times New Roman" w:cs="Times New Roman"/>
                <w:color w:val="auto"/>
                <w:kern w:val="0"/>
                <w:sz w:val="24"/>
                <w:u w:val="none" w:color="auto"/>
                <w:lang w:val="en-US" w:eastAsia="zh-CN"/>
              </w:rPr>
              <w:t>小区，本项目500m范围内有金龙</w:t>
            </w:r>
            <w:r>
              <w:rPr>
                <w:rFonts w:hint="eastAsia" w:ascii="Times New Roman" w:hAnsi="Times New Roman" w:cs="Times New Roman"/>
                <w:color w:val="auto"/>
                <w:kern w:val="0"/>
                <w:sz w:val="24"/>
                <w:u w:val="none" w:color="auto"/>
                <w:lang w:val="en-US" w:eastAsia="zh-CN"/>
              </w:rPr>
              <w:t>雅苑</w:t>
            </w:r>
            <w:r>
              <w:rPr>
                <w:rFonts w:hint="default" w:ascii="Times New Roman" w:hAnsi="Times New Roman" w:cs="Times New Roman"/>
                <w:color w:val="auto"/>
                <w:kern w:val="0"/>
                <w:sz w:val="24"/>
                <w:u w:val="none" w:color="auto"/>
                <w:lang w:val="en-US" w:eastAsia="zh-CN"/>
              </w:rPr>
              <w:t>小区、</w:t>
            </w:r>
            <w:r>
              <w:rPr>
                <w:rFonts w:hint="eastAsia" w:ascii="Times New Roman" w:hAnsi="Times New Roman" w:cs="Times New Roman"/>
                <w:color w:val="auto"/>
                <w:kern w:val="0"/>
                <w:sz w:val="24"/>
                <w:u w:val="none" w:color="auto"/>
                <w:lang w:val="en-US" w:eastAsia="zh-CN"/>
              </w:rPr>
              <w:t>易家里</w:t>
            </w:r>
            <w:r>
              <w:rPr>
                <w:rFonts w:hint="default" w:ascii="Times New Roman" w:hAnsi="Times New Roman" w:cs="Times New Roman"/>
                <w:color w:val="auto"/>
                <w:kern w:val="0"/>
                <w:sz w:val="24"/>
                <w:u w:val="none" w:color="auto"/>
                <w:lang w:val="en-US" w:eastAsia="zh-CN"/>
              </w:rPr>
              <w:t>、</w:t>
            </w:r>
            <w:r>
              <w:rPr>
                <w:rFonts w:hint="eastAsia" w:ascii="Times New Roman" w:hAnsi="Times New Roman" w:cs="Times New Roman"/>
                <w:color w:val="auto"/>
                <w:kern w:val="0"/>
                <w:sz w:val="24"/>
                <w:u w:val="none" w:color="auto"/>
                <w:lang w:val="en-US" w:eastAsia="zh-CN"/>
              </w:rPr>
              <w:t>金凤村等</w:t>
            </w:r>
            <w:r>
              <w:rPr>
                <w:rFonts w:hint="default" w:ascii="Times New Roman" w:hAnsi="Times New Roman" w:cs="Times New Roman"/>
                <w:color w:val="auto"/>
                <w:kern w:val="0"/>
                <w:sz w:val="24"/>
                <w:u w:val="none" w:color="auto"/>
                <w:lang w:val="en-US" w:eastAsia="zh-CN"/>
              </w:rPr>
              <w:t>居民</w:t>
            </w:r>
            <w:r>
              <w:rPr>
                <w:rFonts w:hint="eastAsia" w:ascii="Times New Roman" w:hAnsi="Times New Roman" w:cs="Times New Roman"/>
                <w:color w:val="auto"/>
                <w:kern w:val="0"/>
                <w:sz w:val="24"/>
                <w:u w:val="none" w:color="auto"/>
                <w:lang w:val="en-US" w:eastAsia="zh-CN"/>
              </w:rPr>
              <w:t>点</w:t>
            </w:r>
            <w:r>
              <w:rPr>
                <w:rFonts w:hint="default" w:ascii="Times New Roman" w:hAnsi="Times New Roman" w:cs="Times New Roman"/>
                <w:color w:val="auto"/>
                <w:kern w:val="0"/>
                <w:sz w:val="24"/>
                <w:u w:val="none" w:color="auto"/>
                <w:lang w:val="en-US" w:eastAsia="zh-CN"/>
              </w:rPr>
              <w:t>，本项目的建设影响范围涉及上述敏感区，故判定本项目涉及环境敏感区，需要编制环境影响报告表。受建设单位委托，湖南</w:t>
            </w:r>
            <w:r>
              <w:rPr>
                <w:rFonts w:hint="eastAsia" w:ascii="Times New Roman" w:hAnsi="Times New Roman" w:cs="Times New Roman"/>
                <w:color w:val="auto"/>
                <w:kern w:val="0"/>
                <w:sz w:val="24"/>
                <w:u w:val="none" w:color="auto"/>
                <w:lang w:val="en-US" w:eastAsia="zh-CN"/>
              </w:rPr>
              <w:t>润之源</w:t>
            </w:r>
            <w:r>
              <w:rPr>
                <w:rFonts w:hint="default" w:ascii="Times New Roman" w:hAnsi="Times New Roman" w:cs="Times New Roman"/>
                <w:color w:val="auto"/>
                <w:kern w:val="0"/>
                <w:sz w:val="24"/>
                <w:u w:val="none" w:color="auto"/>
                <w:lang w:val="en-US" w:eastAsia="zh-CN"/>
              </w:rPr>
              <w:t>环保科技有限</w:t>
            </w:r>
            <w:r>
              <w:rPr>
                <w:rFonts w:hint="eastAsia" w:ascii="Times New Roman" w:hAnsi="Times New Roman" w:cs="Times New Roman"/>
                <w:color w:val="auto"/>
                <w:kern w:val="0"/>
                <w:sz w:val="24"/>
                <w:u w:val="none" w:color="auto"/>
                <w:lang w:val="en-US" w:eastAsia="zh-CN"/>
              </w:rPr>
              <w:t>责任</w:t>
            </w:r>
            <w:r>
              <w:rPr>
                <w:rFonts w:hint="default" w:ascii="Times New Roman" w:hAnsi="Times New Roman" w:cs="Times New Roman"/>
                <w:color w:val="auto"/>
                <w:kern w:val="0"/>
                <w:sz w:val="24"/>
                <w:u w:val="none" w:color="auto"/>
                <w:lang w:val="en-US" w:eastAsia="zh-CN"/>
              </w:rPr>
              <w:t>公司承担了该项目的环境影响评价工作。接受委托后，经现场踏勘、收集相关资料后，编制完成了该项目环境影响报告表。</w:t>
            </w:r>
          </w:p>
          <w:p>
            <w:pPr>
              <w:pStyle w:val="2"/>
              <w:keepNext w:val="0"/>
              <w:keepLines w:val="0"/>
              <w:pageBreakBefore w:val="0"/>
              <w:widowControl/>
              <w:kinsoku/>
              <w:wordWrap/>
              <w:overflowPunct/>
              <w:topLinePunct w:val="0"/>
              <w:autoSpaceDE/>
              <w:autoSpaceDN/>
              <w:bidi w:val="0"/>
              <w:adjustRightInd/>
              <w:snapToGrid w:val="0"/>
              <w:spacing w:line="360" w:lineRule="auto"/>
              <w:ind w:right="113" w:firstLine="480" w:firstLineChars="200"/>
              <w:textAlignment w:val="auto"/>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bidi="ar-SA"/>
              </w:rPr>
              <w:t>本次环评仅针对湘阴金龙智能制造产业园（二期）项目，不包括入驻企业。各入驻企业须在入驻前根据《建设项目环境影响评价分类管理名录》的要求另开展行环境影响评价工作。</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color w:val="auto"/>
                <w:kern w:val="0"/>
                <w:sz w:val="24"/>
                <w:szCs w:val="24"/>
                <w:u w:val="none" w:color="auto"/>
                <w:lang w:val="en-US" w:eastAsia="zh-CN"/>
              </w:rPr>
            </w:pPr>
            <w:r>
              <w:rPr>
                <w:rFonts w:hint="eastAsia" w:ascii="Times New Roman" w:hAnsi="Times New Roman" w:cs="Times New Roman"/>
                <w:b/>
                <w:bCs/>
                <w:color w:val="auto"/>
                <w:kern w:val="0"/>
                <w:sz w:val="24"/>
                <w:szCs w:val="24"/>
                <w:u w:val="none" w:color="auto"/>
                <w:lang w:val="en-US" w:eastAsia="zh-CN"/>
              </w:rPr>
              <w:t>建设项目概况</w:t>
            </w:r>
          </w:p>
          <w:p>
            <w:pPr>
              <w:pStyle w:val="71"/>
              <w:keepNext w:val="0"/>
              <w:keepLines w:val="0"/>
              <w:pageBreakBefore w:val="0"/>
              <w:numPr>
                <w:ilvl w:val="0"/>
                <w:numId w:val="0"/>
              </w:numPr>
              <w:tabs>
                <w:tab w:val="left" w:pos="860"/>
              </w:tabs>
              <w:kinsoku/>
              <w:wordWrap/>
              <w:topLinePunct w:val="0"/>
              <w:bidi w:val="0"/>
              <w:spacing w:line="360" w:lineRule="auto"/>
              <w:jc w:val="both"/>
              <w:rPr>
                <w:rFonts w:hint="default" w:ascii="Times New Roman" w:hAnsi="Times New Roman" w:cs="Times New Roman"/>
                <w:b/>
                <w:color w:val="auto"/>
                <w:sz w:val="24"/>
                <w:szCs w:val="24"/>
                <w:u w:val="none" w:color="auto"/>
                <w:lang w:val="en-US" w:eastAsia="zh-CN"/>
              </w:rPr>
            </w:pPr>
            <w:r>
              <w:rPr>
                <w:rFonts w:hint="eastAsia" w:ascii="Times New Roman" w:hAnsi="Times New Roman" w:cs="Times New Roman"/>
                <w:b/>
                <w:color w:val="auto"/>
                <w:sz w:val="24"/>
                <w:szCs w:val="24"/>
                <w:u w:val="none" w:color="auto"/>
                <w:lang w:val="en-US" w:eastAsia="zh-CN"/>
              </w:rPr>
              <w:t>2</w:t>
            </w:r>
            <w:r>
              <w:rPr>
                <w:rFonts w:hint="default" w:ascii="Times New Roman" w:hAnsi="Times New Roman" w:cs="Times New Roman"/>
                <w:b/>
                <w:color w:val="auto"/>
                <w:sz w:val="24"/>
                <w:szCs w:val="24"/>
                <w:u w:val="none" w:color="auto"/>
                <w:lang w:val="en-US" w:eastAsia="zh-CN"/>
              </w:rPr>
              <w:t>.1</w:t>
            </w:r>
            <w:r>
              <w:rPr>
                <w:rFonts w:hint="eastAsia" w:ascii="Times New Roman" w:hAnsi="Times New Roman" w:cs="Times New Roman"/>
                <w:b/>
                <w:color w:val="auto"/>
                <w:sz w:val="24"/>
                <w:szCs w:val="24"/>
                <w:u w:val="none" w:color="auto"/>
                <w:lang w:val="en-US" w:eastAsia="zh-CN"/>
              </w:rPr>
              <w:t>、基本情况</w:t>
            </w:r>
          </w:p>
          <w:p>
            <w:pPr>
              <w:keepNext w:val="0"/>
              <w:keepLines w:val="0"/>
              <w:pageBreakBefore w:val="0"/>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项目名称：湘阴金龙智能制造产业园</w:t>
            </w:r>
            <w:r>
              <w:rPr>
                <w:rFonts w:hint="eastAsia" w:ascii="Times New Roman" w:hAnsi="Times New Roman" w:cs="Times New Roman"/>
                <w:color w:val="auto"/>
                <w:sz w:val="24"/>
                <w:szCs w:val="24"/>
                <w:u w:val="none" w:color="auto"/>
                <w:lang w:val="en-US" w:eastAsia="zh-CN"/>
              </w:rPr>
              <w:t>（二期）</w:t>
            </w:r>
            <w:r>
              <w:rPr>
                <w:rFonts w:hint="eastAsia" w:ascii="Times New Roman" w:hAnsi="Times New Roman" w:eastAsia="宋体" w:cs="Times New Roman"/>
                <w:color w:val="auto"/>
                <w:sz w:val="24"/>
                <w:szCs w:val="24"/>
                <w:u w:val="none" w:color="auto"/>
                <w:lang w:val="en-US" w:eastAsia="zh-CN"/>
              </w:rPr>
              <w:t xml:space="preserve">建设项目； </w:t>
            </w:r>
          </w:p>
          <w:p>
            <w:pPr>
              <w:keepNext w:val="0"/>
              <w:keepLines w:val="0"/>
              <w:pageBreakBefore w:val="0"/>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建设性质：</w:t>
            </w:r>
            <w:r>
              <w:rPr>
                <w:rFonts w:hint="eastAsia" w:ascii="Times New Roman" w:hAnsi="Times New Roman" w:cs="Times New Roman"/>
                <w:color w:val="auto"/>
                <w:sz w:val="24"/>
                <w:szCs w:val="24"/>
                <w:u w:val="none" w:color="auto"/>
                <w:lang w:val="en-US" w:eastAsia="zh-CN"/>
              </w:rPr>
              <w:t>扩</w:t>
            </w:r>
            <w:r>
              <w:rPr>
                <w:rFonts w:hint="eastAsia" w:ascii="Times New Roman" w:hAnsi="Times New Roman" w:eastAsia="宋体" w:cs="Times New Roman"/>
                <w:color w:val="auto"/>
                <w:sz w:val="24"/>
                <w:szCs w:val="24"/>
                <w:u w:val="none" w:color="auto"/>
                <w:lang w:val="en-US" w:eastAsia="zh-CN"/>
              </w:rPr>
              <w:t xml:space="preserve">建； </w:t>
            </w:r>
          </w:p>
          <w:p>
            <w:pPr>
              <w:keepNext w:val="0"/>
              <w:keepLines w:val="0"/>
              <w:pageBreakBefore w:val="0"/>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 xml:space="preserve">建设单位：湘阴梅溪湖开发建设有限公司； </w:t>
            </w:r>
          </w:p>
          <w:p>
            <w:pPr>
              <w:keepNext w:val="0"/>
              <w:keepLines w:val="0"/>
              <w:pageBreakBefore w:val="0"/>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项目投资：</w:t>
            </w:r>
            <w:r>
              <w:rPr>
                <w:rFonts w:hint="eastAsia" w:ascii="Times New Roman" w:hAnsi="Times New Roman" w:cs="Times New Roman"/>
                <w:color w:val="auto"/>
                <w:sz w:val="24"/>
                <w:szCs w:val="24"/>
                <w:u w:val="none" w:color="auto"/>
                <w:lang w:val="en-US" w:eastAsia="zh-CN"/>
              </w:rPr>
              <w:t>16117.71</w:t>
            </w:r>
            <w:r>
              <w:rPr>
                <w:rFonts w:hint="eastAsia" w:ascii="Times New Roman" w:hAnsi="Times New Roman" w:eastAsia="宋体" w:cs="Times New Roman"/>
                <w:color w:val="auto"/>
                <w:sz w:val="24"/>
                <w:szCs w:val="24"/>
                <w:u w:val="none" w:color="auto"/>
                <w:lang w:val="en-US" w:eastAsia="zh-CN"/>
              </w:rPr>
              <w:t xml:space="preserve">万元； </w:t>
            </w:r>
          </w:p>
          <w:p>
            <w:pPr>
              <w:keepNext w:val="0"/>
              <w:keepLines w:val="0"/>
              <w:pageBreakBefore w:val="0"/>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总占地面积：</w:t>
            </w:r>
            <w:r>
              <w:rPr>
                <w:rFonts w:hint="eastAsia" w:ascii="Times New Roman" w:hAnsi="Times New Roman" w:cs="Times New Roman"/>
                <w:color w:val="auto"/>
                <w:sz w:val="24"/>
                <w:szCs w:val="24"/>
                <w:u w:val="none" w:color="auto"/>
                <w:lang w:val="en-US" w:eastAsia="zh-CN"/>
              </w:rPr>
              <w:t>33438.99</w:t>
            </w:r>
            <w:r>
              <w:rPr>
                <w:rFonts w:hint="default" w:ascii="Times New Roman" w:hAnsi="Times New Roman" w:eastAsia="宋体" w:cs="Times New Roman"/>
                <w:color w:val="auto"/>
                <w:sz w:val="24"/>
                <w:szCs w:val="24"/>
                <w:u w:val="none" w:color="auto"/>
                <w:lang w:val="en-US" w:eastAsia="zh-CN"/>
              </w:rPr>
              <w:t>m</w:t>
            </w:r>
            <w:r>
              <w:rPr>
                <w:rFonts w:hint="default" w:ascii="Times New Roman" w:hAnsi="Times New Roman" w:eastAsia="宋体"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w:t>
            </w:r>
          </w:p>
          <w:p>
            <w:pPr>
              <w:keepNext w:val="0"/>
              <w:keepLines w:val="0"/>
              <w:widowControl/>
              <w:suppressLineNumbers w:val="0"/>
              <w:spacing w:line="360" w:lineRule="auto"/>
              <w:jc w:val="left"/>
            </w:pPr>
            <w:r>
              <w:rPr>
                <w:rFonts w:hint="default" w:ascii="Times New Roman" w:hAnsi="Times New Roman" w:eastAsia="宋体" w:cs="Times New Roman"/>
                <w:b/>
                <w:bCs/>
                <w:color w:val="000000"/>
                <w:kern w:val="0"/>
                <w:sz w:val="24"/>
                <w:szCs w:val="24"/>
                <w:lang w:val="en-US" w:eastAsia="zh-CN" w:bidi="ar"/>
              </w:rPr>
              <w:t>2.2</w:t>
            </w:r>
            <w:r>
              <w:rPr>
                <w:rFonts w:hint="eastAsia"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地理位置及周边关系</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项目位于湖南省岳阳市湘阴县金龙镇芙蓉北路，西侧北临万福路、东临芙蓉北路，西临金凤大道。</w:t>
            </w:r>
          </w:p>
          <w:p>
            <w:pPr>
              <w:keepNext w:val="0"/>
              <w:keepLines w:val="0"/>
              <w:widowControl/>
              <w:suppressLineNumbers w:val="0"/>
              <w:spacing w:line="360" w:lineRule="auto"/>
              <w:jc w:val="left"/>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建设内容及规模</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项目用地面积为33438.99m</w:t>
            </w:r>
            <w:r>
              <w:rPr>
                <w:rFonts w:hint="eastAsia" w:ascii="Times New Roman" w:hAnsi="Times New Roman"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(约50.16亩)，总建筑面积为2</w:t>
            </w:r>
            <w:r>
              <w:rPr>
                <w:rFonts w:hint="eastAsia" w:ascii="Times New Roman" w:hAnsi="Times New Roman" w:cs="Times New Roman"/>
                <w:color w:val="auto"/>
                <w:sz w:val="24"/>
                <w:szCs w:val="24"/>
                <w:u w:val="none" w:color="auto"/>
                <w:lang w:val="en-US" w:eastAsia="zh-CN"/>
              </w:rPr>
              <w:t>1103.54</w:t>
            </w:r>
            <w:r>
              <w:rPr>
                <w:rFonts w:hint="eastAsia" w:ascii="Times New Roman" w:hAnsi="Times New Roman" w:eastAsia="宋体" w:cs="Times New Roman"/>
                <w:color w:val="auto"/>
                <w:sz w:val="24"/>
                <w:szCs w:val="24"/>
                <w:u w:val="none" w:color="auto"/>
                <w:lang w:val="en-US" w:eastAsia="zh-CN"/>
              </w:rPr>
              <w:t>m</w:t>
            </w:r>
            <w:r>
              <w:rPr>
                <w:rFonts w:hint="eastAsia" w:ascii="Times New Roman" w:hAnsi="Times New Roman"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，计容面积为</w:t>
            </w:r>
            <w:r>
              <w:rPr>
                <w:rFonts w:hint="eastAsia" w:ascii="Times New Roman" w:hAnsi="Times New Roman" w:cs="Times New Roman"/>
                <w:color w:val="auto"/>
                <w:sz w:val="24"/>
                <w:szCs w:val="24"/>
                <w:u w:val="none" w:color="auto"/>
                <w:lang w:val="en-US" w:eastAsia="zh-CN"/>
              </w:rPr>
              <w:t>38926.18</w:t>
            </w:r>
            <w:r>
              <w:rPr>
                <w:rFonts w:hint="eastAsia" w:ascii="Times New Roman" w:hAnsi="Times New Roman" w:eastAsia="宋体" w:cs="Times New Roman"/>
                <w:color w:val="auto"/>
                <w:sz w:val="24"/>
                <w:szCs w:val="24"/>
                <w:u w:val="none" w:color="auto"/>
                <w:lang w:val="en-US" w:eastAsia="zh-CN"/>
              </w:rPr>
              <w:t>m</w:t>
            </w:r>
            <w:r>
              <w:rPr>
                <w:rFonts w:hint="eastAsia" w:ascii="Times New Roman" w:hAnsi="Times New Roman"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，建筑基底面积为</w:t>
            </w:r>
            <w:r>
              <w:rPr>
                <w:rFonts w:hint="eastAsia" w:ascii="Times New Roman" w:hAnsi="Times New Roman" w:cs="Times New Roman"/>
                <w:color w:val="auto"/>
                <w:sz w:val="24"/>
                <w:szCs w:val="24"/>
                <w:u w:val="none" w:color="auto"/>
                <w:lang w:val="en-US" w:eastAsia="zh-CN"/>
              </w:rPr>
              <w:t>17889.8</w:t>
            </w:r>
            <w:r>
              <w:rPr>
                <w:rFonts w:hint="eastAsia" w:ascii="Times New Roman" w:hAnsi="Times New Roman" w:eastAsia="宋体" w:cs="Times New Roman"/>
                <w:color w:val="auto"/>
                <w:sz w:val="24"/>
                <w:szCs w:val="24"/>
                <w:u w:val="none" w:color="auto"/>
                <w:lang w:val="en-US" w:eastAsia="zh-CN"/>
              </w:rPr>
              <w:t>m</w:t>
            </w:r>
            <w:r>
              <w:rPr>
                <w:rFonts w:hint="eastAsia" w:ascii="Times New Roman" w:hAnsi="Times New Roman"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，绿地面积1</w:t>
            </w:r>
            <w:r>
              <w:rPr>
                <w:rFonts w:hint="eastAsia" w:ascii="Times New Roman" w:hAnsi="Times New Roman" w:cs="Times New Roman"/>
                <w:color w:val="auto"/>
                <w:sz w:val="24"/>
                <w:szCs w:val="24"/>
                <w:u w:val="none" w:color="auto"/>
                <w:lang w:val="en-US" w:eastAsia="zh-CN"/>
              </w:rPr>
              <w:t>748.1</w:t>
            </w:r>
            <w:r>
              <w:rPr>
                <w:rFonts w:hint="eastAsia" w:ascii="Times New Roman" w:hAnsi="Times New Roman" w:eastAsia="宋体" w:cs="Times New Roman"/>
                <w:color w:val="auto"/>
                <w:sz w:val="24"/>
                <w:szCs w:val="24"/>
                <w:u w:val="none" w:color="auto"/>
                <w:lang w:val="en-US" w:eastAsia="zh-CN"/>
              </w:rPr>
              <w:t>m，容积率为1.</w:t>
            </w:r>
            <w:r>
              <w:rPr>
                <w:rFonts w:hint="eastAsia" w:ascii="Times New Roman" w:hAnsi="Times New Roman" w:cs="Times New Roman"/>
                <w:color w:val="auto"/>
                <w:sz w:val="24"/>
                <w:szCs w:val="24"/>
                <w:u w:val="none" w:color="auto"/>
                <w:lang w:val="en-US" w:eastAsia="zh-CN"/>
              </w:rPr>
              <w:t>164</w:t>
            </w:r>
            <w:r>
              <w:rPr>
                <w:rFonts w:hint="eastAsia" w:ascii="Times New Roman" w:hAnsi="Times New Roman" w:eastAsia="宋体" w:cs="Times New Roman"/>
                <w:color w:val="auto"/>
                <w:sz w:val="24"/>
                <w:szCs w:val="24"/>
                <w:u w:val="none" w:color="auto"/>
                <w:lang w:val="en-US" w:eastAsia="zh-CN"/>
              </w:rPr>
              <w:t>，建筑密度5</w:t>
            </w:r>
            <w:r>
              <w:rPr>
                <w:rFonts w:hint="eastAsia" w:ascii="Times New Roman" w:hAnsi="Times New Roman" w:cs="Times New Roman"/>
                <w:color w:val="auto"/>
                <w:sz w:val="24"/>
                <w:szCs w:val="24"/>
                <w:u w:val="none" w:color="auto"/>
                <w:lang w:val="en-US" w:eastAsia="zh-CN"/>
              </w:rPr>
              <w:t>3.3</w:t>
            </w:r>
            <w:r>
              <w:rPr>
                <w:rFonts w:hint="eastAsia" w:ascii="Times New Roman" w:hAnsi="Times New Roman" w:eastAsia="宋体" w:cs="Times New Roman"/>
                <w:color w:val="auto"/>
                <w:sz w:val="24"/>
                <w:szCs w:val="24"/>
                <w:u w:val="none" w:color="auto"/>
                <w:lang w:val="en-US" w:eastAsia="zh-CN"/>
              </w:rPr>
              <w:t>%，绿地率5.</w:t>
            </w:r>
            <w:r>
              <w:rPr>
                <w:rFonts w:hint="eastAsia" w:ascii="Times New Roman" w:hAnsi="Times New Roman" w:cs="Times New Roman"/>
                <w:color w:val="auto"/>
                <w:sz w:val="24"/>
                <w:szCs w:val="24"/>
                <w:u w:val="none" w:color="auto"/>
                <w:lang w:val="en-US" w:eastAsia="zh-CN"/>
              </w:rPr>
              <w:t>23</w:t>
            </w:r>
            <w:r>
              <w:rPr>
                <w:rFonts w:hint="eastAsia" w:ascii="Times New Roman" w:hAnsi="Times New Roman" w:eastAsia="宋体" w:cs="Times New Roman"/>
                <w:color w:val="auto"/>
                <w:sz w:val="24"/>
                <w:szCs w:val="24"/>
                <w:u w:val="none" w:color="auto"/>
                <w:lang w:val="en-US" w:eastAsia="zh-CN"/>
              </w:rPr>
              <w:t>%，停车位73个(充电位22个、货车车位8个</w:t>
            </w:r>
            <w:r>
              <w:rPr>
                <w:rFonts w:hint="eastAsia" w:ascii="Times New Roman" w:hAnsi="Times New Roman" w:cs="Times New Roman"/>
                <w:color w:val="auto"/>
                <w:sz w:val="24"/>
                <w:szCs w:val="24"/>
                <w:u w:val="none" w:color="auto"/>
                <w:lang w:val="en-US" w:eastAsia="zh-CN"/>
              </w:rPr>
              <w:t>、普通停车位43个</w:t>
            </w:r>
            <w:r>
              <w:rPr>
                <w:rFonts w:hint="eastAsia" w:ascii="Times New Roman" w:hAnsi="Times New Roman" w:eastAsia="宋体" w:cs="Times New Roman"/>
                <w:color w:val="auto"/>
                <w:sz w:val="24"/>
                <w:szCs w:val="24"/>
                <w:u w:val="none" w:color="auto"/>
                <w:lang w:val="en-US" w:eastAsia="zh-CN"/>
              </w:rPr>
              <w:t>)。主要包括</w:t>
            </w:r>
            <w:r>
              <w:rPr>
                <w:rFonts w:hint="eastAsia" w:ascii="Times New Roman" w:hAnsi="Times New Roman" w:cs="Times New Roman"/>
                <w:color w:val="auto"/>
                <w:sz w:val="24"/>
                <w:szCs w:val="24"/>
                <w:u w:val="none" w:color="auto"/>
                <w:lang w:val="en-US" w:eastAsia="zh-CN"/>
              </w:rPr>
              <w:t>7栋标准厂房。</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s="Times New Roman"/>
                <w:bCs/>
                <w:color w:val="auto"/>
                <w:sz w:val="24"/>
                <w:u w:val="none" w:color="auto"/>
                <w:lang w:eastAsia="zh-CN"/>
              </w:rPr>
            </w:pPr>
            <w:r>
              <w:rPr>
                <w:rFonts w:hint="eastAsia" w:ascii="Times New Roman" w:hAnsi="Times New Roman" w:cs="Times New Roman"/>
                <w:color w:val="auto"/>
                <w:sz w:val="24"/>
                <w:szCs w:val="24"/>
                <w:u w:val="none" w:color="auto"/>
                <w:lang w:val="en-US" w:eastAsia="zh-CN"/>
              </w:rPr>
              <w:t>项目主要建设内容详见下表2-1。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color w:val="auto"/>
                <w:sz w:val="21"/>
                <w:szCs w:val="21"/>
                <w:u w:val="none" w:color="auto"/>
                <w:vertAlign w:val="baseline"/>
              </w:rPr>
            </w:pPr>
            <w:r>
              <w:rPr>
                <w:rFonts w:ascii="Times New Roman" w:hAnsi="Times New Roman"/>
                <w:b/>
                <w:color w:val="auto"/>
                <w:sz w:val="21"/>
                <w:szCs w:val="21"/>
                <w:u w:val="none" w:color="auto"/>
              </w:rPr>
              <w:t>表2-1</w:t>
            </w:r>
            <w:r>
              <w:rPr>
                <w:rFonts w:hint="eastAsia" w:ascii="Times New Roman" w:hAnsi="Times New Roman"/>
                <w:b/>
                <w:color w:val="auto"/>
                <w:sz w:val="21"/>
                <w:szCs w:val="21"/>
                <w:u w:val="none" w:color="auto"/>
                <w:lang w:val="en-US" w:eastAsia="zh-CN"/>
              </w:rPr>
              <w:t xml:space="preserve">  </w:t>
            </w:r>
            <w:r>
              <w:rPr>
                <w:rFonts w:hint="eastAsia" w:ascii="Times New Roman" w:hAnsi="Times New Roman"/>
                <w:b/>
                <w:color w:val="auto"/>
                <w:sz w:val="21"/>
                <w:szCs w:val="21"/>
                <w:u w:val="none" w:color="auto"/>
              </w:rPr>
              <w:t>主要建设内容一览表</w:t>
            </w:r>
          </w:p>
          <w:tbl>
            <w:tblPr>
              <w:tblStyle w:val="31"/>
              <w:tblW w:w="73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837"/>
              <w:gridCol w:w="5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Align w:val="center"/>
                </w:tcPr>
                <w:p>
                  <w:pPr>
                    <w:adjustRightInd w:val="0"/>
                    <w:snapToGrid w:val="0"/>
                    <w:jc w:val="center"/>
                    <w:rPr>
                      <w:rFonts w:ascii="Times New Roman" w:hAnsi="Times New Roman"/>
                      <w:b/>
                      <w:color w:val="auto"/>
                      <w:sz w:val="21"/>
                      <w:szCs w:val="21"/>
                      <w:u w:val="none" w:color="auto"/>
                      <w:vertAlign w:val="baseline"/>
                    </w:rPr>
                  </w:pPr>
                  <w:r>
                    <w:rPr>
                      <w:rFonts w:hint="eastAsia" w:ascii="Times New Roman" w:hAnsi="Times New Roman"/>
                      <w:b w:val="0"/>
                      <w:bCs/>
                      <w:color w:val="auto"/>
                      <w:sz w:val="21"/>
                      <w:szCs w:val="21"/>
                      <w:u w:val="none" w:color="auto"/>
                      <w:lang w:val="en-US" w:eastAsia="zh-CN"/>
                    </w:rPr>
                    <w:t>类别</w:t>
                  </w:r>
                </w:p>
              </w:tc>
              <w:tc>
                <w:tcPr>
                  <w:tcW w:w="837" w:type="dxa"/>
                  <w:vAlign w:val="center"/>
                </w:tcPr>
                <w:p>
                  <w:pPr>
                    <w:adjustRightInd w:val="0"/>
                    <w:snapToGrid w:val="0"/>
                    <w:jc w:val="center"/>
                    <w:rPr>
                      <w:rFonts w:ascii="Times New Roman" w:hAnsi="Times New Roman"/>
                      <w:b/>
                      <w:color w:val="auto"/>
                      <w:sz w:val="21"/>
                      <w:szCs w:val="21"/>
                      <w:u w:val="none" w:color="auto"/>
                      <w:vertAlign w:val="baseline"/>
                    </w:rPr>
                  </w:pPr>
                  <w:r>
                    <w:rPr>
                      <w:rFonts w:hint="eastAsia" w:ascii="Times New Roman" w:hAnsi="Times New Roman"/>
                      <w:b w:val="0"/>
                      <w:bCs/>
                      <w:color w:val="auto"/>
                      <w:sz w:val="21"/>
                      <w:szCs w:val="21"/>
                      <w:u w:val="none" w:color="auto"/>
                      <w:lang w:val="en-US" w:eastAsia="zh-CN"/>
                    </w:rPr>
                    <w:t>项目</w:t>
                  </w:r>
                </w:p>
              </w:tc>
              <w:tc>
                <w:tcPr>
                  <w:tcW w:w="5198" w:type="dxa"/>
                  <w:vAlign w:val="center"/>
                </w:tcPr>
                <w:p>
                  <w:pPr>
                    <w:adjustRightInd w:val="0"/>
                    <w:snapToGrid w:val="0"/>
                    <w:jc w:val="center"/>
                    <w:rPr>
                      <w:rFonts w:ascii="Times New Roman" w:hAnsi="Times New Roman"/>
                      <w:b/>
                      <w:color w:val="auto"/>
                      <w:sz w:val="21"/>
                      <w:szCs w:val="21"/>
                      <w:u w:val="none" w:color="auto"/>
                      <w:vertAlign w:val="baseline"/>
                    </w:rPr>
                  </w:pPr>
                  <w:r>
                    <w:rPr>
                      <w:rFonts w:hint="eastAsia" w:ascii="Times New Roman" w:hAnsi="Times New Roman"/>
                      <w:b w:val="0"/>
                      <w:bCs/>
                      <w:color w:val="auto"/>
                      <w:sz w:val="21"/>
                      <w:szCs w:val="21"/>
                      <w:u w:val="none" w:color="auto"/>
                      <w:lang w:val="en-US"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主体工程</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厂房</w:t>
                  </w:r>
                </w:p>
              </w:tc>
              <w:tc>
                <w:tcPr>
                  <w:tcW w:w="5198" w:type="dxa"/>
                </w:tcPr>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Times New Roman"/>
                      <w:color w:val="000000"/>
                      <w:kern w:val="0"/>
                      <w:sz w:val="21"/>
                      <w:szCs w:val="21"/>
                      <w:lang w:val="en-US" w:eastAsia="zh-CN" w:bidi="ar"/>
                    </w:rPr>
                    <w:t>5</w:t>
                  </w:r>
                  <w:r>
                    <w:rPr>
                      <w:rFonts w:hint="default" w:ascii="Times New Roman" w:hAnsi="Times New Roman" w:eastAsia="宋体" w:cs="Times New Roman"/>
                      <w:color w:val="000000"/>
                      <w:kern w:val="0"/>
                      <w:sz w:val="21"/>
                      <w:szCs w:val="21"/>
                      <w:lang w:val="en-US" w:eastAsia="zh-CN" w:bidi="ar"/>
                    </w:rPr>
                    <w:t>#厂房：1F，单</w:t>
                  </w:r>
                  <w:r>
                    <w:rPr>
                      <w:rFonts w:hint="eastAsia" w:ascii="宋体" w:hAnsi="宋体" w:eastAsia="宋体" w:cs="宋体"/>
                      <w:color w:val="000000"/>
                      <w:kern w:val="0"/>
                      <w:sz w:val="21"/>
                      <w:szCs w:val="21"/>
                      <w:lang w:val="en-US" w:eastAsia="zh-CN" w:bidi="ar"/>
                    </w:rPr>
                    <w:t>层钢结构厂房，占地面积</w:t>
                  </w:r>
                  <w:r>
                    <w:rPr>
                      <w:rFonts w:hint="eastAsia" w:ascii="Times New Roman" w:hAnsi="Times New Roman" w:eastAsia="宋体" w:cs="Times New Roman"/>
                      <w:color w:val="000000"/>
                      <w:kern w:val="0"/>
                      <w:sz w:val="21"/>
                      <w:szCs w:val="21"/>
                      <w:lang w:val="en-US" w:eastAsia="zh-CN" w:bidi="ar"/>
                    </w:rPr>
                    <w:t>1818.04</w:t>
                  </w:r>
                  <w:r>
                    <w:rPr>
                      <w:rFonts w:hint="default" w:ascii="Times New Roman" w:hAnsi="Times New Roman" w:eastAsia="宋体" w:cs="Times New Roman"/>
                      <w:color w:val="000000"/>
                      <w:kern w:val="0"/>
                      <w:sz w:val="21"/>
                      <w:szCs w:val="21"/>
                      <w:lang w:val="en-US" w:eastAsia="zh-CN" w:bidi="ar"/>
                    </w:rPr>
                    <w:t>m</w:t>
                  </w:r>
                  <w:r>
                    <w:rPr>
                      <w:rFonts w:hint="eastAsia"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，建筑面积1818.04m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 xml:space="preserve">； </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16#厂房：1F，单层钢结构厂房，占地面积1591.54m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，建筑面积1591.54m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 xml:space="preserve">； </w:t>
                  </w:r>
                </w:p>
                <w:p>
                  <w:pPr>
                    <w:keepNext w:val="0"/>
                    <w:keepLines w:val="0"/>
                    <w:widowControl/>
                    <w:suppressLineNumbers w:val="0"/>
                    <w:jc w:val="left"/>
                    <w:rPr>
                      <w:color w:val="auto"/>
                      <w:sz w:val="21"/>
                      <w:szCs w:val="21"/>
                    </w:rPr>
                  </w:pPr>
                  <w:r>
                    <w:rPr>
                      <w:rFonts w:hint="eastAsia" w:ascii="Times New Roman" w:hAnsi="Times New Roman" w:eastAsia="宋体" w:cs="Times New Roman"/>
                      <w:color w:val="auto"/>
                      <w:kern w:val="0"/>
                      <w:sz w:val="21"/>
                      <w:szCs w:val="21"/>
                      <w:lang w:val="en-US" w:eastAsia="zh-CN" w:bidi="ar"/>
                    </w:rPr>
                    <w:t>17</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厂房：</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F</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单层钢结构厂房</w:t>
                  </w:r>
                  <w:r>
                    <w:rPr>
                      <w:rFonts w:hint="eastAsia" w:ascii="宋体" w:hAnsi="宋体" w:eastAsia="宋体" w:cs="宋体"/>
                      <w:color w:val="auto"/>
                      <w:kern w:val="0"/>
                      <w:sz w:val="21"/>
                      <w:szCs w:val="21"/>
                      <w:lang w:val="en-US" w:eastAsia="zh-CN" w:bidi="ar"/>
                    </w:rPr>
                    <w:t>，占地面积</w:t>
                  </w:r>
                  <w:r>
                    <w:rPr>
                      <w:rFonts w:hint="eastAsia" w:ascii="Times New Roman" w:hAnsi="Times New Roman" w:eastAsia="宋体" w:cs="Times New Roman"/>
                      <w:color w:val="auto"/>
                      <w:kern w:val="0"/>
                      <w:sz w:val="21"/>
                      <w:szCs w:val="21"/>
                      <w:lang w:val="en-US" w:eastAsia="zh-CN" w:bidi="ar"/>
                    </w:rPr>
                    <w:t>2997.30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，建筑面积</w:t>
                  </w:r>
                  <w:r>
                    <w:rPr>
                      <w:rFonts w:hint="eastAsia" w:ascii="Times New Roman" w:hAnsi="Times New Roman" w:eastAsia="宋体" w:cs="Times New Roman"/>
                      <w:color w:val="auto"/>
                      <w:kern w:val="0"/>
                      <w:sz w:val="21"/>
                      <w:szCs w:val="21"/>
                      <w:lang w:val="en-US" w:eastAsia="zh-CN" w:bidi="ar"/>
                    </w:rPr>
                    <w:t>2997.30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 xml:space="preserve">； </w:t>
                  </w:r>
                </w:p>
                <w:p>
                  <w:pPr>
                    <w:keepNext w:val="0"/>
                    <w:keepLines w:val="0"/>
                    <w:widowControl/>
                    <w:suppressLineNumbers w:val="0"/>
                    <w:jc w:val="left"/>
                    <w:rPr>
                      <w:color w:val="auto"/>
                      <w:sz w:val="21"/>
                      <w:szCs w:val="21"/>
                    </w:rPr>
                  </w:pPr>
                  <w:r>
                    <w:rPr>
                      <w:rFonts w:hint="eastAsia" w:ascii="Times New Roman" w:hAnsi="Times New Roman" w:eastAsia="宋体" w:cs="Times New Roman"/>
                      <w:color w:val="auto"/>
                      <w:kern w:val="0"/>
                      <w:sz w:val="21"/>
                      <w:szCs w:val="21"/>
                      <w:lang w:val="en-US" w:eastAsia="zh-CN" w:bidi="ar"/>
                    </w:rPr>
                    <w:t>18</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厂房：</w:t>
                  </w: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F</w:t>
                  </w:r>
                  <w:r>
                    <w:rPr>
                      <w:rFonts w:hint="eastAsia" w:ascii="宋体" w:hAnsi="宋体" w:eastAsia="宋体" w:cs="宋体"/>
                      <w:color w:val="auto"/>
                      <w:kern w:val="0"/>
                      <w:sz w:val="21"/>
                      <w:szCs w:val="21"/>
                      <w:lang w:val="en-US" w:eastAsia="zh-CN" w:bidi="ar"/>
                    </w:rPr>
                    <w:t>，多层混凝土厂房，单栋占地面积</w:t>
                  </w:r>
                  <w:r>
                    <w:rPr>
                      <w:rFonts w:hint="eastAsia" w:ascii="Times New Roman" w:hAnsi="Times New Roman" w:eastAsia="宋体" w:cs="Times New Roman"/>
                      <w:color w:val="auto"/>
                      <w:kern w:val="0"/>
                      <w:sz w:val="21"/>
                      <w:szCs w:val="21"/>
                      <w:lang w:val="en-US" w:eastAsia="zh-CN" w:bidi="ar"/>
                    </w:rPr>
                    <w:t>6107.02</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 xml:space="preserve">，建筑面积 </w:t>
                  </w:r>
                  <w:r>
                    <w:rPr>
                      <w:rFonts w:hint="eastAsia" w:ascii="Times New Roman" w:hAnsi="Times New Roman" w:eastAsia="宋体" w:cs="Times New Roman"/>
                      <w:color w:val="auto"/>
                      <w:kern w:val="0"/>
                      <w:sz w:val="21"/>
                      <w:szCs w:val="21"/>
                      <w:lang w:val="en-US" w:eastAsia="zh-CN" w:bidi="ar"/>
                    </w:rPr>
                    <w:t>4660.38</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 xml:space="preserve">； </w:t>
                  </w:r>
                </w:p>
                <w:p>
                  <w:pPr>
                    <w:keepNext w:val="0"/>
                    <w:keepLines w:val="0"/>
                    <w:widowControl/>
                    <w:suppressLineNumbers w:val="0"/>
                    <w:jc w:val="left"/>
                    <w:rPr>
                      <w:color w:val="auto"/>
                      <w:sz w:val="21"/>
                      <w:szCs w:val="21"/>
                    </w:rPr>
                  </w:pPr>
                  <w:r>
                    <w:rPr>
                      <w:rFonts w:hint="eastAsia" w:ascii="Times New Roman" w:hAnsi="Times New Roman" w:eastAsia="宋体" w:cs="Times New Roman"/>
                      <w:color w:val="auto"/>
                      <w:kern w:val="0"/>
                      <w:sz w:val="21"/>
                      <w:szCs w:val="21"/>
                      <w:lang w:val="en-US" w:eastAsia="zh-CN" w:bidi="ar"/>
                    </w:rPr>
                    <w:t>19</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厂房：</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F</w:t>
                  </w:r>
                  <w:r>
                    <w:rPr>
                      <w:rFonts w:hint="eastAsia" w:ascii="宋体" w:hAnsi="宋体" w:eastAsia="宋体" w:cs="宋体"/>
                      <w:color w:val="auto"/>
                      <w:kern w:val="0"/>
                      <w:sz w:val="21"/>
                      <w:szCs w:val="21"/>
                      <w:lang w:val="en-US" w:eastAsia="zh-CN" w:bidi="ar"/>
                    </w:rPr>
                    <w:t>，单层钢结构厂房，占地面积</w:t>
                  </w:r>
                  <w:r>
                    <w:rPr>
                      <w:rFonts w:hint="eastAsia" w:ascii="Times New Roman" w:hAnsi="Times New Roman" w:eastAsia="宋体" w:cs="Times New Roman"/>
                      <w:color w:val="auto"/>
                      <w:kern w:val="0"/>
                      <w:sz w:val="21"/>
                      <w:szCs w:val="21"/>
                      <w:lang w:val="en-US" w:eastAsia="zh-CN" w:bidi="ar"/>
                    </w:rPr>
                    <w:t>3624.04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，建筑面积</w:t>
                  </w:r>
                  <w:r>
                    <w:rPr>
                      <w:rFonts w:hint="eastAsia" w:ascii="Times New Roman" w:hAnsi="Times New Roman" w:eastAsia="宋体" w:cs="Times New Roman"/>
                      <w:color w:val="auto"/>
                      <w:kern w:val="0"/>
                      <w:sz w:val="21"/>
                      <w:szCs w:val="21"/>
                      <w:lang w:val="en-US" w:eastAsia="zh-CN" w:bidi="ar"/>
                    </w:rPr>
                    <w:t>3624.04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 xml:space="preserve">； </w:t>
                  </w:r>
                </w:p>
                <w:p>
                  <w:pPr>
                    <w:keepNext w:val="0"/>
                    <w:keepLines w:val="0"/>
                    <w:widowControl/>
                    <w:suppressLineNumbers w:val="0"/>
                    <w:jc w:val="left"/>
                    <w:rPr>
                      <w:color w:val="auto"/>
                      <w:sz w:val="21"/>
                      <w:szCs w:val="21"/>
                    </w:rPr>
                  </w:pPr>
                  <w:r>
                    <w:rPr>
                      <w:rFonts w:hint="eastAsia" w:ascii="Times New Roman" w:hAnsi="Times New Roman" w:eastAsia="宋体" w:cs="Times New Roman"/>
                      <w:color w:val="auto"/>
                      <w:kern w:val="0"/>
                      <w:sz w:val="21"/>
                      <w:szCs w:val="21"/>
                      <w:lang w:val="en-US" w:eastAsia="zh-CN" w:bidi="ar"/>
                    </w:rPr>
                    <w:t>20</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厂房：</w:t>
                  </w:r>
                  <w:r>
                    <w:rPr>
                      <w:rFonts w:hint="default" w:ascii="Times New Roman" w:hAnsi="Times New Roman" w:eastAsia="宋体" w:cs="Times New Roman"/>
                      <w:color w:val="auto"/>
                      <w:kern w:val="0"/>
                      <w:sz w:val="21"/>
                      <w:szCs w:val="21"/>
                      <w:lang w:val="en-US" w:eastAsia="zh-CN" w:bidi="ar"/>
                    </w:rPr>
                    <w:t xml:space="preserve">1F </w:t>
                  </w:r>
                  <w:r>
                    <w:rPr>
                      <w:rFonts w:hint="eastAsia"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单层钢结构厂房，占地面积</w:t>
                  </w:r>
                  <w:r>
                    <w:rPr>
                      <w:rFonts w:hint="eastAsia" w:ascii="Times New Roman" w:hAnsi="Times New Roman" w:eastAsia="宋体" w:cs="Times New Roman"/>
                      <w:color w:val="auto"/>
                      <w:kern w:val="0"/>
                      <w:sz w:val="21"/>
                      <w:szCs w:val="21"/>
                      <w:lang w:val="en-US" w:eastAsia="zh-CN" w:bidi="ar"/>
                    </w:rPr>
                    <w:t>3172.54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，建筑面积</w:t>
                  </w:r>
                  <w:r>
                    <w:rPr>
                      <w:rFonts w:hint="eastAsia" w:ascii="Times New Roman" w:hAnsi="Times New Roman" w:eastAsia="宋体" w:cs="Times New Roman"/>
                      <w:color w:val="auto"/>
                      <w:kern w:val="0"/>
                      <w:sz w:val="21"/>
                      <w:szCs w:val="21"/>
                      <w:lang w:val="en-US" w:eastAsia="zh-CN" w:bidi="ar"/>
                    </w:rPr>
                    <w:t>3172.54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 xml:space="preserve">；  </w:t>
                  </w:r>
                </w:p>
                <w:p>
                  <w:pPr>
                    <w:keepNext w:val="0"/>
                    <w:keepLines w:val="0"/>
                    <w:widowControl/>
                    <w:suppressLineNumbers w:val="0"/>
                    <w:jc w:val="left"/>
                    <w:rPr>
                      <w:rFonts w:ascii="Times New Roman" w:hAnsi="Times New Roman"/>
                      <w:b/>
                      <w:color w:val="auto"/>
                      <w:sz w:val="21"/>
                      <w:szCs w:val="21"/>
                      <w:u w:val="none" w:color="auto"/>
                      <w:vertAlign w:val="baseline"/>
                    </w:rPr>
                  </w:pPr>
                  <w:r>
                    <w:rPr>
                      <w:rFonts w:hint="eastAsia" w:ascii="Times New Roman" w:hAnsi="Times New Roman" w:eastAsia="宋体" w:cs="Times New Roman"/>
                      <w:color w:val="auto"/>
                      <w:kern w:val="0"/>
                      <w:sz w:val="21"/>
                      <w:szCs w:val="21"/>
                      <w:lang w:val="en-US" w:eastAsia="zh-CN" w:bidi="ar"/>
                    </w:rPr>
                    <w:t>21</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厂房</w:t>
                  </w:r>
                  <w:r>
                    <w:rPr>
                      <w:rFonts w:hint="default" w:ascii="Times New Roman" w:hAnsi="Times New Roman" w:eastAsia="宋体" w:cs="Times New Roman"/>
                      <w:color w:val="auto"/>
                      <w:kern w:val="0"/>
                      <w:sz w:val="21"/>
                      <w:szCs w:val="21"/>
                      <w:lang w:val="en-US" w:eastAsia="zh-CN" w:bidi="ar"/>
                    </w:rPr>
                    <w:t>：1F</w:t>
                  </w:r>
                  <w:r>
                    <w:rPr>
                      <w:rFonts w:hint="eastAsia" w:ascii="宋体" w:hAnsi="宋体" w:eastAsia="宋体" w:cs="宋体"/>
                      <w:color w:val="auto"/>
                      <w:kern w:val="0"/>
                      <w:sz w:val="21"/>
                      <w:szCs w:val="21"/>
                      <w:lang w:val="en-US" w:eastAsia="zh-CN" w:bidi="ar"/>
                    </w:rPr>
                    <w:t>，单层钢结构厂房，占地面积</w:t>
                  </w:r>
                  <w:r>
                    <w:rPr>
                      <w:rFonts w:hint="eastAsia" w:ascii="Times New Roman" w:hAnsi="Times New Roman" w:eastAsia="宋体" w:cs="Times New Roman"/>
                      <w:color w:val="auto"/>
                      <w:kern w:val="0"/>
                      <w:sz w:val="21"/>
                      <w:szCs w:val="21"/>
                      <w:lang w:val="en-US" w:eastAsia="zh-CN" w:bidi="ar"/>
                    </w:rPr>
                    <w:t>3172.54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，建筑面积</w:t>
                  </w:r>
                  <w:r>
                    <w:rPr>
                      <w:rFonts w:hint="eastAsia" w:ascii="Times New Roman" w:hAnsi="Times New Roman" w:eastAsia="宋体" w:cs="Times New Roman"/>
                      <w:color w:val="auto"/>
                      <w:kern w:val="0"/>
                      <w:sz w:val="21"/>
                      <w:szCs w:val="21"/>
                      <w:lang w:val="en-US" w:eastAsia="zh-CN" w:bidi="ar"/>
                    </w:rPr>
                    <w:t>3172.54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3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辅助工程</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门卫室</w:t>
                  </w:r>
                </w:p>
              </w:tc>
              <w:tc>
                <w:tcPr>
                  <w:tcW w:w="5198" w:type="dxa"/>
                </w:tcPr>
                <w:p>
                  <w:pPr>
                    <w:keepNext w:val="0"/>
                    <w:keepLines w:val="0"/>
                    <w:widowControl/>
                    <w:suppressLineNumbers w:val="0"/>
                    <w:jc w:val="left"/>
                    <w:rPr>
                      <w:rFonts w:ascii="Times New Roman" w:hAnsi="Times New Roman"/>
                      <w:b/>
                      <w:color w:val="auto"/>
                      <w:sz w:val="21"/>
                      <w:szCs w:val="21"/>
                      <w:u w:val="none" w:color="auto"/>
                      <w:vertAlign w:val="baseline"/>
                    </w:rPr>
                  </w:pPr>
                  <w:r>
                    <w:rPr>
                      <w:rFonts w:hint="default" w:ascii="Times New Roman" w:hAnsi="Times New Roman" w:eastAsia="宋体" w:cs="Times New Roman"/>
                      <w:color w:val="auto"/>
                      <w:kern w:val="0"/>
                      <w:sz w:val="21"/>
                      <w:szCs w:val="21"/>
                      <w:lang w:val="en-US" w:eastAsia="zh-CN" w:bidi="ar"/>
                    </w:rPr>
                    <w:t>门卫室：位于</w:t>
                  </w:r>
                  <w:r>
                    <w:rPr>
                      <w:rFonts w:hint="eastAsia" w:ascii="Times New Roman" w:hAnsi="Times New Roman" w:cs="Times New Roman"/>
                      <w:color w:val="auto"/>
                      <w:kern w:val="0"/>
                      <w:sz w:val="21"/>
                      <w:szCs w:val="21"/>
                      <w:lang w:val="en-US" w:eastAsia="zh-CN" w:bidi="ar"/>
                    </w:rPr>
                    <w:t>西南角，</w:t>
                  </w:r>
                  <w:r>
                    <w:rPr>
                      <w:rFonts w:hint="default" w:ascii="Times New Roman" w:hAnsi="Times New Roman" w:eastAsia="宋体" w:cs="Times New Roman"/>
                      <w:color w:val="auto"/>
                      <w:kern w:val="0"/>
                      <w:sz w:val="21"/>
                      <w:szCs w:val="21"/>
                      <w:lang w:val="en-US" w:eastAsia="zh-CN" w:bidi="ar"/>
                    </w:rPr>
                    <w:t>共1层，高度4.4m，占地面积67.16m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，建筑面积67.16m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储运工程</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车位</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货车停车位8个，充电桩停车位22个，普通停车位43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公用工程</w:t>
                  </w:r>
                </w:p>
              </w:tc>
              <w:tc>
                <w:tcPr>
                  <w:tcW w:w="83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给水</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由市政供水管网供给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tc>
              <w:tc>
                <w:tcPr>
                  <w:tcW w:w="83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排水</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本项目采取雨污分流排水方式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tc>
              <w:tc>
                <w:tcPr>
                  <w:tcW w:w="83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供电</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采用市政供电网供电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供气</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园区铺设天然气管道，规划利用县城燃气站对片区供气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318" w:type="dxa"/>
                  <w:vMerge w:val="restar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环保工程</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废水</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一期统一建设三个化粪池，</w:t>
                  </w:r>
                  <w:r>
                    <w:rPr>
                      <w:rFonts w:hint="eastAsia"/>
                      <w:color w:val="auto"/>
                      <w:lang w:val="en-US" w:eastAsia="zh-CN"/>
                    </w:rPr>
                    <w:t>入驻</w:t>
                  </w:r>
                  <w:r>
                    <w:rPr>
                      <w:rFonts w:hint="eastAsia" w:ascii="Times New Roman" w:hAnsi="Times New Roman"/>
                      <w:b w:val="0"/>
                      <w:bCs/>
                      <w:color w:val="auto"/>
                      <w:sz w:val="21"/>
                      <w:szCs w:val="21"/>
                      <w:u w:val="none" w:color="auto"/>
                      <w:vertAlign w:val="baseline"/>
                      <w:lang w:val="en-US" w:eastAsia="zh-CN"/>
                    </w:rPr>
                    <w:t>后的企业生活污水依托一期化粪池处理后达到《污水综合排放标准》（GB8978-1996）三级排放标准和湘阴县第三污水处理厂进水水质标准后排入湘阴县第三污水处理厂处理，处理达到《城镇污水处理厂污染物排放标准（GB18918—2002）》中一级标准的 A 类标准后排入洋沙河，目前园区污水管网未通，项目园区污水管网相通前不得引入生产废水外排的企业。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8"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tc>
              <w:tc>
                <w:tcPr>
                  <w:tcW w:w="83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噪声</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低噪声设备、合理布局、加强绿化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tc>
              <w:tc>
                <w:tcPr>
                  <w:tcW w:w="83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生态</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绿地率5.23%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依托工程</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食堂、宿舍</w:t>
                  </w:r>
                </w:p>
              </w:tc>
              <w:tc>
                <w:tcPr>
                  <w:tcW w:w="519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eastAsia"/>
                      <w:color w:val="auto"/>
                      <w:lang w:val="en-US" w:eastAsia="zh-CN"/>
                    </w:rPr>
                    <w:t>入驻后的企业</w:t>
                  </w:r>
                  <w:r>
                    <w:rPr>
                      <w:rFonts w:hint="eastAsia" w:ascii="Times New Roman" w:hAnsi="Times New Roman"/>
                      <w:b w:val="0"/>
                      <w:bCs/>
                      <w:color w:val="auto"/>
                      <w:sz w:val="21"/>
                      <w:szCs w:val="21"/>
                      <w:u w:val="none" w:color="auto"/>
                      <w:vertAlign w:val="baseline"/>
                      <w:lang w:val="en-US" w:eastAsia="zh-CN"/>
                    </w:rPr>
                    <w:t>依托一期宿舍及食堂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r>
                    <w:rPr>
                      <w:rFonts w:hint="default" w:ascii="Times New Roman" w:hAnsi="Times New Roman"/>
                      <w:b w:val="0"/>
                      <w:bCs/>
                      <w:color w:val="auto"/>
                      <w:sz w:val="21"/>
                      <w:szCs w:val="21"/>
                      <w:u w:val="none" w:color="auto"/>
                      <w:vertAlign w:val="baseline"/>
                      <w:lang w:val="en-US" w:eastAsia="zh-CN"/>
                    </w:rPr>
                    <w:t>3#栋：6F，配套宿舍（1F-2F为食堂），占地面积 1128.96m</w:t>
                  </w:r>
                  <w:r>
                    <w:rPr>
                      <w:rFonts w:hint="default" w:ascii="Times New Roman" w:hAnsi="Times New Roman"/>
                      <w:b w:val="0"/>
                      <w:bCs/>
                      <w:color w:val="auto"/>
                      <w:sz w:val="21"/>
                      <w:szCs w:val="21"/>
                      <w:u w:val="none" w:color="auto"/>
                      <w:vertAlign w:val="superscript"/>
                      <w:lang w:val="en-US" w:eastAsia="zh-CN"/>
                    </w:rPr>
                    <w:t>2</w:t>
                  </w:r>
                  <w:r>
                    <w:rPr>
                      <w:rFonts w:hint="default" w:ascii="Times New Roman" w:hAnsi="Times New Roman"/>
                      <w:b w:val="0"/>
                      <w:bCs/>
                      <w:color w:val="auto"/>
                      <w:sz w:val="21"/>
                      <w:szCs w:val="21"/>
                      <w:u w:val="none" w:color="auto"/>
                      <w:vertAlign w:val="baseline"/>
                      <w:lang w:val="en-US" w:eastAsia="zh-CN"/>
                    </w:rPr>
                    <w:t>，总建筑面积5211.43m</w:t>
                  </w:r>
                  <w:r>
                    <w:rPr>
                      <w:rFonts w:hint="default" w:ascii="Times New Roman" w:hAnsi="Times New Roman"/>
                      <w:b w:val="0"/>
                      <w:bCs/>
                      <w:color w:val="auto"/>
                      <w:sz w:val="21"/>
                      <w:szCs w:val="21"/>
                      <w:u w:val="none" w:color="auto"/>
                      <w:vertAlign w:val="superscript"/>
                      <w:lang w:val="en-US" w:eastAsia="zh-CN"/>
                    </w:rPr>
                    <w:t>2</w:t>
                  </w:r>
                  <w:r>
                    <w:rPr>
                      <w:rFonts w:hint="default" w:ascii="Times New Roman" w:hAnsi="Times New Roman"/>
                      <w:b w:val="0"/>
                      <w:bCs/>
                      <w:color w:val="auto"/>
                      <w:sz w:val="21"/>
                      <w:szCs w:val="21"/>
                      <w:u w:val="none" w:color="auto"/>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default" w:ascii="Times New Roman" w:hAnsi="Times New Roman"/>
                      <w:b w:val="0"/>
                      <w:bCs/>
                      <w:color w:val="auto"/>
                      <w:sz w:val="21"/>
                      <w:szCs w:val="21"/>
                      <w:u w:val="none" w:color="auto"/>
                      <w:vertAlign w:val="baseline"/>
                      <w:lang w:val="en-US" w:eastAsia="zh-CN"/>
                    </w:rPr>
                    <w:t>14#栋：7F，配套宿舍，占地面积1470.16m</w:t>
                  </w:r>
                  <w:r>
                    <w:rPr>
                      <w:rFonts w:hint="default" w:ascii="Times New Roman" w:hAnsi="Times New Roman"/>
                      <w:b w:val="0"/>
                      <w:bCs/>
                      <w:color w:val="auto"/>
                      <w:sz w:val="21"/>
                      <w:szCs w:val="21"/>
                      <w:u w:val="none" w:color="auto"/>
                      <w:vertAlign w:val="superscript"/>
                      <w:lang w:val="en-US" w:eastAsia="zh-CN"/>
                    </w:rPr>
                    <w:t>2</w:t>
                  </w:r>
                  <w:r>
                    <w:rPr>
                      <w:rFonts w:hint="default" w:ascii="Times New Roman" w:hAnsi="Times New Roman"/>
                      <w:b w:val="0"/>
                      <w:bCs/>
                      <w:color w:val="auto"/>
                      <w:sz w:val="21"/>
                      <w:szCs w:val="21"/>
                      <w:u w:val="none" w:color="auto"/>
                      <w:vertAlign w:val="baseline"/>
                      <w:lang w:val="en-US" w:eastAsia="zh-CN"/>
                    </w:rPr>
                    <w:t>，总建筑面积 10270.07m</w:t>
                  </w:r>
                  <w:r>
                    <w:rPr>
                      <w:rFonts w:hint="default" w:ascii="Times New Roman" w:hAnsi="Times New Roman"/>
                      <w:b w:val="0"/>
                      <w:bCs/>
                      <w:color w:val="auto"/>
                      <w:sz w:val="21"/>
                      <w:szCs w:val="21"/>
                      <w:u w:val="none" w:color="auto"/>
                      <w:vertAlign w:val="superscript"/>
                      <w:lang w:val="en-US" w:eastAsia="zh-CN"/>
                    </w:rPr>
                    <w:t>2</w:t>
                  </w:r>
                  <w:r>
                    <w:rPr>
                      <w:rFonts w:hint="default" w:ascii="Times New Roman" w:hAnsi="Times New Roman"/>
                      <w:b w:val="0"/>
                      <w:bCs/>
                      <w:color w:val="auto"/>
                      <w:sz w:val="21"/>
                      <w:szCs w:val="21"/>
                      <w:u w:val="none" w:color="auto"/>
                      <w:vertAlign w:val="baseline"/>
                      <w:lang w:val="en-US" w:eastAsia="zh-CN"/>
                    </w:rPr>
                    <w:t>；</w:t>
                  </w:r>
                  <w:r>
                    <w:rPr>
                      <w:rFonts w:hint="eastAsia" w:ascii="Times New Roman" w:hAnsi="Times New Roman"/>
                      <w:b w:val="0"/>
                      <w:bCs/>
                      <w:color w:val="auto"/>
                      <w:sz w:val="21"/>
                      <w:szCs w:val="21"/>
                      <w:u w:val="none" w:color="auto"/>
                      <w:vertAlign w:val="baseline"/>
                      <w:lang w:val="en-US" w:eastAsia="zh-CN"/>
                    </w:rPr>
                    <w:t>食堂油烟经油烟机处理后由风机引至专用烟道排放；一期规划建设时，已统筹考虑可依托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val="0"/>
                      <w:bCs/>
                      <w:color w:val="auto"/>
                      <w:sz w:val="21"/>
                      <w:szCs w:val="21"/>
                      <w:u w:val="none" w:color="auto"/>
                      <w:vertAlign w:val="baseline"/>
                      <w:lang w:val="en-US" w:eastAsia="zh-CN"/>
                    </w:rPr>
                  </w:pP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val="0"/>
                      <w:bCs/>
                      <w:color w:val="auto"/>
                      <w:sz w:val="21"/>
                      <w:szCs w:val="21"/>
                      <w:u w:val="none" w:color="auto"/>
                      <w:vertAlign w:val="baseline"/>
                      <w:lang w:val="en-US" w:eastAsia="zh-CN"/>
                    </w:rPr>
                  </w:pPr>
                  <w:r>
                    <w:rPr>
                      <w:rFonts w:hint="eastAsia" w:ascii="Times New Roman" w:hAnsi="Times New Roman"/>
                      <w:b w:val="0"/>
                      <w:bCs/>
                      <w:color w:val="auto"/>
                      <w:sz w:val="21"/>
                      <w:szCs w:val="21"/>
                      <w:u w:val="none" w:color="auto"/>
                      <w:vertAlign w:val="baseline"/>
                      <w:lang w:val="en-US" w:eastAsia="zh-CN"/>
                    </w:rPr>
                    <w:t>固废</w:t>
                  </w:r>
                </w:p>
              </w:tc>
              <w:tc>
                <w:tcPr>
                  <w:tcW w:w="5198"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u w:val="none" w:color="auto"/>
                      <w:vertAlign w:val="baseline"/>
                      <w:lang w:val="en-US" w:eastAsia="zh-CN" w:bidi="ar-SA"/>
                    </w:rPr>
                  </w:pPr>
                  <w:r>
                    <w:rPr>
                      <w:rFonts w:hint="eastAsia" w:ascii="Times New Roman" w:hAnsi="Times New Roman"/>
                      <w:b w:val="0"/>
                      <w:bCs/>
                      <w:color w:val="auto"/>
                      <w:sz w:val="21"/>
                      <w:szCs w:val="21"/>
                      <w:u w:val="none" w:color="auto"/>
                      <w:vertAlign w:val="baseline"/>
                      <w:lang w:val="en-US" w:eastAsia="zh-CN"/>
                    </w:rPr>
                    <w:t>依托一期生活垃圾站，位于8#厂房，占地面积35.38m</w:t>
                  </w:r>
                  <w:r>
                    <w:rPr>
                      <w:rFonts w:hint="eastAsia" w:ascii="Times New Roman" w:hAnsi="Times New Roman"/>
                      <w:b w:val="0"/>
                      <w:bCs/>
                      <w:color w:val="auto"/>
                      <w:sz w:val="21"/>
                      <w:szCs w:val="21"/>
                      <w:u w:val="none" w:color="auto"/>
                      <w:vertAlign w:val="superscript"/>
                      <w:lang w:val="en-US" w:eastAsia="zh-CN"/>
                    </w:rPr>
                    <w:t>2</w:t>
                  </w:r>
                </w:p>
              </w:tc>
            </w:tr>
          </w:tbl>
          <w:p>
            <w:pPr>
              <w:keepNext w:val="0"/>
              <w:keepLines w:val="0"/>
              <w:widowControl/>
              <w:suppressLineNumbers w:val="0"/>
              <w:spacing w:line="360" w:lineRule="auto"/>
              <w:jc w:val="left"/>
              <w:rPr>
                <w:rFonts w:hint="default"/>
                <w:lang w:val="en-US"/>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cs="Times New Roman"/>
                <w:b/>
                <w:bCs/>
                <w:color w:val="000000"/>
                <w:kern w:val="0"/>
                <w:sz w:val="24"/>
                <w:szCs w:val="24"/>
                <w:lang w:val="en-US" w:eastAsia="zh-CN" w:bidi="ar"/>
              </w:rPr>
              <w:t>4、</w:t>
            </w:r>
            <w:r>
              <w:rPr>
                <w:rFonts w:hint="eastAsia" w:ascii="宋体" w:hAnsi="宋体" w:cs="宋体"/>
                <w:b/>
                <w:bCs/>
                <w:color w:val="000000"/>
                <w:kern w:val="0"/>
                <w:sz w:val="24"/>
                <w:szCs w:val="24"/>
                <w:lang w:val="en-US" w:eastAsia="zh-CN" w:bidi="ar"/>
              </w:rPr>
              <w:t>主要经济技术指标</w:t>
            </w:r>
          </w:p>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jc w:val="left"/>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项目主要经济技术指标</w:t>
            </w:r>
            <w:r>
              <w:rPr>
                <w:rFonts w:hint="eastAsia" w:ascii="Times New Roman" w:hAnsi="Times New Roman" w:eastAsia="宋体" w:cs="Times New Roman"/>
                <w:color w:val="auto"/>
                <w:sz w:val="24"/>
                <w:szCs w:val="24"/>
                <w:u w:val="none" w:color="auto"/>
                <w:lang w:val="en-US" w:eastAsia="zh-CN"/>
              </w:rPr>
              <w:t>详见下表</w:t>
            </w:r>
            <w:r>
              <w:rPr>
                <w:rFonts w:hint="eastAsia" w:ascii="Times New Roman" w:hAnsi="Times New Roman" w:cs="Times New Roman"/>
                <w:color w:val="auto"/>
                <w:sz w:val="24"/>
                <w:szCs w:val="24"/>
                <w:u w:val="none" w:color="auto"/>
                <w:lang w:val="en-US" w:eastAsia="zh-CN"/>
              </w:rPr>
              <w:t>2-2</w:t>
            </w:r>
            <w:r>
              <w:rPr>
                <w:rFonts w:hint="eastAsia" w:ascii="Times New Roman" w:hAnsi="Times New Roman" w:eastAsia="宋体" w:cs="Times New Roman"/>
                <w:color w:val="auto"/>
                <w:sz w:val="24"/>
                <w:szCs w:val="24"/>
                <w:u w:val="none" w:color="auto"/>
                <w:lang w:val="en-US" w:eastAsia="zh-CN"/>
              </w:rPr>
              <w:t>：</w:t>
            </w:r>
          </w:p>
          <w:p>
            <w:pPr>
              <w:adjustRightInd w:val="0"/>
              <w:snapToGrid w:val="0"/>
              <w:ind w:firstLine="422" w:firstLineChars="200"/>
              <w:jc w:val="center"/>
              <w:rPr>
                <w:rFonts w:hint="default" w:ascii="Times New Roman" w:hAnsi="Times New Roman" w:eastAsia="宋体" w:cs="Times New Roman"/>
                <w:b/>
                <w:bCs/>
                <w:color w:val="auto"/>
                <w:szCs w:val="24"/>
                <w:u w:val="none" w:color="auto"/>
                <w:vertAlign w:val="baseline"/>
                <w:lang w:val="en-US" w:eastAsia="zh-CN"/>
              </w:rPr>
            </w:pPr>
            <w:r>
              <w:rPr>
                <w:rFonts w:ascii="Times New Roman" w:hAnsi="Times New Roman" w:eastAsia="宋体" w:cs="Times New Roman"/>
                <w:b/>
                <w:bCs/>
                <w:color w:val="auto"/>
                <w:szCs w:val="24"/>
                <w:u w:val="none" w:color="auto"/>
              </w:rPr>
              <w:t>表2-</w:t>
            </w:r>
            <w:r>
              <w:rPr>
                <w:rFonts w:hint="eastAsia" w:ascii="Times New Roman" w:hAnsi="Times New Roman" w:eastAsia="宋体" w:cs="Times New Roman"/>
                <w:b/>
                <w:bCs/>
                <w:color w:val="auto"/>
                <w:szCs w:val="24"/>
                <w:u w:val="none" w:color="auto"/>
              </w:rPr>
              <w:t>2</w:t>
            </w:r>
            <w:r>
              <w:rPr>
                <w:rFonts w:ascii="Times New Roman" w:hAnsi="Times New Roman" w:eastAsia="宋体" w:cs="Times New Roman"/>
                <w:b/>
                <w:bCs/>
                <w:color w:val="auto"/>
                <w:szCs w:val="24"/>
                <w:u w:val="none" w:color="auto"/>
              </w:rPr>
              <w:t xml:space="preserve">  </w:t>
            </w:r>
            <w:r>
              <w:rPr>
                <w:rFonts w:hint="eastAsia" w:ascii="Times New Roman" w:hAnsi="Times New Roman" w:cs="Times New Roman"/>
                <w:b/>
                <w:bCs/>
                <w:color w:val="auto"/>
                <w:szCs w:val="24"/>
                <w:u w:val="none" w:color="auto"/>
                <w:lang w:val="en-US" w:eastAsia="zh-CN"/>
              </w:rPr>
              <w:t>经济技术指标一览表</w:t>
            </w:r>
          </w:p>
          <w:tbl>
            <w:tblPr>
              <w:tblStyle w:val="31"/>
              <w:tblW w:w="7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606"/>
              <w:gridCol w:w="1275"/>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782" w:type="dxa"/>
                  <w:gridSpan w:val="2"/>
                </w:tcPr>
                <w:p>
                  <w:pPr>
                    <w:adjustRightInd w:val="0"/>
                    <w:snapToGrid w:val="0"/>
                    <w:jc w:val="center"/>
                    <w:rPr>
                      <w:rFonts w:hint="default" w:ascii="Times New Roman" w:hAnsi="Times New Roman" w:eastAsia="宋体"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项目</w:t>
                  </w:r>
                </w:p>
              </w:tc>
              <w:tc>
                <w:tcPr>
                  <w:tcW w:w="1275" w:type="dxa"/>
                </w:tcPr>
                <w:p>
                  <w:pPr>
                    <w:adjustRightInd w:val="0"/>
                    <w:snapToGrid w:val="0"/>
                    <w:jc w:val="center"/>
                    <w:rPr>
                      <w:rFonts w:hint="default" w:ascii="Times New Roman" w:hAnsi="Times New Roman" w:eastAsia="宋体"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单位</w:t>
                  </w:r>
                </w:p>
              </w:tc>
              <w:tc>
                <w:tcPr>
                  <w:tcW w:w="2297" w:type="dxa"/>
                </w:tcPr>
                <w:p>
                  <w:pPr>
                    <w:adjustRightInd w:val="0"/>
                    <w:snapToGrid w:val="0"/>
                    <w:jc w:val="center"/>
                    <w:rPr>
                      <w:rFonts w:hint="default" w:ascii="Times New Roman" w:hAnsi="Times New Roman" w:eastAsia="宋体"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eastAsia="宋体"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总用地面积（净用地面积）</w:t>
                  </w:r>
                </w:p>
              </w:tc>
              <w:tc>
                <w:tcPr>
                  <w:tcW w:w="1275" w:type="dxa"/>
                  <w:vAlign w:val="center"/>
                </w:tcPr>
                <w:p>
                  <w:pPr>
                    <w:adjustRightInd w:val="0"/>
                    <w:snapToGrid w:val="0"/>
                    <w:jc w:val="center"/>
                    <w:rPr>
                      <w:rFonts w:hint="default" w:ascii="Times New Roman" w:hAnsi="Times New Roman" w:eastAsia="宋体" w:cs="Times New Roman"/>
                      <w:b/>
                      <w:bCs/>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m</w:t>
                  </w:r>
                  <w:r>
                    <w:rPr>
                      <w:rFonts w:hint="eastAsia" w:ascii="Times New Roman" w:hAnsi="Times New Roman" w:cs="Times New Roman"/>
                      <w:b w:val="0"/>
                      <w:bCs w:val="0"/>
                      <w:color w:val="auto"/>
                      <w:szCs w:val="24"/>
                      <w:u w:val="none" w:color="auto"/>
                      <w:vertAlign w:val="superscript"/>
                      <w:lang w:val="en-US" w:eastAsia="zh-CN"/>
                    </w:rPr>
                    <w:t>2</w:t>
                  </w:r>
                </w:p>
              </w:tc>
              <w:tc>
                <w:tcPr>
                  <w:tcW w:w="2297" w:type="dxa"/>
                  <w:vAlign w:val="center"/>
                </w:tcPr>
                <w:p>
                  <w:pPr>
                    <w:adjustRightInd w:val="0"/>
                    <w:snapToGrid w:val="0"/>
                    <w:jc w:val="center"/>
                    <w:rPr>
                      <w:rFonts w:hint="default" w:ascii="Times New Roman" w:hAnsi="Times New Roman" w:eastAsia="宋体" w:cs="Times New Roman"/>
                      <w:b/>
                      <w:bCs/>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33438.99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总计容建筑面积</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m</w:t>
                  </w:r>
                  <w:r>
                    <w:rPr>
                      <w:rFonts w:hint="eastAsia" w:ascii="Times New Roman" w:hAnsi="Times New Roman" w:cs="Times New Roman"/>
                      <w:b w:val="0"/>
                      <w:bCs w:val="0"/>
                      <w:color w:val="auto"/>
                      <w:szCs w:val="24"/>
                      <w:u w:val="none" w:color="auto"/>
                      <w:vertAlign w:val="superscript"/>
                      <w:lang w:val="en-US" w:eastAsia="zh-CN"/>
                    </w:rPr>
                    <w:t>2</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38926.18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lang w:val="en-US" w:eastAsia="zh-CN"/>
                    </w:rPr>
                  </w:pPr>
                  <w:r>
                    <w:rPr>
                      <w:rFonts w:hint="eastAsia"/>
                      <w:lang w:val="en-US" w:eastAsia="zh-CN"/>
                    </w:rPr>
                    <w:t>建筑基底面积</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m</w:t>
                  </w:r>
                  <w:r>
                    <w:rPr>
                      <w:rFonts w:hint="eastAsia" w:ascii="Times New Roman" w:hAnsi="Times New Roman" w:cs="Times New Roman"/>
                      <w:b w:val="0"/>
                      <w:bCs w:val="0"/>
                      <w:color w:val="auto"/>
                      <w:szCs w:val="24"/>
                      <w:u w:val="none" w:color="auto"/>
                      <w:vertAlign w:val="superscript"/>
                      <w:lang w:val="en-US" w:eastAsia="zh-CN"/>
                    </w:rPr>
                    <w:t>2</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17889.80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总建筑面积</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m</w:t>
                  </w:r>
                  <w:r>
                    <w:rPr>
                      <w:rFonts w:hint="eastAsia" w:ascii="Times New Roman" w:hAnsi="Times New Roman" w:cs="Times New Roman"/>
                      <w:b w:val="0"/>
                      <w:bCs w:val="0"/>
                      <w:color w:val="auto"/>
                      <w:szCs w:val="24"/>
                      <w:u w:val="none" w:color="auto"/>
                      <w:vertAlign w:val="superscript"/>
                      <w:lang w:val="en-US" w:eastAsia="zh-CN"/>
                    </w:rPr>
                    <w:t>2</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21103.54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建筑密度</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绿地面积</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m</w:t>
                  </w:r>
                  <w:r>
                    <w:rPr>
                      <w:rFonts w:hint="eastAsia" w:ascii="Times New Roman" w:hAnsi="Times New Roman" w:cs="Times New Roman"/>
                      <w:b w:val="0"/>
                      <w:bCs w:val="0"/>
                      <w:color w:val="auto"/>
                      <w:szCs w:val="24"/>
                      <w:u w:val="none" w:color="auto"/>
                      <w:vertAlign w:val="superscript"/>
                      <w:lang w:val="en-US" w:eastAsia="zh-CN"/>
                    </w:rPr>
                    <w:t>2</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1748.10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绿地率</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容积率</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1.164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非生产性用房面积占比</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非生产性用房建筑面积</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m</w:t>
                  </w:r>
                  <w:r>
                    <w:rPr>
                      <w:rFonts w:hint="eastAsia" w:ascii="Times New Roman" w:hAnsi="Times New Roman" w:cs="Times New Roman"/>
                      <w:b w:val="0"/>
                      <w:bCs w:val="0"/>
                      <w:color w:val="auto"/>
                      <w:szCs w:val="24"/>
                      <w:u w:val="none" w:color="auto"/>
                      <w:vertAlign w:val="superscript"/>
                      <w:lang w:val="en-US" w:eastAsia="zh-CN"/>
                    </w:rPr>
                    <w:t>2</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67.16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非生产性用房用地占比</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非生产性用房建筑基底面积</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m</w:t>
                  </w:r>
                  <w:r>
                    <w:rPr>
                      <w:rFonts w:hint="eastAsia" w:ascii="Times New Roman" w:hAnsi="Times New Roman" w:cs="Times New Roman"/>
                      <w:b w:val="0"/>
                      <w:bCs w:val="0"/>
                      <w:color w:val="auto"/>
                      <w:szCs w:val="24"/>
                      <w:u w:val="none" w:color="auto"/>
                      <w:vertAlign w:val="superscript"/>
                      <w:lang w:val="en-US" w:eastAsia="zh-CN"/>
                    </w:rPr>
                    <w:t>2</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67.16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gridSpan w:val="2"/>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机动车停车位</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个</w:t>
                  </w:r>
                </w:p>
              </w:tc>
              <w:tc>
                <w:tcPr>
                  <w:tcW w:w="2297" w:type="dxa"/>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Merge w:val="restart"/>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其中</w:t>
                  </w:r>
                </w:p>
              </w:tc>
              <w:tc>
                <w:tcPr>
                  <w:tcW w:w="2606" w:type="dxa"/>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货车停车位</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个</w:t>
                  </w:r>
                </w:p>
              </w:tc>
              <w:tc>
                <w:tcPr>
                  <w:tcW w:w="2297" w:type="dxa"/>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6" w:type="dxa"/>
                  <w:vMerge w:val="continue"/>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2606" w:type="dxa"/>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充电柱停车位</w:t>
                  </w:r>
                </w:p>
              </w:tc>
              <w:tc>
                <w:tcPr>
                  <w:tcW w:w="1275" w:type="dxa"/>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个</w:t>
                  </w:r>
                </w:p>
              </w:tc>
              <w:tc>
                <w:tcPr>
                  <w:tcW w:w="2297" w:type="dxa"/>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6" w:type="dxa"/>
                  <w:vMerge w:val="continue"/>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2606" w:type="dxa"/>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普通停车位</w:t>
                  </w:r>
                </w:p>
              </w:tc>
              <w:tc>
                <w:tcPr>
                  <w:tcW w:w="1275"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个</w:t>
                  </w:r>
                </w:p>
              </w:tc>
              <w:tc>
                <w:tcPr>
                  <w:tcW w:w="2297" w:type="dxa"/>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43</w:t>
                  </w:r>
                </w:p>
              </w:tc>
            </w:tr>
          </w:tbl>
          <w:p>
            <w:pPr>
              <w:keepNext w:val="0"/>
              <w:keepLines w:val="0"/>
              <w:widowControl/>
              <w:suppressLineNumbers w:val="0"/>
              <w:spacing w:line="360" w:lineRule="auto"/>
              <w:jc w:val="left"/>
              <w:rPr>
                <w:rFonts w:hint="default"/>
                <w:lang w:val="en-US"/>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cs="Times New Roman"/>
                <w:b/>
                <w:bCs/>
                <w:color w:val="000000"/>
                <w:kern w:val="0"/>
                <w:sz w:val="24"/>
                <w:szCs w:val="24"/>
                <w:lang w:val="en-US" w:eastAsia="zh-CN" w:bidi="ar"/>
              </w:rPr>
              <w:t>5、</w:t>
            </w:r>
            <w:r>
              <w:rPr>
                <w:rFonts w:hint="eastAsia" w:ascii="宋体" w:hAnsi="宋体" w:cs="宋体"/>
                <w:b/>
                <w:bCs/>
                <w:color w:val="000000"/>
                <w:kern w:val="0"/>
                <w:sz w:val="24"/>
                <w:szCs w:val="24"/>
                <w:lang w:val="en-US" w:eastAsia="zh-CN" w:bidi="ar"/>
              </w:rPr>
              <w:t>引进企业的准入要求及限制条件</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项目为标准化厂房建设，建设后需引进企业。本项目标准厂房主要引入智能制造产业（新能源智能制造）以及电子信息产业（半导体下游通讯、计算器、汽车零部件、消费电子）等一类工业项目。</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准入要求：鼓励引进智能制造产业（新能源智能制造）以及电子信息产业（半导体下游通讯、计算器、汽车零部件、消费电子）等一类工业项目。在满足产业定位的前提下，优先引进《产业结构调整指导目录(2024年本)》中的“鼓励类”项目；优先引进与规划区功能及产业定位相符合，污染物排放少、环境风险小以及能促进规划区区域循环经济发展的项目：不排斥主导产业之外、但是符合产业政策和用地性质，并属于完善产业链构建循环经济及规划区相关的污染物排放少、环境风险小的配套企业入驻。</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宋体" w:hAnsi="宋体" w:eastAsia="宋体" w:cs="宋体"/>
                <w:b/>
                <w:bCs/>
                <w:color w:val="FF0000"/>
                <w:kern w:val="0"/>
                <w:sz w:val="24"/>
                <w:szCs w:val="24"/>
                <w:lang w:val="en-US" w:eastAsia="zh-CN" w:bidi="ar"/>
              </w:rPr>
            </w:pPr>
            <w:r>
              <w:rPr>
                <w:rFonts w:hint="eastAsia" w:ascii="Times New Roman" w:hAnsi="Times New Roman" w:cs="Times New Roman"/>
                <w:color w:val="auto"/>
                <w:sz w:val="24"/>
                <w:szCs w:val="24"/>
                <w:u w:val="single" w:color="auto"/>
                <w:lang w:val="en-US" w:eastAsia="zh-CN"/>
              </w:rPr>
              <w:t>限制条件：不得引进水泥制造、平板玻璃制造等气型污染严重的项目；</w:t>
            </w:r>
            <w:r>
              <w:rPr>
                <w:rFonts w:hint="default" w:ascii="Times New Roman" w:hAnsi="Times New Roman" w:eastAsia="宋体" w:cs="Times New Roman"/>
                <w:color w:val="auto"/>
                <w:kern w:val="0"/>
                <w:sz w:val="24"/>
                <w:szCs w:val="24"/>
                <w:u w:val="single" w:color="auto"/>
                <w:lang w:val="en-US" w:eastAsia="zh-CN" w:bidi="ar-SA"/>
              </w:rPr>
              <w:t>长沙临港产业开发区金龙南区</w:t>
            </w:r>
            <w:r>
              <w:rPr>
                <w:rFonts w:hint="eastAsia" w:ascii="Times New Roman" w:hAnsi="Times New Roman" w:cs="Times New Roman"/>
                <w:color w:val="auto"/>
                <w:sz w:val="24"/>
                <w:szCs w:val="24"/>
                <w:u w:val="single" w:color="auto"/>
                <w:lang w:val="en-US" w:eastAsia="zh-CN"/>
              </w:rPr>
              <w:t>禁止引入类项目；使用不符合《低挥发性有机化合物含量涂料产品技术要求》（GB/T38597-2020）、GB 38507-2020《油墨中可挥发性有机化合物（VOCs）含量的限值》（高清版）的涂料和油墨项目；其他属于《产业结构调整指导目录》（2024 年本）限制类工艺和设备。火电、钢铁、电解铝、煤炭、冶金、化工、石化、焦化、造纸、制革和采矿业等重污染行业；三类工业项目；危险废物利用和集中处置项目；《产业结构调整指导目录》（2024 年本）淘汰类工艺和设备；《湖南省“两高”项目管理目录》中的“两高”项目；不符合国家产能置换要求的严重过剩产能行业的项目；其他国家产业政策规定落后生产工艺装备和落后产品及国家明令禁止或淘汰工艺。与一类工业用地规划不相符不能入园。</w:t>
            </w:r>
          </w:p>
          <w:p>
            <w:pPr>
              <w:keepNext w:val="0"/>
              <w:keepLines w:val="0"/>
              <w:pageBreakBefore w:val="0"/>
              <w:widowControl w:val="0"/>
              <w:numPr>
                <w:ilvl w:val="0"/>
                <w:numId w:val="3"/>
              </w:numPr>
              <w:kinsoku/>
              <w:wordWrap/>
              <w:overflowPunct/>
              <w:topLinePunct w:val="0"/>
              <w:bidi w:val="0"/>
              <w:adjustRightInd/>
              <w:snapToGrid/>
              <w:spacing w:line="360" w:lineRule="auto"/>
              <w:ind w:left="0" w:leftChars="0" w:firstLine="0" w:firstLineChars="0"/>
              <w:textAlignment w:val="auto"/>
              <w:rPr>
                <w:rFonts w:hint="eastAsia"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 xml:space="preserve">公用工程及辅助设施 </w:t>
            </w:r>
          </w:p>
          <w:p>
            <w:pPr>
              <w:keepNext w:val="0"/>
              <w:keepLines w:val="0"/>
              <w:widowControl/>
              <w:suppressLineNumbers w:val="0"/>
              <w:spacing w:line="360" w:lineRule="auto"/>
              <w:jc w:val="left"/>
              <w:rPr>
                <w:rFonts w:hint="eastAsia" w:ascii="宋体" w:hAnsi="宋体" w:eastAsia="宋体" w:cs="宋体"/>
                <w:b/>
                <w:bCs/>
                <w:color w:val="auto"/>
                <w:kern w:val="0"/>
                <w:sz w:val="24"/>
                <w:szCs w:val="24"/>
                <w:lang w:val="en-US" w:eastAsia="zh-CN" w:bidi="ar"/>
              </w:rPr>
            </w:pPr>
            <w:r>
              <w:rPr>
                <w:rFonts w:hint="eastAsia" w:ascii="Times New Roman" w:hAnsi="Times New Roman"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cs="Times New Roman"/>
                <w:b/>
                <w:bCs/>
                <w:color w:val="auto"/>
                <w:kern w:val="0"/>
                <w:sz w:val="24"/>
                <w:szCs w:val="24"/>
                <w:lang w:val="en-US" w:eastAsia="zh-CN" w:bidi="ar"/>
              </w:rPr>
              <w:t>1、给排水</w:t>
            </w:r>
            <w:r>
              <w:rPr>
                <w:rFonts w:hint="eastAsia" w:ascii="宋体" w:hAnsi="宋体" w:eastAsia="宋体" w:cs="宋体"/>
                <w:b/>
                <w:bCs/>
                <w:color w:val="auto"/>
                <w:kern w:val="0"/>
                <w:sz w:val="24"/>
                <w:szCs w:val="24"/>
                <w:lang w:val="en-US" w:eastAsia="zh-CN" w:bidi="ar"/>
              </w:rPr>
              <w:t>工程</w:t>
            </w:r>
          </w:p>
          <w:p>
            <w:pPr>
              <w:pStyle w:val="2"/>
              <w:keepNext w:val="0"/>
              <w:keepLines w:val="0"/>
              <w:pageBreakBefore w:val="0"/>
              <w:widowControl/>
              <w:numPr>
                <w:ilvl w:val="0"/>
                <w:numId w:val="0"/>
              </w:numPr>
              <w:kinsoku/>
              <w:wordWrap/>
              <w:overflowPunct/>
              <w:topLinePunct w:val="0"/>
              <w:autoSpaceDE/>
              <w:autoSpaceDN/>
              <w:bidi w:val="0"/>
              <w:adjustRightInd/>
              <w:snapToGrid w:val="0"/>
              <w:spacing w:line="260" w:lineRule="auto"/>
              <w:ind w:leftChars="0" w:right="113" w:rightChars="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（1）给水</w:t>
            </w:r>
          </w:p>
          <w:p>
            <w:pPr>
              <w:pStyle w:val="83"/>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给水系统采用生活和消防合用系统，管网布置按照供水可靠、经济合理的原则，采用环状管网与枝状管网相结合的布置形式。给水干管管径为DN400～DN600，主要沿芙蓉北路、创新大道、金龙大道、金荣路和幸福路敷设。</w:t>
            </w:r>
          </w:p>
          <w:p>
            <w:pPr>
              <w:pStyle w:val="83"/>
              <w:keepNext w:val="0"/>
              <w:keepLines w:val="0"/>
              <w:pageBreakBefore w:val="0"/>
              <w:widowControl w:val="0"/>
              <w:numPr>
                <w:ilvl w:val="0"/>
                <w:numId w:val="4"/>
              </w:numPr>
              <w:kinsoku/>
              <w:wordWrap/>
              <w:overflowPunct/>
              <w:topLinePunct w:val="0"/>
              <w:bidi w:val="0"/>
              <w:adjustRightInd/>
              <w:snapToGrid/>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排水系统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根据《规划》草案，规划金龙南区排水系统采用雨污分流制，其中生活污水和工业污水分类收集、分质处理。南区平均日污水量2.5万m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/d，纳入湘阴县第三污水处理厂处理，湘阴县第三污水处理厂一期规模2万m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/d（环评批复2万m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/d，排污口论证规模为1万m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/d，现状排水量为5000m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/d），二期设计规模2.5万m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/d（主要处理本规划金龙南区污水），规划期末达到4.5万m</w:t>
            </w:r>
            <w:r>
              <w:rPr>
                <w:rFonts w:hint="eastAsia" w:ascii="Times New Roman" w:hAnsi="Times New Roman" w:eastAsia="宋体" w:cs="Times New Roman"/>
                <w:color w:val="auto"/>
                <w:kern w:val="2"/>
                <w:sz w:val="24"/>
                <w:szCs w:val="24"/>
                <w:highlight w:val="none"/>
                <w:u w:val="none" w:color="auto"/>
                <w:vertAlign w:val="superscript"/>
                <w:lang w:val="en-US" w:eastAsia="zh-CN" w:bidi="ar-SA"/>
              </w:rPr>
              <w:t>3</w:t>
            </w:r>
            <w:r>
              <w:rPr>
                <w:rFonts w:hint="eastAsia" w:ascii="Times New Roman" w:hAnsi="Times New Roman" w:eastAsia="宋体" w:cs="Times New Roman"/>
                <w:color w:val="auto"/>
                <w:kern w:val="2"/>
                <w:sz w:val="24"/>
                <w:szCs w:val="24"/>
                <w:highlight w:val="none"/>
                <w:u w:val="none" w:color="auto"/>
                <w:lang w:val="en-US" w:eastAsia="zh-CN" w:bidi="ar-SA"/>
              </w:rPr>
              <w:t>/d 的处理能力。</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cs="Times New Roman"/>
                <w:color w:val="auto"/>
                <w:kern w:val="2"/>
                <w:sz w:val="24"/>
                <w:szCs w:val="24"/>
                <w:u w:val="none" w:color="auto"/>
                <w:lang w:val="en-US" w:eastAsia="zh-CN" w:bidi="ar-SA"/>
              </w:rPr>
              <w:t>污水：生活污水经化粪池处理后再排至城市污水管道，进入湘阴县第三污水处理厂处理后达标排入洋沙河</w:t>
            </w:r>
            <w:r>
              <w:rPr>
                <w:rFonts w:hint="eastAsia" w:ascii="Times New Roman" w:hAnsi="Times New Roman" w:eastAsia="宋体" w:cs="Times New Roman"/>
                <w:color w:val="auto"/>
                <w:kern w:val="2"/>
                <w:sz w:val="24"/>
                <w:szCs w:val="24"/>
                <w:highlight w:val="none"/>
                <w:u w:val="none" w:color="auto"/>
                <w:lang w:val="en-US" w:eastAsia="zh-CN" w:bidi="ar-SA"/>
              </w:rPr>
              <w:t>。目前园区污水管网未通，项目园区污水管网相通前不得引入生产废水外排的企业。</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Times New Roman" w:hAnsi="Times New Roman" w:cs="Times New Roman"/>
                <w:color w:val="auto"/>
                <w:kern w:val="2"/>
                <w:sz w:val="24"/>
                <w:szCs w:val="24"/>
                <w:u w:val="none" w:color="auto"/>
                <w:lang w:val="en-US" w:eastAsia="zh-CN" w:bidi="ar-SA"/>
              </w:rPr>
              <w:t>雨水：贯彻“高水高排、低水低排”的原则和就近排放的原则，根据区内水系分布及流向，充分利用现有排水设施，雨水就近排入水体，顺应其自然坡向，以便雨水能通过水渠以最快速度排入自然水体。雨水管最小管径为 DN600，园区共设5个雨水排口，分别位于园区东北面1个，西面2个，南面2个。北部区域雨水主要排至湘杉路新建雨水箱涵，南部区域雨水主要排至规划区南部低洼水体。规划区主要沿湘科路、湘杉路、金誉路、金辉路、金龙大道、湘新大道、金凤大道、湘智路和湘望路敷设雨水主干管，排放至下游就近水体。1-4#雨水口排入洋沙河，5#雨水口排入东风水库。</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室外采用雨污分流制排水系统。建筑屋面雨水采用屋面雨水由87型雨水斗收集经室外道路两边设置雨水口收集室外道路上的雨水，单体周边设置排水明沟最终排入金龙大道、芙蓉北路的市政雨水管。</w:t>
            </w:r>
          </w:p>
          <w:p>
            <w:pPr>
              <w:keepNext w:val="0"/>
              <w:keepLines w:val="0"/>
              <w:widowControl/>
              <w:suppressLineNumbers w:val="0"/>
              <w:spacing w:line="360" w:lineRule="auto"/>
              <w:jc w:val="left"/>
              <w:rPr>
                <w:rFonts w:hint="eastAsia" w:ascii="宋体" w:hAnsi="宋体" w:eastAsia="宋体" w:cs="宋体"/>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cs="Times New Roman"/>
                <w:b/>
                <w:bCs/>
                <w:color w:val="000000"/>
                <w:kern w:val="0"/>
                <w:sz w:val="24"/>
                <w:szCs w:val="24"/>
                <w:lang w:val="en-US" w:eastAsia="zh-CN" w:bidi="ar"/>
              </w:rPr>
              <w:t>2、供电</w:t>
            </w:r>
            <w:r>
              <w:rPr>
                <w:rFonts w:hint="eastAsia" w:ascii="宋体" w:hAnsi="宋体" w:eastAsia="宋体" w:cs="宋体"/>
                <w:b/>
                <w:bCs/>
                <w:color w:val="000000"/>
                <w:kern w:val="0"/>
                <w:sz w:val="24"/>
                <w:szCs w:val="24"/>
                <w:lang w:val="en-US" w:eastAsia="zh-CN" w:bidi="ar"/>
              </w:rPr>
              <w:t>工程</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本项目从市政引来一路10kV电源至变配电房。</w:t>
            </w:r>
          </w:p>
          <w:p>
            <w:pPr>
              <w:keepNext w:val="0"/>
              <w:keepLines w:val="0"/>
              <w:widowControl/>
              <w:suppressLineNumbers w:val="0"/>
              <w:spacing w:line="360" w:lineRule="auto"/>
              <w:jc w:val="left"/>
              <w:rPr>
                <w:rFonts w:hint="default" w:ascii="宋体" w:hAnsi="宋体" w:eastAsia="宋体" w:cs="宋体"/>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cs="Times New Roman"/>
                <w:b/>
                <w:bCs/>
                <w:color w:val="000000"/>
                <w:kern w:val="0"/>
                <w:sz w:val="24"/>
                <w:szCs w:val="24"/>
                <w:lang w:val="en-US" w:eastAsia="zh-CN" w:bidi="ar"/>
              </w:rPr>
              <w:t>3、</w:t>
            </w:r>
            <w:r>
              <w:rPr>
                <w:rFonts w:hint="eastAsia" w:ascii="宋体" w:hAnsi="宋体" w:cs="宋体"/>
                <w:b/>
                <w:bCs/>
                <w:color w:val="000000"/>
                <w:kern w:val="0"/>
                <w:sz w:val="24"/>
                <w:szCs w:val="24"/>
                <w:lang w:val="en-US" w:eastAsia="zh-CN" w:bidi="ar"/>
              </w:rPr>
              <w:t>通信系统</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本工程施工通讯线路拟就近从附近电网引接。内部通信采用无线电通信方式解决。</w:t>
            </w:r>
          </w:p>
          <w:p>
            <w:pPr>
              <w:keepNext w:val="0"/>
              <w:keepLines w:val="0"/>
              <w:widowControl/>
              <w:suppressLineNumbers w:val="0"/>
              <w:spacing w:line="360" w:lineRule="auto"/>
              <w:jc w:val="left"/>
              <w:rPr>
                <w:rFonts w:hint="default" w:ascii="宋体" w:hAnsi="宋体" w:eastAsia="宋体" w:cs="宋体"/>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cs="Times New Roman"/>
                <w:b/>
                <w:bCs/>
                <w:color w:val="000000"/>
                <w:kern w:val="0"/>
                <w:sz w:val="24"/>
                <w:szCs w:val="24"/>
                <w:lang w:val="en-US" w:eastAsia="zh-CN" w:bidi="ar"/>
              </w:rPr>
              <w:t>4、</w:t>
            </w:r>
            <w:r>
              <w:rPr>
                <w:rFonts w:hint="eastAsia" w:ascii="宋体" w:hAnsi="宋体" w:cs="宋体"/>
                <w:b/>
                <w:bCs/>
                <w:color w:val="000000"/>
                <w:kern w:val="0"/>
                <w:sz w:val="24"/>
                <w:szCs w:val="24"/>
                <w:lang w:val="en-US" w:eastAsia="zh-CN" w:bidi="ar"/>
              </w:rPr>
              <w:t>项目内外交通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规划设计沿用地北侧和西侧分别设置车行出入口，园区内部沿厂房设计环形道路，既有效地解决交通和疏散，又能兼顾到消防等规范设计要求。进入园区的车辆可沿车行道路行驶，并停放于地面停车位上。用地东侧沿芙蓉北路设置主要广场和人行出入口。</w:t>
            </w:r>
          </w:p>
          <w:p>
            <w:pPr>
              <w:keepNext w:val="0"/>
              <w:keepLines w:val="0"/>
              <w:pageBreakBefore w:val="0"/>
              <w:widowControl w:val="0"/>
              <w:numPr>
                <w:ilvl w:val="0"/>
                <w:numId w:val="3"/>
              </w:numPr>
              <w:kinsoku/>
              <w:wordWrap/>
              <w:overflowPunct/>
              <w:topLinePunct w:val="0"/>
              <w:bidi w:val="0"/>
              <w:adjustRightInd/>
              <w:snapToGrid/>
              <w:spacing w:line="360" w:lineRule="auto"/>
              <w:ind w:left="0" w:leftChars="0" w:firstLine="0" w:firstLineChars="0"/>
              <w:textAlignment w:val="auto"/>
              <w:rPr>
                <w:rFonts w:hint="eastAsia"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施工组织</w:t>
            </w:r>
          </w:p>
          <w:p>
            <w:pPr>
              <w:keepNext w:val="0"/>
              <w:keepLines w:val="0"/>
              <w:widowControl/>
              <w:suppressLineNumbers w:val="0"/>
              <w:spacing w:line="360" w:lineRule="auto"/>
              <w:jc w:val="left"/>
              <w:rPr>
                <w:rFonts w:hint="default" w:ascii="宋体" w:hAnsi="宋体" w:eastAsia="宋体" w:cs="宋体"/>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4.1、</w:t>
            </w:r>
            <w:r>
              <w:rPr>
                <w:rFonts w:hint="eastAsia" w:ascii="宋体" w:hAnsi="宋体" w:cs="宋体"/>
                <w:b/>
                <w:bCs/>
                <w:color w:val="000000"/>
                <w:kern w:val="0"/>
                <w:sz w:val="24"/>
                <w:szCs w:val="24"/>
                <w:lang w:val="en-US" w:eastAsia="zh-CN" w:bidi="ar"/>
              </w:rPr>
              <w:t>施工条件</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（1）施工用材</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本项目所在地施工基础条件较好，所需建材均可在岳阳市的建材市场内购买，也可通过招标选择供应商，签订供货合同。</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（2）施工给排水及用电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 xml:space="preserve">给水：项目附近有市政给水管网，施工期间给水从周边市政给水管引入。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 xml:space="preserve">排水现状：场区内排水按现状地势向地块西侧自然水体内汇聚。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 xml:space="preserve">施工期排水规划：施工期间，四周布设临时排水沟，结合地势布设排水措施，最后经沉沙池沉淀后排入西侧自然水体。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eastAsia="宋体" w:cs="Times New Roman"/>
                <w:color w:val="auto"/>
                <w:kern w:val="2"/>
                <w:sz w:val="24"/>
                <w:szCs w:val="24"/>
                <w:u w:val="none" w:color="auto"/>
                <w:lang w:val="en-US" w:eastAsia="zh-CN" w:bidi="ar-SA"/>
              </w:rPr>
              <w:t>用电：施工期间电力可直接从周边市政供电网接入，满足施工要求。</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（3）交通运输条件</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项目区域运输主要以公路运输为主，施工期间通过周边市政道路到达项目施工区，满足施工机械及材料的运输要求。</w:t>
            </w:r>
          </w:p>
          <w:p>
            <w:pPr>
              <w:keepNext w:val="0"/>
              <w:keepLines w:val="0"/>
              <w:widowControl/>
              <w:suppressLineNumbers w:val="0"/>
              <w:spacing w:line="360" w:lineRule="auto"/>
              <w:jc w:val="left"/>
              <w:rPr>
                <w:rFonts w:hint="default" w:ascii="宋体" w:hAnsi="宋体" w:eastAsia="宋体" w:cs="宋体"/>
                <w:b/>
                <w:bCs/>
                <w:color w:val="auto"/>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4.2、</w:t>
            </w:r>
            <w:r>
              <w:rPr>
                <w:rFonts w:hint="eastAsia" w:ascii="宋体" w:hAnsi="宋体" w:cs="宋体"/>
                <w:b/>
                <w:bCs/>
                <w:color w:val="000000"/>
                <w:kern w:val="0"/>
                <w:sz w:val="24"/>
                <w:szCs w:val="24"/>
                <w:lang w:val="en-US" w:eastAsia="zh-CN" w:bidi="ar"/>
              </w:rPr>
              <w:t>施工</w:t>
            </w:r>
            <w:r>
              <w:rPr>
                <w:rFonts w:hint="eastAsia" w:ascii="宋体" w:hAnsi="宋体" w:eastAsia="宋体" w:cs="宋体"/>
                <w:b/>
                <w:bCs/>
                <w:color w:val="000000"/>
                <w:kern w:val="0"/>
                <w:sz w:val="24"/>
                <w:szCs w:val="24"/>
                <w:lang w:val="en-US" w:eastAsia="zh-CN" w:bidi="ar"/>
              </w:rPr>
              <w:t>临建设施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（1）施工营地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single" w:color="auto"/>
                <w:lang w:val="en-US" w:eastAsia="zh-CN"/>
              </w:rPr>
              <w:t>本项目施工期在项目所在地西南侧设一处施工营地，施工营地总占地面积约2000m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single" w:color="auto"/>
                <w:lang w:val="en-US" w:eastAsia="zh-CN"/>
              </w:rPr>
              <w:t>。施工营地主要分为生产场地及生活场地，其中生产场地主要包括木工棚、钢筋加工棚；生活场地包括生产办公室及临时住房。生产场地占地面积200m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single" w:color="auto"/>
                <w:lang w:val="en-US" w:eastAsia="zh-CN"/>
              </w:rPr>
              <w:t>，其中木工棚占地面积为130m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single" w:color="auto"/>
                <w:lang w:val="en-US" w:eastAsia="zh-CN"/>
              </w:rPr>
              <w:t>，钢筋加工棚占地面积为230m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single" w:color="auto"/>
                <w:lang w:val="en-US" w:eastAsia="zh-CN"/>
              </w:rPr>
              <w:t>；生产用办公室与生活用临时住房占地面积为1400m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single" w:color="auto"/>
                <w:lang w:val="en-US" w:eastAsia="zh-CN"/>
              </w:rPr>
              <w:t>。辅助设施包括：消防器材占地20m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single" w:color="auto"/>
                <w:lang w:val="en-US" w:eastAsia="zh-CN"/>
              </w:rPr>
              <w:t>，临时配电室占地面积20m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none" w:color="auto"/>
                <w:lang w:val="en-US" w:eastAsia="zh-CN"/>
              </w:rPr>
              <w:t>。</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（2）临时堆土区</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项目土石方随挖</w:t>
            </w:r>
            <w:r>
              <w:rPr>
                <w:rFonts w:hint="eastAsia" w:ascii="Times New Roman" w:hAnsi="Times New Roman" w:cs="Times New Roman"/>
                <w:color w:val="auto"/>
                <w:kern w:val="2"/>
                <w:sz w:val="24"/>
                <w:szCs w:val="24"/>
                <w:u w:val="none" w:color="auto"/>
                <w:lang w:val="en-US" w:eastAsia="zh-CN" w:bidi="ar-SA"/>
              </w:rPr>
              <w:t>随填，</w:t>
            </w:r>
            <w:r>
              <w:rPr>
                <w:rFonts w:hint="eastAsia" w:ascii="Times New Roman" w:hAnsi="Times New Roman" w:eastAsia="宋体" w:cs="Times New Roman"/>
                <w:color w:val="auto"/>
                <w:kern w:val="2"/>
                <w:sz w:val="24"/>
                <w:szCs w:val="24"/>
                <w:u w:val="none" w:color="auto"/>
                <w:lang w:val="en-US" w:eastAsia="zh-CN" w:bidi="ar-SA"/>
              </w:rPr>
              <w:t>不布设临时堆</w:t>
            </w:r>
            <w:r>
              <w:rPr>
                <w:rFonts w:hint="eastAsia" w:ascii="Times New Roman" w:hAnsi="Times New Roman" w:cs="Times New Roman"/>
                <w:color w:val="auto"/>
                <w:kern w:val="2"/>
                <w:sz w:val="24"/>
                <w:szCs w:val="24"/>
                <w:u w:val="none" w:color="auto"/>
                <w:lang w:val="en-US" w:eastAsia="zh-CN" w:bidi="ar-SA"/>
              </w:rPr>
              <w:t>土区</w:t>
            </w:r>
            <w:r>
              <w:rPr>
                <w:rFonts w:hint="eastAsia" w:ascii="Times New Roman" w:hAnsi="Times New Roman" w:eastAsia="宋体" w:cs="Times New Roman"/>
                <w:color w:val="auto"/>
                <w:kern w:val="2"/>
                <w:sz w:val="24"/>
                <w:szCs w:val="24"/>
                <w:u w:val="none" w:color="auto"/>
                <w:lang w:val="en-US" w:eastAsia="zh-CN" w:bidi="ar-SA"/>
              </w:rPr>
              <w:t>，施工过程中土石方的调运应合理利用场地可堆放的区域，通过优化施工组织，合理安排施工时序，交叉作业，满足施工要求。</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（3）施工临时道路</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根据主体设计资料及现场勘查，本项目地块占地面积不大，且周边市政道路通达，无需新建施工便道。</w:t>
            </w:r>
          </w:p>
          <w:p>
            <w:pPr>
              <w:keepNext w:val="0"/>
              <w:keepLines w:val="0"/>
              <w:widowControl/>
              <w:suppressLineNumbers w:val="0"/>
              <w:spacing w:line="360" w:lineRule="auto"/>
              <w:jc w:val="left"/>
            </w:pPr>
            <w:r>
              <w:rPr>
                <w:rFonts w:hint="eastAsia" w:ascii="Times New Roman" w:hAnsi="Times New Roman" w:cs="Times New Roman"/>
                <w:b/>
                <w:bCs/>
                <w:color w:val="000000"/>
                <w:kern w:val="0"/>
                <w:sz w:val="24"/>
                <w:szCs w:val="24"/>
                <w:lang w:val="en-US" w:eastAsia="zh-CN" w:bidi="ar"/>
              </w:rPr>
              <w:t>4.3、</w:t>
            </w:r>
            <w:r>
              <w:rPr>
                <w:rFonts w:hint="eastAsia" w:ascii="宋体" w:hAnsi="宋体" w:eastAsia="宋体" w:cs="宋体"/>
                <w:b/>
                <w:bCs/>
                <w:color w:val="000000"/>
                <w:kern w:val="0"/>
                <w:sz w:val="24"/>
                <w:szCs w:val="24"/>
                <w:lang w:val="en-US" w:eastAsia="zh-CN" w:bidi="ar"/>
              </w:rPr>
              <w:t>工程占地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本方案工程占地面积为</w:t>
            </w:r>
            <w:r>
              <w:rPr>
                <w:rFonts w:hint="eastAsia" w:ascii="Times New Roman" w:hAnsi="Times New Roman" w:cs="Times New Roman"/>
                <w:color w:val="auto"/>
                <w:kern w:val="2"/>
                <w:sz w:val="24"/>
                <w:szCs w:val="24"/>
                <w:u w:val="none" w:color="auto"/>
                <w:lang w:val="en-US" w:eastAsia="zh-CN" w:bidi="ar-SA"/>
              </w:rPr>
              <w:t>33438.99</w:t>
            </w:r>
            <w:r>
              <w:rPr>
                <w:rFonts w:hint="eastAsia" w:ascii="Times New Roman" w:hAnsi="Times New Roman" w:cs="Times New Roman"/>
                <w:color w:val="auto"/>
                <w:sz w:val="24"/>
                <w:szCs w:val="24"/>
                <w:u w:val="none" w:color="auto"/>
                <w:lang w:val="en-US" w:eastAsia="zh-CN"/>
              </w:rPr>
              <w:t>m</w:t>
            </w:r>
            <w:r>
              <w:rPr>
                <w:rFonts w:hint="eastAsia" w:ascii="Times New Roman" w:hAnsi="Times New Roman" w:cs="Times New Roman"/>
                <w:color w:val="auto"/>
                <w:sz w:val="24"/>
                <w:szCs w:val="24"/>
                <w:u w:val="none" w:color="auto"/>
                <w:vertAlign w:val="superscript"/>
                <w:lang w:val="en-US" w:eastAsia="zh-CN"/>
              </w:rPr>
              <w:t>2</w:t>
            </w:r>
            <w:r>
              <w:rPr>
                <w:rFonts w:hint="default" w:ascii="Times New Roman" w:hAnsi="Times New Roman" w:eastAsia="宋体" w:cs="Times New Roman"/>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现状用地类型为城</w:t>
            </w:r>
            <w:r>
              <w:rPr>
                <w:rFonts w:hint="eastAsia" w:ascii="Times New Roman" w:hAnsi="Times New Roman" w:cs="Times New Roman"/>
                <w:color w:val="auto"/>
                <w:kern w:val="2"/>
                <w:sz w:val="24"/>
                <w:szCs w:val="24"/>
                <w:u w:val="none" w:color="auto"/>
                <w:lang w:val="en-US" w:eastAsia="zh-CN" w:bidi="ar-SA"/>
              </w:rPr>
              <w:t>市建设用地，</w:t>
            </w:r>
            <w:r>
              <w:rPr>
                <w:rFonts w:hint="default" w:ascii="Times New Roman" w:hAnsi="Times New Roman" w:eastAsia="宋体" w:cs="Times New Roman"/>
                <w:color w:val="auto"/>
                <w:kern w:val="2"/>
                <w:sz w:val="24"/>
                <w:szCs w:val="24"/>
                <w:u w:val="none" w:color="auto"/>
                <w:lang w:val="en-US" w:eastAsia="zh-CN" w:bidi="ar-SA"/>
              </w:rPr>
              <w:t>均为永久占地。</w:t>
            </w:r>
          </w:p>
          <w:p>
            <w:pPr>
              <w:keepNext w:val="0"/>
              <w:keepLines w:val="0"/>
              <w:widowControl/>
              <w:suppressLineNumbers w:val="0"/>
              <w:spacing w:line="360" w:lineRule="auto"/>
              <w:jc w:val="left"/>
            </w:pPr>
            <w:r>
              <w:rPr>
                <w:rFonts w:hint="default" w:ascii="Times New Roman" w:hAnsi="Times New Roman" w:eastAsia="宋体" w:cs="Times New Roman"/>
                <w:b/>
                <w:bCs/>
                <w:color w:val="000000"/>
                <w:kern w:val="0"/>
                <w:sz w:val="24"/>
                <w:szCs w:val="24"/>
                <w:lang w:val="en-US" w:eastAsia="zh-CN" w:bidi="ar"/>
              </w:rPr>
              <w:t xml:space="preserve">4.4 </w:t>
            </w:r>
            <w:r>
              <w:rPr>
                <w:rFonts w:hint="eastAsia" w:ascii="宋体" w:hAnsi="宋体" w:eastAsia="宋体" w:cs="宋体"/>
                <w:b/>
                <w:bCs/>
                <w:color w:val="000000"/>
                <w:kern w:val="0"/>
                <w:sz w:val="24"/>
                <w:szCs w:val="24"/>
                <w:lang w:val="en-US" w:eastAsia="zh-CN" w:bidi="ar"/>
              </w:rPr>
              <w:t>土石方平衡</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4.4.</w:t>
            </w:r>
            <w:r>
              <w:rPr>
                <w:rFonts w:hint="eastAsia" w:ascii="Times New Roman" w:hAnsi="Times New Roman"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 xml:space="preserve"> 主体工程土石方平衡与调配</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（1）项目挖方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eastAsia="宋体" w:cs="Times New Roman"/>
                <w:color w:val="auto"/>
                <w:kern w:val="2"/>
                <w:sz w:val="24"/>
                <w:szCs w:val="24"/>
                <w:u w:val="single" w:color="auto"/>
                <w:lang w:val="en-US" w:eastAsia="zh-CN" w:bidi="ar-SA"/>
              </w:rPr>
              <w:t>场地平整挖方：项目原始标高</w:t>
            </w:r>
            <w:r>
              <w:rPr>
                <w:rFonts w:hint="eastAsia" w:ascii="Times New Roman" w:hAnsi="Times New Roman" w:cs="Times New Roman"/>
                <w:color w:val="auto"/>
                <w:kern w:val="2"/>
                <w:sz w:val="24"/>
                <w:szCs w:val="24"/>
                <w:u w:val="single" w:color="auto"/>
                <w:lang w:val="en-US" w:eastAsia="zh-CN" w:bidi="ar-SA"/>
              </w:rPr>
              <w:t>58</w:t>
            </w:r>
            <w:r>
              <w:rPr>
                <w:rFonts w:hint="default" w:ascii="Times New Roman" w:hAnsi="Times New Roman" w:eastAsia="宋体" w:cs="Times New Roman"/>
                <w:color w:val="auto"/>
                <w:kern w:val="2"/>
                <w:sz w:val="24"/>
                <w:szCs w:val="24"/>
                <w:u w:val="single" w:color="auto"/>
                <w:lang w:val="en-US" w:eastAsia="zh-CN" w:bidi="ar-SA"/>
              </w:rPr>
              <w:t>m~</w:t>
            </w:r>
            <w:r>
              <w:rPr>
                <w:rFonts w:hint="eastAsia" w:ascii="Times New Roman" w:hAnsi="Times New Roman" w:cs="Times New Roman"/>
                <w:color w:val="auto"/>
                <w:kern w:val="2"/>
                <w:sz w:val="24"/>
                <w:szCs w:val="24"/>
                <w:u w:val="single" w:color="auto"/>
                <w:lang w:val="en-US" w:eastAsia="zh-CN" w:bidi="ar-SA"/>
              </w:rPr>
              <w:t>73</w:t>
            </w:r>
            <w:r>
              <w:rPr>
                <w:rFonts w:hint="default" w:ascii="Times New Roman" w:hAnsi="Times New Roman" w:eastAsia="宋体" w:cs="Times New Roman"/>
                <w:color w:val="auto"/>
                <w:kern w:val="2"/>
                <w:sz w:val="24"/>
                <w:szCs w:val="24"/>
                <w:u w:val="single" w:color="auto"/>
                <w:lang w:val="en-US" w:eastAsia="zh-CN" w:bidi="ar-SA"/>
              </w:rPr>
              <w:t>m</w:t>
            </w:r>
            <w:r>
              <w:rPr>
                <w:rFonts w:hint="eastAsia" w:ascii="Times New Roman" w:hAnsi="Times New Roman" w:eastAsia="宋体" w:cs="Times New Roman"/>
                <w:color w:val="auto"/>
                <w:kern w:val="2"/>
                <w:sz w:val="24"/>
                <w:szCs w:val="24"/>
                <w:u w:val="single" w:color="auto"/>
                <w:lang w:val="en-US" w:eastAsia="zh-CN" w:bidi="ar-SA"/>
              </w:rPr>
              <w:t>，项目区整体为</w:t>
            </w:r>
            <w:r>
              <w:rPr>
                <w:rFonts w:hint="eastAsia" w:ascii="Times New Roman" w:hAnsi="Times New Roman" w:cs="Times New Roman"/>
                <w:color w:val="auto"/>
                <w:kern w:val="2"/>
                <w:sz w:val="24"/>
                <w:szCs w:val="24"/>
                <w:u w:val="single" w:color="auto"/>
                <w:lang w:val="en-US" w:eastAsia="zh-CN" w:bidi="ar-SA"/>
              </w:rPr>
              <w:t>西低东高</w:t>
            </w:r>
            <w:r>
              <w:rPr>
                <w:rFonts w:hint="eastAsia" w:ascii="Times New Roman" w:hAnsi="Times New Roman" w:eastAsia="宋体" w:cs="Times New Roman"/>
                <w:color w:val="auto"/>
                <w:kern w:val="2"/>
                <w:sz w:val="24"/>
                <w:szCs w:val="24"/>
                <w:u w:val="single" w:color="auto"/>
                <w:lang w:val="en-US" w:eastAsia="zh-CN" w:bidi="ar-SA"/>
              </w:rPr>
              <w:t>，北高南低</w:t>
            </w:r>
            <w:r>
              <w:rPr>
                <w:rFonts w:hint="eastAsia" w:ascii="Times New Roman" w:hAnsi="Times New Roman" w:cs="Times New Roman"/>
                <w:color w:val="auto"/>
                <w:kern w:val="2"/>
                <w:sz w:val="24"/>
                <w:szCs w:val="24"/>
                <w:u w:val="single" w:color="auto"/>
                <w:lang w:val="en-US" w:eastAsia="zh-CN" w:bidi="ar-SA"/>
              </w:rPr>
              <w:t>，</w:t>
            </w:r>
            <w:r>
              <w:rPr>
                <w:rFonts w:hint="eastAsia" w:ascii="Times New Roman" w:hAnsi="Times New Roman" w:eastAsia="宋体" w:cs="Times New Roman"/>
                <w:color w:val="auto"/>
                <w:kern w:val="2"/>
                <w:sz w:val="24"/>
                <w:szCs w:val="24"/>
                <w:u w:val="single" w:color="auto"/>
                <w:lang w:val="en-US" w:eastAsia="zh-CN" w:bidi="ar-SA"/>
              </w:rPr>
              <w:t>根据主体设计土方网格计算，场地平整需开挖</w:t>
            </w:r>
            <w:r>
              <w:rPr>
                <w:rFonts w:hint="eastAsia" w:ascii="Times New Roman" w:hAnsi="Times New Roman" w:cs="Times New Roman"/>
                <w:color w:val="auto"/>
                <w:kern w:val="2"/>
                <w:sz w:val="24"/>
                <w:szCs w:val="24"/>
                <w:u w:val="single" w:color="auto"/>
                <w:lang w:val="en-US" w:eastAsia="zh-CN" w:bidi="ar-SA"/>
              </w:rPr>
              <w:t>0.15</w:t>
            </w:r>
            <w:r>
              <w:rPr>
                <w:rFonts w:hint="eastAsia" w:ascii="Times New Roman" w:hAnsi="Times New Roman" w:eastAsia="宋体" w:cs="Times New Roman"/>
                <w:color w:val="auto"/>
                <w:kern w:val="2"/>
                <w:sz w:val="24"/>
                <w:szCs w:val="24"/>
                <w:u w:val="single" w:color="auto"/>
                <w:lang w:val="en-US" w:eastAsia="zh-CN" w:bidi="ar-SA"/>
              </w:rPr>
              <w:t>万</w:t>
            </w:r>
            <w:r>
              <w:rPr>
                <w:rFonts w:hint="default" w:ascii="Times New Roman" w:hAnsi="Times New Roman" w:eastAsia="宋体" w:cs="Times New Roman"/>
                <w:color w:val="auto"/>
                <w:kern w:val="2"/>
                <w:sz w:val="24"/>
                <w:szCs w:val="24"/>
                <w:u w:val="single" w:color="auto"/>
                <w:lang w:val="en-US" w:eastAsia="zh-CN" w:bidi="ar-SA"/>
              </w:rPr>
              <w:t>m</w:t>
            </w:r>
            <w:r>
              <w:rPr>
                <w:rFonts w:hint="eastAsia" w:ascii="Times New Roman" w:hAnsi="Times New Roman" w:cs="Times New Roman"/>
                <w:color w:val="auto"/>
                <w:kern w:val="2"/>
                <w:sz w:val="24"/>
                <w:szCs w:val="24"/>
                <w:u w:val="single" w:color="auto"/>
                <w:vertAlign w:val="superscript"/>
                <w:lang w:val="en-US" w:eastAsia="zh-CN" w:bidi="ar-SA"/>
              </w:rPr>
              <w:t>3</w:t>
            </w:r>
            <w:r>
              <w:rPr>
                <w:rFonts w:hint="eastAsia" w:ascii="Times New Roman" w:hAnsi="Times New Roman" w:cs="Times New Roman"/>
                <w:color w:val="auto"/>
                <w:kern w:val="2"/>
                <w:sz w:val="24"/>
                <w:szCs w:val="24"/>
                <w:u w:val="single" w:color="auto"/>
                <w:vertAlign w:val="baseline"/>
                <w:lang w:val="en-US" w:eastAsia="zh-CN" w:bidi="ar-SA"/>
              </w:rPr>
              <w:t>，就地掩埋</w:t>
            </w:r>
            <w:r>
              <w:rPr>
                <w:rFonts w:hint="eastAsia" w:ascii="Times New Roman" w:hAnsi="Times New Roman" w:eastAsia="宋体" w:cs="Times New Roman"/>
                <w:color w:val="auto"/>
                <w:kern w:val="2"/>
                <w:sz w:val="24"/>
                <w:szCs w:val="24"/>
                <w:u w:val="single" w:color="auto"/>
                <w:lang w:val="en-US" w:eastAsia="zh-CN" w:bidi="ar-SA"/>
              </w:rPr>
              <w:t>。</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（2）项目填方</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场地平整回填：根据主体设计土方网格计算，</w:t>
            </w:r>
            <w:r>
              <w:rPr>
                <w:rFonts w:hint="eastAsia" w:ascii="Times New Roman" w:hAnsi="Times New Roman" w:cs="Times New Roman"/>
                <w:color w:val="auto"/>
                <w:sz w:val="24"/>
                <w:szCs w:val="24"/>
                <w:u w:val="single" w:color="auto"/>
                <w:lang w:val="en-US" w:eastAsia="zh-CN"/>
              </w:rPr>
              <w:t>本项目平均填方高度为4.2m，本项目用地面积为33438.99</w:t>
            </w:r>
            <w:r>
              <w:rPr>
                <w:rFonts w:hint="eastAsia" w:ascii="Times New Roman" w:hAnsi="Times New Roman" w:eastAsia="宋体" w:cs="Times New Roman"/>
                <w:color w:val="auto"/>
                <w:sz w:val="24"/>
                <w:szCs w:val="24"/>
                <w:u w:val="single" w:color="auto"/>
                <w:lang w:val="en-US" w:eastAsia="zh-CN"/>
              </w:rPr>
              <w:t>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single" w:color="auto"/>
                <w:vertAlign w:val="baseline"/>
                <w:lang w:val="en-US" w:eastAsia="zh-CN"/>
              </w:rPr>
              <w:t>，</w:t>
            </w:r>
            <w:r>
              <w:rPr>
                <w:rFonts w:hint="eastAsia" w:ascii="Times New Roman" w:hAnsi="Times New Roman" w:eastAsia="宋体" w:cs="Times New Roman"/>
                <w:color w:val="auto"/>
                <w:sz w:val="24"/>
                <w:szCs w:val="24"/>
                <w:u w:val="single" w:color="auto"/>
                <w:lang w:val="en-US" w:eastAsia="zh-CN"/>
              </w:rPr>
              <w:t>回填</w:t>
            </w:r>
            <w:r>
              <w:rPr>
                <w:rFonts w:hint="eastAsia" w:ascii="Times New Roman" w:hAnsi="Times New Roman" w:cs="Times New Roman"/>
                <w:color w:val="auto"/>
                <w:sz w:val="24"/>
                <w:szCs w:val="24"/>
                <w:u w:val="single" w:color="auto"/>
                <w:lang w:val="en-US" w:eastAsia="zh-CN"/>
              </w:rPr>
              <w:t>土方</w:t>
            </w:r>
            <w:r>
              <w:rPr>
                <w:rFonts w:hint="eastAsia" w:ascii="Times New Roman" w:hAnsi="Times New Roman" w:eastAsia="宋体" w:cs="Times New Roman"/>
                <w:color w:val="auto"/>
                <w:sz w:val="24"/>
                <w:szCs w:val="24"/>
                <w:u w:val="single" w:color="auto"/>
                <w:lang w:val="en-US" w:eastAsia="zh-CN"/>
              </w:rPr>
              <w:t>约</w:t>
            </w:r>
            <w:r>
              <w:rPr>
                <w:rFonts w:hint="eastAsia" w:ascii="Times New Roman" w:hAnsi="Times New Roman" w:cs="Times New Roman"/>
                <w:color w:val="auto"/>
                <w:sz w:val="24"/>
                <w:szCs w:val="24"/>
                <w:u w:val="single" w:color="auto"/>
                <w:lang w:val="en-US" w:eastAsia="zh-CN"/>
              </w:rPr>
              <w:t>14.12</w:t>
            </w:r>
            <w:r>
              <w:rPr>
                <w:rFonts w:hint="eastAsia" w:ascii="Times New Roman" w:hAnsi="Times New Roman" w:eastAsia="宋体" w:cs="Times New Roman"/>
                <w:color w:val="auto"/>
                <w:sz w:val="24"/>
                <w:szCs w:val="24"/>
                <w:u w:val="single" w:color="auto"/>
                <w:lang w:val="en-US" w:eastAsia="zh-CN"/>
              </w:rPr>
              <w:t>万</w:t>
            </w:r>
            <w:r>
              <w:rPr>
                <w:rFonts w:hint="default" w:ascii="Times New Roman" w:hAnsi="Times New Roman" w:eastAsia="宋体" w:cs="Times New Roman"/>
                <w:color w:val="auto"/>
                <w:kern w:val="2"/>
                <w:sz w:val="24"/>
                <w:szCs w:val="24"/>
                <w:u w:val="single" w:color="auto"/>
                <w:lang w:val="en-US" w:eastAsia="zh-CN" w:bidi="ar-SA"/>
              </w:rPr>
              <w:t>m</w:t>
            </w:r>
            <w:r>
              <w:rPr>
                <w:rFonts w:hint="eastAsia" w:ascii="Times New Roman" w:hAnsi="Times New Roman" w:cs="Times New Roman"/>
                <w:color w:val="auto"/>
                <w:kern w:val="2"/>
                <w:sz w:val="24"/>
                <w:szCs w:val="24"/>
                <w:u w:val="single" w:color="auto"/>
                <w:vertAlign w:val="superscript"/>
                <w:lang w:val="en-US" w:eastAsia="zh-CN" w:bidi="ar-SA"/>
              </w:rPr>
              <w:t>3</w:t>
            </w:r>
            <w:r>
              <w:rPr>
                <w:rFonts w:hint="eastAsia" w:ascii="Times New Roman" w:hAnsi="Times New Roman" w:eastAsia="宋体" w:cs="Times New Roman"/>
                <w:color w:val="auto"/>
                <w:sz w:val="24"/>
                <w:szCs w:val="24"/>
                <w:u w:val="single" w:color="auto"/>
                <w:lang w:val="en-US" w:eastAsia="zh-CN"/>
              </w:rPr>
              <w:t>。</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（3）项目弃方</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本项目施工不产生弃方。</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（4）</w:t>
            </w:r>
            <w:r>
              <w:rPr>
                <w:rFonts w:hint="eastAsia" w:ascii="Times New Roman" w:hAnsi="Times New Roman" w:eastAsia="宋体" w:cs="Times New Roman"/>
                <w:color w:val="auto"/>
                <w:sz w:val="24"/>
                <w:szCs w:val="24"/>
                <w:u w:val="single" w:color="auto"/>
                <w:lang w:val="en-US" w:eastAsia="zh-CN"/>
              </w:rPr>
              <w:t>购土</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本项目</w:t>
            </w:r>
            <w:r>
              <w:rPr>
                <w:rFonts w:hint="eastAsia" w:ascii="Times New Roman" w:hAnsi="Times New Roman" w:cs="Times New Roman"/>
                <w:color w:val="auto"/>
                <w:sz w:val="24"/>
                <w:szCs w:val="24"/>
                <w:u w:val="single" w:color="auto"/>
                <w:lang w:val="en-US" w:eastAsia="zh-CN"/>
              </w:rPr>
              <w:t>不设置取土场，填方均外购，方量1</w:t>
            </w:r>
            <w:r>
              <w:rPr>
                <w:rFonts w:hint="eastAsia" w:ascii="Times New Roman" w:hAnsi="Times New Roman" w:cs="Times New Roman"/>
                <w:color w:val="auto"/>
                <w:kern w:val="2"/>
                <w:sz w:val="24"/>
                <w:szCs w:val="24"/>
                <w:u w:val="single" w:color="auto"/>
                <w:lang w:val="en-US" w:eastAsia="zh-CN" w:bidi="ar-SA"/>
              </w:rPr>
              <w:t>3.97</w:t>
            </w:r>
            <w:r>
              <w:rPr>
                <w:rFonts w:hint="eastAsia" w:ascii="Times New Roman" w:hAnsi="Times New Roman" w:eastAsia="宋体" w:cs="Times New Roman"/>
                <w:color w:val="auto"/>
                <w:sz w:val="24"/>
                <w:szCs w:val="24"/>
                <w:u w:val="single" w:color="auto"/>
                <w:lang w:val="en-US" w:eastAsia="zh-CN"/>
              </w:rPr>
              <w:t>万</w:t>
            </w:r>
            <w:r>
              <w:rPr>
                <w:rFonts w:hint="default" w:ascii="Times New Roman" w:hAnsi="Times New Roman" w:eastAsia="宋体" w:cs="Times New Roman"/>
                <w:color w:val="auto"/>
                <w:kern w:val="2"/>
                <w:sz w:val="24"/>
                <w:szCs w:val="24"/>
                <w:u w:val="single" w:color="auto"/>
                <w:lang w:val="en-US" w:eastAsia="zh-CN" w:bidi="ar-SA"/>
              </w:rPr>
              <w:t>m</w:t>
            </w:r>
            <w:r>
              <w:rPr>
                <w:rFonts w:hint="eastAsia" w:ascii="Times New Roman" w:hAnsi="Times New Roman" w:cs="Times New Roman"/>
                <w:color w:val="auto"/>
                <w:kern w:val="2"/>
                <w:sz w:val="24"/>
                <w:szCs w:val="24"/>
                <w:u w:val="single" w:color="auto"/>
                <w:vertAlign w:val="superscript"/>
                <w:lang w:val="en-US" w:eastAsia="zh-CN" w:bidi="ar-SA"/>
              </w:rPr>
              <w:t>3</w:t>
            </w:r>
            <w:r>
              <w:rPr>
                <w:rFonts w:hint="eastAsia" w:ascii="Times New Roman" w:hAnsi="Times New Roman" w:eastAsia="宋体" w:cs="Times New Roman"/>
                <w:color w:val="auto"/>
                <w:sz w:val="24"/>
                <w:szCs w:val="24"/>
                <w:u w:val="single" w:color="auto"/>
                <w:lang w:val="en-US" w:eastAsia="zh-CN"/>
              </w:rPr>
              <w:t>。</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（5）土石方汇总</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eastAsia" w:ascii="Times New Roman" w:hAnsi="Times New Roman" w:eastAsia="宋体" w:cs="Times New Roman"/>
                <w:color w:val="auto"/>
                <w:kern w:val="2"/>
                <w:sz w:val="24"/>
                <w:szCs w:val="24"/>
                <w:u w:val="single" w:color="auto"/>
                <w:lang w:val="en-US" w:eastAsia="zh-CN" w:bidi="ar-SA"/>
              </w:rPr>
              <w:t>本项目开挖方总量约0.15</w:t>
            </w:r>
            <w:r>
              <w:rPr>
                <w:rFonts w:hint="eastAsia" w:ascii="Times New Roman" w:hAnsi="Times New Roman" w:cs="Times New Roman"/>
                <w:color w:val="auto"/>
                <w:kern w:val="2"/>
                <w:sz w:val="24"/>
                <w:szCs w:val="24"/>
                <w:u w:val="single" w:color="auto"/>
                <w:lang w:val="en-US" w:eastAsia="zh-CN" w:bidi="ar-SA"/>
              </w:rPr>
              <w:t>万</w:t>
            </w:r>
            <w:r>
              <w:rPr>
                <w:rFonts w:hint="default" w:ascii="Times New Roman" w:hAnsi="Times New Roman" w:eastAsia="宋体" w:cs="Times New Roman"/>
                <w:color w:val="auto"/>
                <w:kern w:val="2"/>
                <w:sz w:val="24"/>
                <w:szCs w:val="24"/>
                <w:u w:val="single" w:color="auto"/>
                <w:lang w:val="en-US" w:eastAsia="zh-CN" w:bidi="ar-SA"/>
              </w:rPr>
              <w:t>m</w:t>
            </w:r>
            <w:r>
              <w:rPr>
                <w:rFonts w:hint="eastAsia" w:ascii="Times New Roman" w:hAnsi="Times New Roman" w:cs="Times New Roman"/>
                <w:color w:val="auto"/>
                <w:kern w:val="2"/>
                <w:sz w:val="24"/>
                <w:szCs w:val="24"/>
                <w:u w:val="single" w:color="auto"/>
                <w:vertAlign w:val="superscript"/>
                <w:lang w:val="en-US" w:eastAsia="zh-CN" w:bidi="ar-SA"/>
              </w:rPr>
              <w:t>3</w:t>
            </w:r>
            <w:r>
              <w:rPr>
                <w:rFonts w:hint="eastAsia" w:ascii="Times New Roman" w:hAnsi="Times New Roman" w:eastAsia="宋体" w:cs="Times New Roman"/>
                <w:color w:val="auto"/>
                <w:kern w:val="2"/>
                <w:sz w:val="24"/>
                <w:szCs w:val="24"/>
                <w:u w:val="single" w:color="auto"/>
                <w:lang w:val="en-US" w:eastAsia="zh-CN" w:bidi="ar-SA"/>
              </w:rPr>
              <w:t>；填方总量</w:t>
            </w:r>
            <w:r>
              <w:rPr>
                <w:rFonts w:hint="eastAsia" w:ascii="Times New Roman" w:hAnsi="Times New Roman" w:cs="Times New Roman"/>
                <w:color w:val="auto"/>
                <w:kern w:val="2"/>
                <w:sz w:val="24"/>
                <w:szCs w:val="24"/>
                <w:u w:val="single" w:color="auto"/>
                <w:lang w:val="en-US" w:eastAsia="zh-CN" w:bidi="ar-SA"/>
              </w:rPr>
              <w:t>14.12</w:t>
            </w:r>
            <w:r>
              <w:rPr>
                <w:rFonts w:hint="eastAsia" w:ascii="Times New Roman" w:hAnsi="Times New Roman" w:eastAsia="宋体" w:cs="Times New Roman"/>
                <w:color w:val="auto"/>
                <w:kern w:val="2"/>
                <w:sz w:val="24"/>
                <w:szCs w:val="24"/>
                <w:u w:val="single" w:color="auto"/>
                <w:lang w:val="en-US" w:eastAsia="zh-CN" w:bidi="ar-SA"/>
              </w:rPr>
              <w:t>万</w:t>
            </w:r>
            <w:r>
              <w:rPr>
                <w:rFonts w:hint="default" w:ascii="Times New Roman" w:hAnsi="Times New Roman" w:eastAsia="宋体" w:cs="Times New Roman"/>
                <w:color w:val="auto"/>
                <w:kern w:val="2"/>
                <w:sz w:val="24"/>
                <w:szCs w:val="24"/>
                <w:u w:val="single" w:color="auto"/>
                <w:lang w:val="en-US" w:eastAsia="zh-CN" w:bidi="ar-SA"/>
              </w:rPr>
              <w:t>m</w:t>
            </w:r>
            <w:r>
              <w:rPr>
                <w:rFonts w:hint="eastAsia" w:ascii="Times New Roman" w:hAnsi="Times New Roman" w:cs="Times New Roman"/>
                <w:color w:val="auto"/>
                <w:kern w:val="2"/>
                <w:sz w:val="24"/>
                <w:szCs w:val="24"/>
                <w:u w:val="single" w:color="auto"/>
                <w:vertAlign w:val="superscript"/>
                <w:lang w:val="en-US" w:eastAsia="zh-CN" w:bidi="ar-SA"/>
              </w:rPr>
              <w:t>3</w:t>
            </w:r>
            <w:r>
              <w:rPr>
                <w:rFonts w:hint="eastAsia" w:ascii="Times New Roman" w:hAnsi="Times New Roman" w:eastAsia="宋体" w:cs="Times New Roman"/>
                <w:color w:val="auto"/>
                <w:kern w:val="2"/>
                <w:sz w:val="24"/>
                <w:szCs w:val="24"/>
                <w:u w:val="single" w:color="auto"/>
                <w:lang w:val="en-US" w:eastAsia="zh-CN" w:bidi="ar-SA"/>
              </w:rPr>
              <w:t>；借方</w:t>
            </w:r>
            <w:r>
              <w:rPr>
                <w:rFonts w:hint="eastAsia" w:ascii="Times New Roman" w:hAnsi="Times New Roman" w:cs="Times New Roman"/>
                <w:color w:val="auto"/>
                <w:kern w:val="2"/>
                <w:sz w:val="24"/>
                <w:szCs w:val="24"/>
                <w:u w:val="single" w:color="auto"/>
                <w:lang w:val="en-US" w:eastAsia="zh-CN" w:bidi="ar-SA"/>
              </w:rPr>
              <w:t>13.97</w:t>
            </w:r>
            <w:r>
              <w:rPr>
                <w:rFonts w:hint="eastAsia" w:ascii="Times New Roman" w:hAnsi="Times New Roman" w:eastAsia="宋体" w:cs="Times New Roman"/>
                <w:color w:val="auto"/>
                <w:kern w:val="2"/>
                <w:sz w:val="24"/>
                <w:szCs w:val="24"/>
                <w:u w:val="single" w:color="auto"/>
                <w:lang w:val="en-US" w:eastAsia="zh-CN" w:bidi="ar-SA"/>
              </w:rPr>
              <w:t>万</w:t>
            </w:r>
            <w:r>
              <w:rPr>
                <w:rFonts w:hint="default" w:ascii="Times New Roman" w:hAnsi="Times New Roman" w:eastAsia="宋体" w:cs="Times New Roman"/>
                <w:color w:val="auto"/>
                <w:kern w:val="2"/>
                <w:sz w:val="24"/>
                <w:szCs w:val="24"/>
                <w:u w:val="single" w:color="auto"/>
                <w:lang w:val="en-US" w:eastAsia="zh-CN" w:bidi="ar-SA"/>
              </w:rPr>
              <w:t>m</w:t>
            </w:r>
            <w:r>
              <w:rPr>
                <w:rFonts w:hint="eastAsia" w:ascii="Times New Roman" w:hAnsi="Times New Roman" w:cs="Times New Roman"/>
                <w:color w:val="auto"/>
                <w:kern w:val="2"/>
                <w:sz w:val="24"/>
                <w:szCs w:val="24"/>
                <w:u w:val="single" w:color="auto"/>
                <w:vertAlign w:val="superscript"/>
                <w:lang w:val="en-US" w:eastAsia="zh-CN" w:bidi="ar-SA"/>
              </w:rPr>
              <w:t>3</w:t>
            </w:r>
            <w:r>
              <w:rPr>
                <w:rFonts w:hint="eastAsia" w:ascii="Times New Roman" w:hAnsi="Times New Roman" w:eastAsia="宋体" w:cs="Times New Roman"/>
                <w:color w:val="auto"/>
                <w:kern w:val="2"/>
                <w:sz w:val="24"/>
                <w:szCs w:val="24"/>
                <w:u w:val="single" w:color="auto"/>
                <w:lang w:val="en-US" w:eastAsia="zh-CN" w:bidi="ar-SA"/>
              </w:rPr>
              <w:t>；</w:t>
            </w:r>
            <w:r>
              <w:rPr>
                <w:rFonts w:hint="default" w:ascii="Times New Roman" w:hAnsi="Times New Roman" w:cs="Times New Roman" w:eastAsiaTheme="minorEastAsia"/>
                <w:color w:val="auto"/>
                <w:kern w:val="2"/>
                <w:sz w:val="24"/>
                <w:szCs w:val="24"/>
                <w:u w:val="single" w:color="auto"/>
                <w:lang w:val="en-US" w:eastAsia="zh-CN" w:bidi="ar-SA"/>
              </w:rPr>
              <w:t>无弃</w:t>
            </w:r>
            <w:r>
              <w:rPr>
                <w:rFonts w:hint="default" w:ascii="Times New Roman" w:hAnsi="Times New Roman" w:cs="Times New Roman"/>
                <w:color w:val="auto"/>
                <w:sz w:val="24"/>
                <w:szCs w:val="24"/>
                <w:u w:val="single" w:color="auto"/>
                <w:lang w:val="en-US" w:eastAsia="zh-CN"/>
              </w:rPr>
              <w:t>方。项目不设取、弃土场，借方均为建设单位外购土方。</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（6）土石方来源使用要求</w:t>
            </w:r>
          </w:p>
          <w:p>
            <w:pPr>
              <w:pStyle w:val="2"/>
              <w:keepNext w:val="0"/>
              <w:keepLines w:val="0"/>
              <w:pageBreakBefore w:val="0"/>
              <w:widowControl/>
              <w:kinsoku/>
              <w:wordWrap/>
              <w:overflowPunct/>
              <w:topLinePunct w:val="0"/>
              <w:autoSpaceDE/>
              <w:autoSpaceDN/>
              <w:bidi w:val="0"/>
              <w:adjustRightInd/>
              <w:snapToGrid w:val="0"/>
              <w:spacing w:line="360" w:lineRule="auto"/>
              <w:ind w:right="113" w:firstLine="480" w:firstLineChars="200"/>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cs="Times New Roman"/>
                <w:color w:val="auto"/>
                <w:sz w:val="24"/>
                <w:szCs w:val="24"/>
                <w:u w:val="single" w:color="auto"/>
                <w:lang w:val="en-US" w:eastAsia="zh-CN"/>
              </w:rPr>
              <w:t xml:space="preserve">外购土方需满足土壤环境质量 建设用地土壤污染风险管控标准(试行)GB 36600-2018 </w:t>
            </w:r>
            <w:r>
              <w:rPr>
                <w:rFonts w:hint="eastAsia" w:ascii="Times New Roman" w:hAnsi="Times New Roman" w:cs="Times New Roman"/>
                <w:color w:val="auto"/>
                <w:sz w:val="24"/>
                <w:szCs w:val="24"/>
                <w:u w:val="single" w:color="auto"/>
                <w:lang w:val="en-US" w:eastAsia="zh-CN"/>
              </w:rPr>
              <w:t>二类标准</w:t>
            </w:r>
            <w:r>
              <w:rPr>
                <w:rFonts w:hint="default" w:ascii="Times New Roman" w:hAnsi="Times New Roman" w:cs="Times New Roman"/>
                <w:color w:val="auto"/>
                <w:sz w:val="24"/>
                <w:szCs w:val="24"/>
                <w:u w:val="single" w:color="auto"/>
                <w:lang w:val="en-US" w:eastAsia="zh-CN"/>
              </w:rPr>
              <w:t>，不得使用污染土壤</w:t>
            </w:r>
            <w:r>
              <w:rPr>
                <w:rFonts w:hint="eastAsia" w:ascii="Times New Roman" w:hAnsi="Times New Roman" w:cs="Times New Roman"/>
                <w:color w:val="auto"/>
                <w:sz w:val="24"/>
                <w:szCs w:val="24"/>
                <w:u w:val="single" w:color="auto"/>
                <w:lang w:val="en-US" w:eastAsia="zh-CN"/>
              </w:rPr>
              <w:t>。</w:t>
            </w:r>
          </w:p>
          <w:p>
            <w:pPr>
              <w:keepNext w:val="0"/>
              <w:keepLines w:val="0"/>
              <w:widowControl/>
              <w:suppressLineNumbers w:val="0"/>
              <w:spacing w:line="360" w:lineRule="auto"/>
              <w:jc w:val="left"/>
              <w:rPr>
                <w:color w:val="auto"/>
              </w:rPr>
            </w:pPr>
            <w:r>
              <w:rPr>
                <w:rFonts w:hint="eastAsia" w:ascii="Times New Roman" w:hAnsi="Times New Roman" w:cs="Times New Roman"/>
                <w:b/>
                <w:bCs/>
                <w:color w:val="auto"/>
                <w:kern w:val="0"/>
                <w:sz w:val="24"/>
                <w:szCs w:val="24"/>
                <w:lang w:val="en-US" w:eastAsia="zh-CN" w:bidi="ar"/>
              </w:rPr>
              <w:t>4.5、</w:t>
            </w:r>
            <w:r>
              <w:rPr>
                <w:rFonts w:hint="eastAsia" w:ascii="宋体" w:hAnsi="宋体" w:eastAsia="宋体" w:cs="宋体"/>
                <w:b/>
                <w:bCs/>
                <w:color w:val="auto"/>
                <w:kern w:val="0"/>
                <w:sz w:val="24"/>
                <w:szCs w:val="24"/>
                <w:lang w:val="en-US" w:eastAsia="zh-CN" w:bidi="ar"/>
              </w:rPr>
              <w:t>拆迁（移民）安置与专项设施改（迁）建</w:t>
            </w:r>
          </w:p>
          <w:p>
            <w:pPr>
              <w:pStyle w:val="8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项目建设范围内相关拆迁安置工作已完成，现状不涉及。</w:t>
            </w:r>
          </w:p>
        </w:tc>
      </w:tr>
    </w:tbl>
    <w:p>
      <w:pPr>
        <w:adjustRightInd w:val="0"/>
        <w:snapToGrid w:val="0"/>
        <w:jc w:val="center"/>
        <w:rPr>
          <w:rFonts w:ascii="Times New Roman" w:hAnsi="Times New Roman"/>
          <w:color w:val="FF0000"/>
          <w:kern w:val="0"/>
          <w:sz w:val="24"/>
          <w:szCs w:val="24"/>
          <w:u w:val="none" w:color="auto"/>
        </w:rPr>
      </w:pPr>
      <w:r>
        <w:rPr>
          <w:rFonts w:ascii="Times New Roman" w:hAnsi="Times New Roman"/>
          <w:color w:val="FF0000"/>
          <w:kern w:val="0"/>
          <w:sz w:val="24"/>
          <w:szCs w:val="24"/>
          <w:u w:val="none" w:color="auto"/>
        </w:rPr>
        <w:br w:type="page"/>
      </w:r>
    </w:p>
    <w:tbl>
      <w:tblPr>
        <w:tblStyle w:val="30"/>
        <w:tblW w:w="88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75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9" w:hRule="atLeast"/>
          <w:jc w:val="center"/>
        </w:trPr>
        <w:tc>
          <w:tcPr>
            <w:tcW w:w="1303" w:type="dxa"/>
            <w:vAlign w:val="center"/>
          </w:tcPr>
          <w:p>
            <w:pPr>
              <w:adjustRightInd w:val="0"/>
              <w:snapToGrid w:val="0"/>
              <w:jc w:val="center"/>
              <w:rPr>
                <w:rFonts w:ascii="Times New Roman" w:hAnsi="Times New Roman"/>
                <w:color w:val="FF0000"/>
                <w:kern w:val="0"/>
                <w:sz w:val="24"/>
                <w:szCs w:val="24"/>
                <w:u w:val="none" w:color="auto"/>
              </w:rPr>
            </w:pPr>
            <w:r>
              <w:rPr>
                <w:rFonts w:hint="default" w:ascii="Times New Roman" w:hAnsi="Times New Roman" w:cs="Times New Roman"/>
                <w:color w:val="auto"/>
                <w:kern w:val="0"/>
                <w:sz w:val="21"/>
                <w:szCs w:val="21"/>
                <w:u w:val="none" w:color="auto"/>
              </w:rPr>
              <w:t>总平面及现场布置</w:t>
            </w:r>
          </w:p>
        </w:tc>
        <w:tc>
          <w:tcPr>
            <w:tcW w:w="7596" w:type="dxa"/>
            <w:vAlign w:val="center"/>
          </w:tcPr>
          <w:p>
            <w:pPr>
              <w:keepNext w:val="0"/>
              <w:keepLines w:val="0"/>
              <w:widowControl/>
              <w:suppressLineNumbers w:val="0"/>
              <w:spacing w:line="360" w:lineRule="auto"/>
              <w:jc w:val="left"/>
            </w:pPr>
            <w:r>
              <w:rPr>
                <w:rFonts w:hint="eastAsia" w:ascii="Times New Roman" w:hAnsi="Times New Roman"/>
                <w:b/>
                <w:bCs/>
                <w:color w:val="auto"/>
                <w:sz w:val="24"/>
                <w:szCs w:val="24"/>
                <w:u w:val="none" w:color="auto"/>
                <w:lang w:val="en-US" w:eastAsia="zh-CN"/>
              </w:rPr>
              <w:t>1、</w:t>
            </w:r>
            <w:r>
              <w:rPr>
                <w:rFonts w:hint="eastAsia" w:ascii="Times New Roman" w:hAnsi="Times New Roman"/>
                <w:b/>
                <w:bCs/>
                <w:color w:val="auto"/>
                <w:sz w:val="24"/>
                <w:szCs w:val="24"/>
                <w:u w:val="none" w:color="auto"/>
              </w:rPr>
              <w:t>施工</w:t>
            </w:r>
            <w:r>
              <w:rPr>
                <w:rFonts w:hint="eastAsia" w:ascii="宋体" w:hAnsi="宋体" w:eastAsia="宋体" w:cs="宋体"/>
                <w:b/>
                <w:bCs/>
                <w:color w:val="auto"/>
                <w:kern w:val="0"/>
                <w:sz w:val="24"/>
                <w:szCs w:val="24"/>
                <w:lang w:val="en-US" w:eastAsia="zh-CN" w:bidi="ar"/>
              </w:rPr>
              <w:t>营</w:t>
            </w:r>
            <w:r>
              <w:rPr>
                <w:rFonts w:hint="eastAsia" w:ascii="宋体" w:hAnsi="宋体" w:eastAsia="宋体" w:cs="宋体"/>
                <w:b/>
                <w:bCs/>
                <w:color w:val="000000"/>
                <w:kern w:val="0"/>
                <w:sz w:val="24"/>
                <w:szCs w:val="24"/>
                <w:lang w:val="en-US" w:eastAsia="zh-CN" w:bidi="ar"/>
              </w:rPr>
              <w:t>地布置</w:t>
            </w:r>
          </w:p>
          <w:p>
            <w:pPr>
              <w:pStyle w:val="83"/>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 xml:space="preserve">本项目拟在项目所在地西南侧设立一处施工营地，占地面积 </w:t>
            </w:r>
            <w:r>
              <w:rPr>
                <w:rFonts w:hint="default" w:ascii="Times New Roman" w:hAnsi="Times New Roman" w:eastAsia="宋体" w:cs="Times New Roman"/>
                <w:color w:val="auto"/>
                <w:sz w:val="24"/>
                <w:szCs w:val="24"/>
                <w:u w:val="none" w:color="auto"/>
                <w:lang w:val="en-US" w:eastAsia="zh-CN"/>
              </w:rPr>
              <w:t>2000m</w:t>
            </w:r>
            <w:r>
              <w:rPr>
                <w:rFonts w:hint="default" w:ascii="Times New Roman" w:hAnsi="Times New Roman" w:eastAsia="宋体"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施工营地主要包括生产场地及生活场地，其中生产场地包括木工棚、钢筋加工棚；生活场地主要包括生产用办公室及生活用临时住房。生产场地建设在办公楼与居住房之间的空地处，远离生活场地，项目生活场地设立在项目西北侧。</w:t>
            </w:r>
          </w:p>
          <w:p>
            <w:pPr>
              <w:adjustRightInd w:val="0"/>
              <w:spacing w:line="360" w:lineRule="auto"/>
              <w:rPr>
                <w:rFonts w:hint="eastAsia" w:ascii="Times New Roman" w:hAnsi="Times New Roman" w:cs="Times New Roman"/>
                <w:bCs/>
                <w:color w:val="auto"/>
                <w:sz w:val="24"/>
                <w:szCs w:val="24"/>
                <w:u w:val="none" w:color="auto"/>
                <w:lang w:val="en-US" w:eastAsia="zh-CN"/>
              </w:rPr>
            </w:pPr>
            <w:r>
              <w:rPr>
                <w:rFonts w:hint="eastAsia" w:ascii="Times New Roman" w:hAnsi="Times New Roman"/>
                <w:b/>
                <w:bCs w:val="0"/>
                <w:color w:val="auto"/>
                <w:sz w:val="24"/>
                <w:szCs w:val="24"/>
                <w:u w:val="none" w:color="auto"/>
                <w:lang w:val="en-US" w:eastAsia="zh-CN"/>
              </w:rPr>
              <w:t>2、运营期布置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bCs/>
                <w:color w:val="FF0000"/>
                <w:sz w:val="24"/>
                <w:szCs w:val="24"/>
                <w:u w:val="none" w:color="auto"/>
              </w:rPr>
            </w:pPr>
            <w:r>
              <w:rPr>
                <w:rFonts w:hint="eastAsia" w:ascii="Times New Roman" w:hAnsi="Times New Roman" w:eastAsia="宋体" w:cs="Times New Roman"/>
                <w:bCs/>
                <w:color w:val="auto"/>
                <w:sz w:val="24"/>
                <w:szCs w:val="24"/>
                <w:u w:val="none" w:color="auto"/>
                <w:lang w:val="en-US" w:eastAsia="zh-CN"/>
              </w:rPr>
              <w:t>项目建成后整体呈不规则形状，厂区车行主入口布置在厂区北侧</w:t>
            </w:r>
            <w:r>
              <w:rPr>
                <w:rFonts w:hint="eastAsia" w:ascii="Times New Roman" w:hAnsi="Times New Roman" w:cs="Times New Roman"/>
                <w:bCs/>
                <w:color w:val="auto"/>
                <w:sz w:val="24"/>
                <w:szCs w:val="24"/>
                <w:u w:val="none" w:color="auto"/>
                <w:lang w:val="en-US" w:eastAsia="zh-CN"/>
              </w:rPr>
              <w:t>、西侧</w:t>
            </w:r>
            <w:r>
              <w:rPr>
                <w:rFonts w:hint="eastAsia" w:ascii="Times New Roman" w:hAnsi="Times New Roman" w:eastAsia="宋体" w:cs="Times New Roman"/>
                <w:bCs/>
                <w:color w:val="auto"/>
                <w:sz w:val="24"/>
                <w:szCs w:val="24"/>
                <w:u w:val="none" w:color="auto"/>
                <w:lang w:val="en-US" w:eastAsia="zh-CN"/>
              </w:rPr>
              <w:t>，人行主入口布置在厂区东侧。</w:t>
            </w:r>
            <w:r>
              <w:rPr>
                <w:rFonts w:hint="eastAsia" w:ascii="Times New Roman" w:hAnsi="Times New Roman" w:cs="Times New Roman"/>
                <w:bCs/>
                <w:color w:val="auto"/>
                <w:sz w:val="24"/>
                <w:szCs w:val="24"/>
                <w:u w:val="none" w:color="auto"/>
                <w:lang w:val="en-US" w:eastAsia="zh-CN"/>
              </w:rPr>
              <w:t>二期</w:t>
            </w:r>
            <w:r>
              <w:rPr>
                <w:rFonts w:hint="eastAsia" w:ascii="Times New Roman" w:hAnsi="Times New Roman" w:eastAsia="宋体" w:cs="Times New Roman"/>
                <w:bCs/>
                <w:color w:val="auto"/>
                <w:sz w:val="24"/>
                <w:szCs w:val="24"/>
                <w:u w:val="none" w:color="auto"/>
                <w:lang w:val="en-US" w:eastAsia="zh-CN"/>
              </w:rPr>
              <w:t>厂区主要为生产厂房。平面布置图详见附图</w:t>
            </w:r>
            <w:r>
              <w:rPr>
                <w:rFonts w:hint="eastAsia" w:ascii="Times New Roman" w:hAnsi="Times New Roman" w:cs="Times New Roman"/>
                <w:bCs/>
                <w:color w:val="auto"/>
                <w:sz w:val="24"/>
                <w:szCs w:val="24"/>
                <w:u w:val="none" w:color="auto"/>
                <w:lang w:val="en-US" w:eastAsia="zh-CN"/>
              </w:rPr>
              <w:t>3</w:t>
            </w:r>
            <w:r>
              <w:rPr>
                <w:rFonts w:hint="eastAsia" w:ascii="Times New Roman" w:hAnsi="Times New Roman" w:eastAsia="宋体" w:cs="Times New Roman"/>
                <w:bCs/>
                <w:color w:val="auto"/>
                <w:sz w:val="24"/>
                <w:szCs w:val="24"/>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0" w:hRule="atLeast"/>
          <w:jc w:val="center"/>
        </w:trPr>
        <w:tc>
          <w:tcPr>
            <w:tcW w:w="1303" w:type="dxa"/>
            <w:vAlign w:val="center"/>
          </w:tcPr>
          <w:p>
            <w:pPr>
              <w:spacing w:line="360" w:lineRule="auto"/>
              <w:jc w:val="center"/>
              <w:rPr>
                <w:rFonts w:ascii="Times New Roman" w:hAnsi="Times New Roman"/>
                <w:color w:val="FF0000"/>
                <w:kern w:val="0"/>
                <w:sz w:val="24"/>
                <w:szCs w:val="24"/>
                <w:u w:val="none" w:color="auto"/>
              </w:rPr>
            </w:pPr>
            <w:r>
              <w:rPr>
                <w:rFonts w:hint="default" w:ascii="Times New Roman" w:hAnsi="Times New Roman" w:cs="Times New Roman"/>
                <w:color w:val="auto"/>
                <w:kern w:val="0"/>
                <w:sz w:val="21"/>
                <w:szCs w:val="21"/>
                <w:u w:val="none" w:color="auto"/>
              </w:rPr>
              <w:t>施工方案</w:t>
            </w:r>
          </w:p>
        </w:tc>
        <w:tc>
          <w:tcPr>
            <w:tcW w:w="7596" w:type="dxa"/>
          </w:tcPr>
          <w:p>
            <w:pPr>
              <w:pStyle w:val="7"/>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u w:val="none" w:color="auto"/>
                <w:lang w:val="en-US"/>
              </w:rPr>
            </w:pPr>
            <w:r>
              <w:rPr>
                <w:rFonts w:hint="eastAsia" w:ascii="Times New Roman" w:hAnsi="Times New Roman" w:cs="Times New Roman"/>
                <w:color w:val="auto"/>
                <w:sz w:val="24"/>
                <w:szCs w:val="24"/>
                <w:u w:val="none" w:color="auto"/>
                <w:lang w:val="en-US" w:eastAsia="zh-CN"/>
              </w:rPr>
              <w:t>1</w:t>
            </w:r>
            <w:r>
              <w:rPr>
                <w:rFonts w:hint="eastAsia" w:ascii="Times New Roman" w:hAnsi="Times New Roman" w:eastAsia="宋体" w:cs="Times New Roman"/>
                <w:color w:val="auto"/>
                <w:sz w:val="24"/>
                <w:szCs w:val="24"/>
                <w:u w:val="none" w:color="auto"/>
                <w:lang w:val="en-US" w:eastAsia="zh-CN"/>
              </w:rPr>
              <w:t>、</w:t>
            </w:r>
            <w:r>
              <w:rPr>
                <w:rFonts w:hint="eastAsia" w:ascii="Times New Roman" w:hAnsi="Times New Roman" w:cs="Times New Roman"/>
                <w:color w:val="auto"/>
                <w:sz w:val="24"/>
                <w:szCs w:val="24"/>
                <w:u w:val="none" w:color="auto"/>
                <w:lang w:val="en-US" w:eastAsia="zh-CN"/>
              </w:rPr>
              <w:t>施工方案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Cs/>
                <w:color w:val="auto"/>
                <w:sz w:val="24"/>
                <w:szCs w:val="24"/>
                <w:u w:val="single" w:color="auto"/>
                <w:lang w:val="en-US" w:eastAsia="zh-CN"/>
              </w:rPr>
            </w:pPr>
            <w:r>
              <w:rPr>
                <w:rFonts w:hint="eastAsia" w:ascii="Times New Roman" w:hAnsi="Times New Roman" w:eastAsia="宋体" w:cs="Times New Roman"/>
                <w:bCs/>
                <w:color w:val="auto"/>
                <w:sz w:val="24"/>
                <w:szCs w:val="24"/>
                <w:u w:val="single" w:color="auto"/>
                <w:lang w:val="en-US" w:eastAsia="zh-CN"/>
              </w:rPr>
              <w:t>具体工艺流程详见下图：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667885" cy="2661285"/>
                  <wp:effectExtent l="0" t="0" r="18415" b="5715"/>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6"/>
                          <a:stretch>
                            <a:fillRect/>
                          </a:stretch>
                        </pic:blipFill>
                        <pic:spPr>
                          <a:xfrm>
                            <a:off x="0" y="0"/>
                            <a:ext cx="4667885" cy="2661285"/>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bCs/>
                <w:color w:val="auto"/>
                <w:kern w:val="0"/>
                <w:sz w:val="21"/>
                <w:szCs w:val="21"/>
                <w:u w:val="single" w:color="auto"/>
                <w:lang w:val="en-US" w:eastAsia="zh-CN" w:bidi="ar"/>
              </w:rPr>
              <w:t xml:space="preserve">图 2-1 </w:t>
            </w:r>
            <w:r>
              <w:rPr>
                <w:rFonts w:hint="eastAsia" w:ascii="Times New Roman" w:hAnsi="Times New Roman" w:cs="Times New Roman" w:eastAsiaTheme="minorEastAsia"/>
                <w:b/>
                <w:bCs/>
                <w:color w:val="auto"/>
                <w:kern w:val="0"/>
                <w:sz w:val="21"/>
                <w:szCs w:val="21"/>
                <w:u w:val="single" w:color="auto"/>
                <w:lang w:val="en-US" w:eastAsia="zh-CN" w:bidi="ar"/>
              </w:rPr>
              <w:t xml:space="preserve"> </w:t>
            </w:r>
            <w:r>
              <w:rPr>
                <w:rFonts w:hint="default" w:ascii="Times New Roman" w:hAnsi="Times New Roman" w:cs="Times New Roman" w:eastAsiaTheme="minorEastAsia"/>
                <w:b/>
                <w:bCs/>
                <w:color w:val="auto"/>
                <w:kern w:val="0"/>
                <w:sz w:val="21"/>
                <w:szCs w:val="21"/>
                <w:u w:val="single" w:color="auto"/>
                <w:lang w:val="en-US" w:eastAsia="zh-CN" w:bidi="ar"/>
              </w:rPr>
              <w:t>施工期工艺流程及产污节点图</w:t>
            </w:r>
          </w:p>
          <w:p>
            <w:pPr>
              <w:pStyle w:val="2"/>
              <w:keepNext w:val="0"/>
              <w:keepLines w:val="0"/>
              <w:pageBreakBefore w:val="0"/>
              <w:widowControl/>
              <w:kinsoku/>
              <w:wordWrap/>
              <w:overflowPunct/>
              <w:topLinePunct w:val="0"/>
              <w:autoSpaceDE/>
              <w:autoSpaceDN/>
              <w:bidi w:val="0"/>
              <w:adjustRightInd/>
              <w:snapToGrid w:val="0"/>
              <w:spacing w:line="260" w:lineRule="auto"/>
              <w:ind w:right="113" w:firstLine="482" w:firstLineChars="200"/>
              <w:textAlignment w:val="auto"/>
              <w:rPr>
                <w:rFonts w:hint="eastAsia" w:ascii="Times New Roman" w:hAnsi="Times New Roman" w:eastAsia="宋体" w:cs="Times New Roman"/>
                <w:bCs/>
                <w:color w:val="auto"/>
                <w:kern w:val="2"/>
                <w:sz w:val="24"/>
                <w:szCs w:val="24"/>
                <w:u w:val="single" w:color="auto"/>
                <w:lang w:val="en-US" w:eastAsia="zh-CN" w:bidi="ar-SA"/>
              </w:rPr>
            </w:pPr>
            <w:r>
              <w:rPr>
                <w:rFonts w:hint="eastAsia" w:ascii="Times New Roman" w:hAnsi="Times New Roman" w:eastAsia="宋体" w:cs="Times New Roman"/>
                <w:b/>
                <w:bCs w:val="0"/>
                <w:color w:val="auto"/>
                <w:kern w:val="2"/>
                <w:sz w:val="24"/>
                <w:szCs w:val="24"/>
                <w:u w:val="single" w:color="auto"/>
                <w:lang w:val="en-US" w:eastAsia="zh-CN" w:bidi="ar-SA"/>
              </w:rPr>
              <w:t>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bCs w:val="0"/>
                <w:color w:val="auto"/>
                <w:sz w:val="24"/>
                <w:szCs w:val="24"/>
                <w:u w:val="single" w:color="auto"/>
                <w:lang w:val="en-US" w:eastAsia="zh-CN"/>
              </w:rPr>
            </w:pPr>
            <w:r>
              <w:rPr>
                <w:rFonts w:hint="eastAsia" w:ascii="Times New Roman" w:hAnsi="Times New Roman" w:cs="Times New Roman"/>
                <w:b/>
                <w:bCs w:val="0"/>
                <w:color w:val="auto"/>
                <w:sz w:val="24"/>
                <w:szCs w:val="24"/>
                <w:u w:val="single" w:color="auto"/>
                <w:lang w:val="en-US" w:eastAsia="zh-CN"/>
              </w:rPr>
              <w:t>1.1、施工准备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cs="Times New Roman"/>
                <w:bCs/>
                <w:color w:val="auto"/>
                <w:sz w:val="24"/>
                <w:szCs w:val="24"/>
                <w:u w:val="single" w:color="auto"/>
                <w:lang w:val="en-US" w:eastAsia="zh-CN"/>
              </w:rPr>
            </w:pPr>
            <w:r>
              <w:rPr>
                <w:rFonts w:hint="eastAsia" w:ascii="Times New Roman" w:hAnsi="Times New Roman" w:cs="Times New Roman"/>
                <w:bCs/>
                <w:color w:val="auto"/>
                <w:sz w:val="24"/>
                <w:szCs w:val="24"/>
                <w:u w:val="single" w:color="auto"/>
                <w:lang w:val="en-US" w:eastAsia="zh-CN"/>
              </w:rPr>
              <w:t>施工准备主要为平整施工场地，即七通一平。一是通过场地的平整，使场地的施工自然标髙达到设计要求的高度，二是在平整场地的过程中，建立必要的、能够方案满足施工要求的供水、排水、供电、道路以及临时建筑等基础设施，从而使施工中所要求的必要条件得到充分的满足。建筑工人利用推土机、挖掘机等设备将该地块进行平整，利用压路机分片压碾，并浇水湿润填土以利于密实。然后利用起重机械吊起特制的重锤来冲击基土表面，使地基受到压密，一般夯打为8～12遍。该工段主要污染物为施工机械产生的噪声、粉尘和尾气、土石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bCs w:val="0"/>
                <w:color w:val="auto"/>
                <w:sz w:val="24"/>
                <w:szCs w:val="24"/>
                <w:u w:val="single" w:color="auto"/>
                <w:lang w:val="en-US" w:eastAsia="zh-CN"/>
              </w:rPr>
            </w:pPr>
            <w:r>
              <w:rPr>
                <w:rFonts w:hint="eastAsia" w:ascii="Times New Roman" w:hAnsi="Times New Roman" w:cs="Times New Roman"/>
                <w:b/>
                <w:bCs w:val="0"/>
                <w:color w:val="auto"/>
                <w:sz w:val="24"/>
                <w:szCs w:val="24"/>
                <w:u w:val="single" w:color="auto"/>
                <w:lang w:val="en-US" w:eastAsia="zh-CN"/>
              </w:rPr>
              <w:t>1.2、基础工程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cs="Times New Roman"/>
                <w:bCs/>
                <w:color w:val="auto"/>
                <w:sz w:val="24"/>
                <w:szCs w:val="24"/>
                <w:u w:val="single" w:color="auto"/>
                <w:lang w:val="en-US" w:eastAsia="zh-CN"/>
              </w:rPr>
            </w:pPr>
            <w:r>
              <w:rPr>
                <w:rFonts w:hint="eastAsia" w:ascii="Times New Roman" w:hAnsi="Times New Roman" w:cs="Times New Roman"/>
                <w:bCs/>
                <w:color w:val="auto"/>
                <w:sz w:val="24"/>
                <w:szCs w:val="24"/>
                <w:u w:val="single" w:color="auto"/>
                <w:lang w:val="en-US" w:eastAsia="zh-CN"/>
              </w:rPr>
              <w:t>基础工程的施工流程及内容主要为：定位放线→复核（包括轴线，坐标）→桩机（选型）就位→打桩→测桩→基槽开挖→破桩头→找平→浇筑砼垫层→轴线引设→承台模板及梁底模板安装→钢筋制安→承台侧模板及基础梁侧模板安装→基础模板、钢筋验收→浇筑基础砼→养护→基础砖砌筑。该工段主要污染物为施工机械产生的噪声、粉尘和排放的尾气。由于粉尘和噪声只是对周围局部环境影响，从整个施工期来看，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val="0"/>
                <w:bCs/>
                <w:color w:val="auto"/>
                <w:sz w:val="24"/>
                <w:szCs w:val="24"/>
                <w:u w:val="single" w:color="auto"/>
                <w:lang w:val="en-US" w:eastAsia="zh-CN"/>
              </w:rPr>
            </w:pPr>
            <w:r>
              <w:rPr>
                <w:rFonts w:hint="default" w:ascii="Times New Roman" w:hAnsi="Times New Roman" w:cs="Times New Roman"/>
                <w:b/>
                <w:bCs w:val="0"/>
                <w:color w:val="auto"/>
                <w:sz w:val="24"/>
                <w:szCs w:val="24"/>
                <w:u w:val="single" w:color="auto"/>
                <w:lang w:val="en-US" w:eastAsia="zh-CN"/>
              </w:rPr>
              <w:t>1.3</w:t>
            </w:r>
            <w:r>
              <w:rPr>
                <w:rFonts w:hint="eastAsia" w:ascii="Times New Roman" w:hAnsi="Times New Roman" w:cs="Times New Roman"/>
                <w:b/>
                <w:bCs w:val="0"/>
                <w:color w:val="auto"/>
                <w:sz w:val="24"/>
                <w:szCs w:val="24"/>
                <w:u w:val="single" w:color="auto"/>
                <w:lang w:val="en-US" w:eastAsia="zh-CN"/>
              </w:rPr>
              <w:t>、主体工程</w:t>
            </w:r>
            <w:r>
              <w:rPr>
                <w:rFonts w:hint="eastAsia" w:ascii="Times New Roman" w:hAnsi="Times New Roman" w:cs="Times New Roman"/>
                <w:b w:val="0"/>
                <w:bCs/>
                <w:color w:val="auto"/>
                <w:sz w:val="24"/>
                <w:szCs w:val="24"/>
                <w:u w:val="single" w:color="auto"/>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cs="Times New Roman"/>
                <w:bCs/>
                <w:color w:val="auto"/>
                <w:sz w:val="24"/>
                <w:szCs w:val="24"/>
                <w:u w:val="single" w:color="auto"/>
                <w:lang w:val="en-US" w:eastAsia="zh-CN"/>
              </w:rPr>
            </w:pPr>
            <w:r>
              <w:rPr>
                <w:rFonts w:hint="eastAsia" w:ascii="Times New Roman" w:hAnsi="Times New Roman" w:cs="Times New Roman"/>
                <w:bCs/>
                <w:color w:val="auto"/>
                <w:sz w:val="24"/>
                <w:szCs w:val="24"/>
                <w:u w:val="single" w:color="auto"/>
                <w:lang w:val="en-US" w:eastAsia="zh-CN"/>
              </w:rPr>
              <w:t>拟建项目主体工程主要为现浇钢砼柱、梁，砖墙砌筑。根据施工图纸，进行钢筋的配料和加工，安装于架好的模板之处，及时连续灌筑混凝土，并捣实使混凝土成型。本项目在混凝土厂房砖墙砌筑时，首先进行水泥砂浆的调配，然后再挂线砌筑；钢构结构厂房建造时，地面主体工程主要为钢结构架设、墙体及屋面板材铺设。该工段工期较长，主要污染物为搅拌机产生的噪声、尾气，搅拌砂浆时的砂浆水，碎砖和废砂等固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bCs w:val="0"/>
                <w:color w:val="auto"/>
                <w:sz w:val="24"/>
                <w:szCs w:val="24"/>
                <w:u w:val="single" w:color="auto"/>
                <w:lang w:val="en-US" w:eastAsia="zh-CN"/>
              </w:rPr>
            </w:pPr>
            <w:r>
              <w:rPr>
                <w:rFonts w:hint="eastAsia" w:ascii="Times New Roman" w:hAnsi="Times New Roman" w:cs="Times New Roman"/>
                <w:b/>
                <w:bCs w:val="0"/>
                <w:color w:val="auto"/>
                <w:sz w:val="24"/>
                <w:szCs w:val="24"/>
                <w:u w:val="single" w:color="auto"/>
                <w:lang w:val="en-US" w:eastAsia="zh-CN"/>
              </w:rPr>
              <w:t>1.4、装饰工程</w:t>
            </w:r>
          </w:p>
          <w:p>
            <w:pPr>
              <w:pStyle w:val="2"/>
              <w:keepNext w:val="0"/>
              <w:keepLines w:val="0"/>
              <w:pageBreakBefore w:val="0"/>
              <w:widowControl/>
              <w:kinsoku/>
              <w:wordWrap/>
              <w:overflowPunct/>
              <w:topLinePunct w:val="0"/>
              <w:autoSpaceDE/>
              <w:autoSpaceDN/>
              <w:bidi w:val="0"/>
              <w:adjustRightInd/>
              <w:snapToGrid w:val="0"/>
              <w:spacing w:line="360" w:lineRule="auto"/>
              <w:ind w:right="113" w:firstLine="480" w:firstLineChars="200"/>
              <w:textAlignment w:val="auto"/>
              <w:rPr>
                <w:rFonts w:hint="eastAsia" w:ascii="Times New Roman" w:hAnsi="Times New Roman" w:eastAsia="宋体" w:cs="Times New Roman"/>
                <w:bCs/>
                <w:color w:val="auto"/>
                <w:kern w:val="2"/>
                <w:sz w:val="24"/>
                <w:szCs w:val="24"/>
                <w:u w:val="single" w:color="auto"/>
                <w:lang w:val="en-US" w:eastAsia="zh-CN" w:bidi="ar-SA"/>
              </w:rPr>
            </w:pPr>
            <w:r>
              <w:rPr>
                <w:rFonts w:hint="eastAsia" w:ascii="Times New Roman" w:hAnsi="Times New Roman" w:eastAsia="宋体" w:cs="Times New Roman"/>
                <w:bCs/>
                <w:color w:val="auto"/>
                <w:kern w:val="2"/>
                <w:sz w:val="24"/>
                <w:szCs w:val="24"/>
                <w:u w:val="single" w:color="auto"/>
                <w:lang w:val="en-US" w:eastAsia="zh-CN" w:bidi="ar-SA"/>
              </w:rPr>
              <w:t>利用各种加工机械对木材、铝合金等按图进行加工，同时进行屋面制作外墙面砖，然后对外露的铁件进行油漆施工，由于使用的涂料和油漆量较少，有少量的有机废气挥发。为防止减少施工的污染，建筑方应做到以下几个方面：施工阶段采用砂、石、砖、水泥、商品混凝土、预制构件和新型墙体材料等，其放射性指标限量应符合标准要求。涂料胶粘剂、阻燃剂、防水剂、防腐剂等的总挥发性有机化合物（TVOC）和游离甲醛含量应符合规定的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bCs w:val="0"/>
                <w:color w:val="auto"/>
                <w:sz w:val="24"/>
                <w:szCs w:val="24"/>
                <w:u w:val="single" w:color="auto"/>
                <w:lang w:val="en-US" w:eastAsia="zh-CN"/>
              </w:rPr>
            </w:pPr>
            <w:r>
              <w:rPr>
                <w:rFonts w:hint="eastAsia" w:ascii="Times New Roman" w:hAnsi="Times New Roman" w:cs="Times New Roman"/>
                <w:b/>
                <w:bCs w:val="0"/>
                <w:color w:val="auto"/>
                <w:sz w:val="24"/>
                <w:szCs w:val="24"/>
                <w:u w:val="single" w:color="auto"/>
                <w:lang w:val="en-US" w:eastAsia="zh-CN"/>
              </w:rPr>
              <w:t>1.5、安装工程</w:t>
            </w:r>
          </w:p>
          <w:p>
            <w:pPr>
              <w:pStyle w:val="7"/>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kern w:val="2"/>
                <w:sz w:val="24"/>
                <w:szCs w:val="24"/>
                <w:u w:val="single" w:color="auto"/>
                <w:lang w:val="en-US" w:eastAsia="zh-CN" w:bidi="ar-SA"/>
              </w:rPr>
            </w:pPr>
            <w:r>
              <w:rPr>
                <w:rFonts w:hint="eastAsia" w:ascii="Times New Roman" w:hAnsi="Times New Roman" w:eastAsia="宋体" w:cs="Times New Roman"/>
                <w:b w:val="0"/>
                <w:bCs/>
                <w:color w:val="auto"/>
                <w:kern w:val="2"/>
                <w:sz w:val="24"/>
                <w:szCs w:val="24"/>
                <w:u w:val="single" w:color="auto"/>
                <w:lang w:val="en-US" w:eastAsia="zh-CN" w:bidi="ar-SA"/>
              </w:rPr>
              <w:t>包括电梯、道路、化粪池、污水雨水管网铺设等施工，主要污染物是施工机械产生的噪声、尾气等。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bCs w:val="0"/>
                <w:color w:val="auto"/>
                <w:sz w:val="24"/>
                <w:szCs w:val="24"/>
                <w:u w:val="single" w:color="auto"/>
                <w:lang w:val="en-US" w:eastAsia="zh-CN"/>
              </w:rPr>
            </w:pPr>
            <w:r>
              <w:rPr>
                <w:rFonts w:hint="eastAsia" w:ascii="Times New Roman" w:hAnsi="Times New Roman" w:cs="Times New Roman"/>
                <w:b/>
                <w:bCs w:val="0"/>
                <w:color w:val="auto"/>
                <w:sz w:val="24"/>
                <w:szCs w:val="24"/>
                <w:u w:val="single" w:color="auto"/>
                <w:lang w:val="en-US" w:eastAsia="zh-CN"/>
              </w:rPr>
              <w:t>1.6、场地平整、绿化</w:t>
            </w:r>
          </w:p>
          <w:p>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imes New Roman" w:hAnsi="Times New Roman" w:eastAsia="宋体" w:cs="Times New Roman"/>
                <w:b w:val="0"/>
                <w:bCs/>
                <w:color w:val="auto"/>
                <w:kern w:val="2"/>
                <w:sz w:val="24"/>
                <w:szCs w:val="24"/>
                <w:u w:val="single" w:color="auto"/>
                <w:lang w:val="en-US" w:eastAsia="zh-CN" w:bidi="ar-SA"/>
              </w:rPr>
            </w:pPr>
            <w:r>
              <w:rPr>
                <w:rFonts w:hint="eastAsia" w:ascii="Times New Roman" w:hAnsi="Times New Roman" w:eastAsia="宋体" w:cs="Times New Roman"/>
                <w:b w:val="0"/>
                <w:bCs/>
                <w:color w:val="auto"/>
                <w:kern w:val="2"/>
                <w:sz w:val="24"/>
                <w:szCs w:val="24"/>
                <w:u w:val="single" w:color="auto"/>
                <w:lang w:val="en-US" w:eastAsia="zh-CN" w:bidi="ar-SA"/>
              </w:rPr>
              <w:t>施工结束，将工程区范围内的临时设施拆除，清理施工迹地，做好路面平整硬化工作，种植绿化苗木、草种撒播。</w:t>
            </w:r>
          </w:p>
          <w:p>
            <w:pPr>
              <w:pStyle w:val="15"/>
              <w:adjustRightInd w:val="0"/>
              <w:snapToGrid w:val="0"/>
              <w:spacing w:after="0"/>
              <w:ind w:left="0" w:leftChars="0" w:firstLine="0" w:firstLineChars="0"/>
              <w:jc w:val="center"/>
              <w:rPr>
                <w:b/>
                <w:bCs/>
                <w:color w:val="000000"/>
                <w:szCs w:val="21"/>
              </w:rPr>
            </w:pPr>
            <w:r>
              <w:rPr>
                <w:rFonts w:hint="default" w:ascii="Times New Roman" w:hAnsi="Times New Roman" w:cs="Times New Roman" w:eastAsiaTheme="minorEastAsia"/>
                <w:b/>
                <w:bCs/>
                <w:color w:val="000000"/>
                <w:szCs w:val="21"/>
              </w:rPr>
              <w:t>表</w:t>
            </w:r>
            <w:r>
              <w:rPr>
                <w:rFonts w:hint="default" w:ascii="Times New Roman" w:hAnsi="Times New Roman" w:cs="Times New Roman" w:eastAsiaTheme="minorEastAsia"/>
                <w:b/>
                <w:bCs/>
                <w:color w:val="000000"/>
                <w:szCs w:val="21"/>
                <w:lang w:val="en-US" w:eastAsia="zh-CN"/>
              </w:rPr>
              <w:t>2-3</w:t>
            </w:r>
            <w:r>
              <w:rPr>
                <w:rFonts w:hint="default" w:ascii="Times New Roman" w:hAnsi="Times New Roman" w:cs="Times New Roman" w:eastAsiaTheme="minorEastAsia"/>
                <w:b/>
                <w:bCs/>
                <w:color w:val="000000"/>
                <w:szCs w:val="21"/>
              </w:rPr>
              <w:t xml:space="preserve">  项目产污节点汇总表</w:t>
            </w:r>
          </w:p>
          <w:tbl>
            <w:tblPr>
              <w:tblStyle w:val="30"/>
              <w:tblW w:w="7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12"/>
              <w:gridCol w:w="1384"/>
              <w:gridCol w:w="2423"/>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gridSpan w:val="2"/>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污染类型</w:t>
                  </w:r>
                </w:p>
              </w:tc>
              <w:tc>
                <w:tcPr>
                  <w:tcW w:w="1384"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污染物</w:t>
                  </w:r>
                </w:p>
              </w:tc>
              <w:tc>
                <w:tcPr>
                  <w:tcW w:w="2423"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污染因子</w:t>
                  </w:r>
                </w:p>
              </w:tc>
              <w:tc>
                <w:tcPr>
                  <w:tcW w:w="1602"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产污环节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445" w:type="dxa"/>
                  <w:vMerge w:val="restar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施工期</w:t>
                  </w:r>
                </w:p>
              </w:tc>
              <w:tc>
                <w:tcPr>
                  <w:tcW w:w="1512" w:type="dxa"/>
                  <w:vMerge w:val="restart"/>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大气污染物</w:t>
                  </w:r>
                </w:p>
              </w:tc>
              <w:tc>
                <w:tcPr>
                  <w:tcW w:w="1384"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粉尘</w:t>
                  </w:r>
                </w:p>
              </w:tc>
              <w:tc>
                <w:tcPr>
                  <w:tcW w:w="2423"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粉尘</w:t>
                  </w:r>
                </w:p>
              </w:tc>
              <w:tc>
                <w:tcPr>
                  <w:tcW w:w="1602"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施工过程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445" w:type="dxa"/>
                  <w:vMerge w:val="continue"/>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1512" w:type="dxa"/>
                  <w:vMerge w:val="continue"/>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1384"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车辆尾气</w:t>
                  </w:r>
                </w:p>
              </w:tc>
              <w:tc>
                <w:tcPr>
                  <w:tcW w:w="2423"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一氧化碳、二氧化碳、颗粒物等</w:t>
                  </w:r>
                </w:p>
              </w:tc>
              <w:tc>
                <w:tcPr>
                  <w:tcW w:w="1602"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车辆运输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1512" w:type="dxa"/>
                  <w:vMerge w:val="restart"/>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水污染物</w:t>
                  </w:r>
                </w:p>
              </w:tc>
              <w:tc>
                <w:tcPr>
                  <w:tcW w:w="1384"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生活污水</w:t>
                  </w:r>
                </w:p>
              </w:tc>
              <w:tc>
                <w:tcPr>
                  <w:tcW w:w="2423"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COD、BOD</w:t>
                  </w:r>
                  <w:r>
                    <w:rPr>
                      <w:rFonts w:hint="eastAsia" w:ascii="Times New Roman" w:hAnsi="Times New Roman" w:cs="Times New Roman"/>
                      <w:b w:val="0"/>
                      <w:bCs w:val="0"/>
                      <w:color w:val="auto"/>
                      <w:szCs w:val="24"/>
                      <w:u w:val="none" w:color="auto"/>
                      <w:vertAlign w:val="subscript"/>
                      <w:lang w:val="en-US" w:eastAsia="zh-CN"/>
                    </w:rPr>
                    <w:t>5</w:t>
                  </w:r>
                  <w:r>
                    <w:rPr>
                      <w:rFonts w:hint="eastAsia" w:ascii="Times New Roman" w:hAnsi="Times New Roman" w:cs="Times New Roman"/>
                      <w:b w:val="0"/>
                      <w:bCs w:val="0"/>
                      <w:color w:val="auto"/>
                      <w:szCs w:val="24"/>
                      <w:u w:val="none" w:color="auto"/>
                      <w:vertAlign w:val="baseline"/>
                      <w:lang w:val="en-US" w:eastAsia="zh-CN"/>
                    </w:rPr>
                    <w:t>、NH</w:t>
                  </w:r>
                  <w:r>
                    <w:rPr>
                      <w:rFonts w:hint="eastAsia" w:ascii="Times New Roman" w:hAnsi="Times New Roman" w:cs="Times New Roman"/>
                      <w:b w:val="0"/>
                      <w:bCs w:val="0"/>
                      <w:color w:val="auto"/>
                      <w:szCs w:val="24"/>
                      <w:u w:val="none" w:color="auto"/>
                      <w:vertAlign w:val="subscript"/>
                      <w:lang w:val="en-US" w:eastAsia="zh-CN"/>
                    </w:rPr>
                    <w:t>3</w:t>
                  </w:r>
                  <w:r>
                    <w:rPr>
                      <w:rFonts w:hint="eastAsia" w:ascii="Times New Roman" w:hAnsi="Times New Roman" w:cs="Times New Roman"/>
                      <w:b w:val="0"/>
                      <w:bCs w:val="0"/>
                      <w:color w:val="auto"/>
                      <w:szCs w:val="24"/>
                      <w:u w:val="none" w:color="auto"/>
                      <w:vertAlign w:val="baseline"/>
                      <w:lang w:val="en-US" w:eastAsia="zh-CN"/>
                    </w:rPr>
                    <w:t>-N、SS、</w:t>
                  </w:r>
                </w:p>
              </w:tc>
              <w:tc>
                <w:tcPr>
                  <w:tcW w:w="1602"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1512" w:type="dxa"/>
                  <w:vMerge w:val="continue"/>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1384"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施工废水</w:t>
                  </w:r>
                </w:p>
              </w:tc>
              <w:tc>
                <w:tcPr>
                  <w:tcW w:w="2423"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SS、石油类</w:t>
                  </w:r>
                </w:p>
              </w:tc>
              <w:tc>
                <w:tcPr>
                  <w:tcW w:w="1602"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1512"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噪声</w:t>
                  </w:r>
                </w:p>
              </w:tc>
              <w:tc>
                <w:tcPr>
                  <w:tcW w:w="1384"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生产噪声</w:t>
                  </w:r>
                </w:p>
              </w:tc>
              <w:tc>
                <w:tcPr>
                  <w:tcW w:w="2423"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施工设备、车辆噪声</w:t>
                  </w:r>
                </w:p>
              </w:tc>
              <w:tc>
                <w:tcPr>
                  <w:tcW w:w="1602"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施工机械，车辆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p>
              </w:tc>
              <w:tc>
                <w:tcPr>
                  <w:tcW w:w="1512" w:type="dxa"/>
                  <w:vMerge w:val="restart"/>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固体废物</w:t>
                  </w:r>
                </w:p>
              </w:tc>
              <w:tc>
                <w:tcPr>
                  <w:tcW w:w="1384"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生活垃圾</w:t>
                  </w:r>
                </w:p>
              </w:tc>
              <w:tc>
                <w:tcPr>
                  <w:tcW w:w="2423"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果皮、纸屑等</w:t>
                  </w:r>
                </w:p>
              </w:tc>
              <w:tc>
                <w:tcPr>
                  <w:tcW w:w="1602"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1512" w:type="dxa"/>
                  <w:vMerge w:val="continue"/>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p>
              </w:tc>
              <w:tc>
                <w:tcPr>
                  <w:tcW w:w="1384"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建筑垃圾</w:t>
                  </w:r>
                </w:p>
              </w:tc>
              <w:tc>
                <w:tcPr>
                  <w:tcW w:w="2423"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工程渣土、工程泥浆、工程垃圾、拆除垃圾和装修垃圾等。</w:t>
                  </w:r>
                </w:p>
              </w:tc>
              <w:tc>
                <w:tcPr>
                  <w:tcW w:w="1602" w:type="dxa"/>
                  <w:tcBorders>
                    <w:tl2br w:val="nil"/>
                    <w:tr2bl w:val="nil"/>
                  </w:tcBorders>
                  <w:noWrap w:val="0"/>
                  <w:vAlign w:val="center"/>
                </w:tcPr>
                <w:p>
                  <w:pPr>
                    <w:adjustRightInd w:val="0"/>
                    <w:snapToGrid w:val="0"/>
                    <w:jc w:val="center"/>
                    <w:rPr>
                      <w:rFonts w:hint="eastAsia" w:ascii="Times New Roman" w:hAnsi="Times New Roman" w:cs="Times New Roman"/>
                      <w:b w:val="0"/>
                      <w:bCs w:val="0"/>
                      <w:color w:val="auto"/>
                      <w:szCs w:val="24"/>
                      <w:u w:val="none" w:color="auto"/>
                      <w:vertAlign w:val="baseline"/>
                      <w:lang w:val="en-US" w:eastAsia="zh-CN"/>
                    </w:rPr>
                  </w:pPr>
                  <w:r>
                    <w:rPr>
                      <w:rFonts w:hint="eastAsia" w:ascii="Times New Roman" w:hAnsi="Times New Roman" w:cs="Times New Roman"/>
                      <w:b w:val="0"/>
                      <w:bCs w:val="0"/>
                      <w:color w:val="auto"/>
                      <w:szCs w:val="24"/>
                      <w:u w:val="none" w:color="auto"/>
                      <w:vertAlign w:val="baseline"/>
                      <w:lang w:val="en-US" w:eastAsia="zh-CN"/>
                    </w:rPr>
                    <w:t>施工过程、装修等</w:t>
                  </w:r>
                </w:p>
              </w:tc>
            </w:tr>
          </w:tbl>
          <w:p>
            <w:pPr>
              <w:pStyle w:val="7"/>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kern w:val="2"/>
                <w:sz w:val="24"/>
                <w:szCs w:val="24"/>
                <w:u w:val="none" w:color="auto"/>
                <w:lang w:val="en-US" w:eastAsia="zh-CN" w:bidi="ar-SA"/>
              </w:rPr>
            </w:pPr>
          </w:p>
          <w:p>
            <w:pPr>
              <w:pStyle w:val="7"/>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u w:val="none" w:color="auto"/>
                <w:lang w:val="en-US"/>
              </w:rPr>
            </w:pPr>
            <w:r>
              <w:rPr>
                <w:rFonts w:hint="eastAsia" w:ascii="Times New Roman" w:hAnsi="Times New Roman" w:cs="Times New Roman"/>
                <w:color w:val="auto"/>
                <w:sz w:val="24"/>
                <w:szCs w:val="24"/>
                <w:u w:val="none" w:color="auto"/>
                <w:lang w:val="en-US" w:eastAsia="zh-CN"/>
              </w:rPr>
              <w:t>2</w:t>
            </w:r>
            <w:r>
              <w:rPr>
                <w:rFonts w:hint="eastAsia" w:ascii="Times New Roman" w:hAnsi="Times New Roman" w:eastAsia="宋体" w:cs="Times New Roman"/>
                <w:color w:val="auto"/>
                <w:sz w:val="24"/>
                <w:szCs w:val="24"/>
                <w:u w:val="none" w:color="auto"/>
                <w:lang w:val="en-US" w:eastAsia="zh-CN"/>
              </w:rPr>
              <w:t>、</w:t>
            </w:r>
            <w:r>
              <w:rPr>
                <w:rFonts w:hint="eastAsia" w:ascii="Times New Roman" w:hAnsi="Times New Roman" w:cs="Times New Roman"/>
                <w:color w:val="auto"/>
                <w:sz w:val="24"/>
                <w:szCs w:val="24"/>
                <w:u w:val="none" w:color="auto"/>
                <w:lang w:val="en-US" w:eastAsia="zh-CN"/>
              </w:rPr>
              <w:t>项目进度安排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bCs/>
                <w:color w:val="FF0000"/>
                <w:szCs w:val="21"/>
                <w:u w:val="none" w:color="auto"/>
              </w:rPr>
            </w:pPr>
            <w:r>
              <w:rPr>
                <w:rFonts w:hint="eastAsia" w:ascii="Times New Roman" w:hAnsi="Times New Roman" w:cs="Times New Roman"/>
                <w:color w:val="auto"/>
                <w:sz w:val="24"/>
                <w:u w:val="none" w:color="auto"/>
                <w:lang w:val="en-US" w:eastAsia="zh-CN"/>
              </w:rPr>
              <w:t>项目建设期约为12个月，计划从2025年9月开工，2026年9月完工。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3" w:type="dxa"/>
            <w:vAlign w:val="center"/>
          </w:tcPr>
          <w:p>
            <w:pPr>
              <w:adjustRightInd w:val="0"/>
              <w:snapToGrid w:val="0"/>
              <w:jc w:val="center"/>
              <w:rPr>
                <w:rFonts w:ascii="Times New Roman" w:hAnsi="Times New Roman"/>
                <w:color w:val="auto"/>
                <w:kern w:val="0"/>
                <w:szCs w:val="21"/>
                <w:u w:val="none" w:color="auto"/>
              </w:rPr>
            </w:pPr>
            <w:r>
              <w:rPr>
                <w:rFonts w:ascii="Times New Roman" w:hAnsi="Times New Roman"/>
                <w:color w:val="auto"/>
                <w:kern w:val="0"/>
                <w:sz w:val="21"/>
                <w:szCs w:val="21"/>
                <w:u w:val="none" w:color="auto"/>
              </w:rPr>
              <w:t>其他</w:t>
            </w:r>
          </w:p>
        </w:tc>
        <w:tc>
          <w:tcPr>
            <w:tcW w:w="7596" w:type="dxa"/>
            <w:vAlign w:val="center"/>
          </w:tcPr>
          <w:p>
            <w:pPr>
              <w:pStyle w:val="2"/>
              <w:spacing w:line="240" w:lineRule="auto"/>
              <w:jc w:val="center"/>
              <w:rPr>
                <w:rFonts w:hint="default" w:ascii="Times New Roman" w:hAnsi="Times New Roman" w:eastAsia="宋体"/>
                <w:color w:val="auto"/>
                <w:u w:val="none" w:color="auto"/>
                <w:lang w:val="en-US" w:eastAsia="zh-CN"/>
              </w:rPr>
            </w:pPr>
            <w:r>
              <w:rPr>
                <w:rFonts w:hint="eastAsia" w:ascii="Times New Roman" w:hAnsi="Times New Roman"/>
                <w:color w:val="auto"/>
                <w:sz w:val="24"/>
                <w:szCs w:val="24"/>
                <w:u w:val="none" w:color="auto"/>
                <w:lang w:val="en-US" w:eastAsia="zh-CN"/>
              </w:rPr>
              <w:t>无</w:t>
            </w:r>
          </w:p>
        </w:tc>
      </w:tr>
    </w:tbl>
    <w:p>
      <w:pPr>
        <w:pStyle w:val="27"/>
        <w:numPr>
          <w:ilvl w:val="0"/>
          <w:numId w:val="0"/>
        </w:numPr>
        <w:jc w:val="center"/>
        <w:outlineLvl w:val="0"/>
        <w:rPr>
          <w:rFonts w:hint="eastAsia" w:ascii="宋体" w:hAnsi="宋体" w:eastAsia="宋体" w:cs="宋体"/>
          <w:b/>
          <w:bCs/>
          <w:snapToGrid w:val="0"/>
          <w:color w:val="auto"/>
          <w:sz w:val="30"/>
          <w:szCs w:val="30"/>
          <w:u w:val="none" w:color="auto"/>
        </w:rPr>
      </w:pPr>
      <w:r>
        <w:rPr>
          <w:rFonts w:ascii="Times New Roman" w:hAnsi="Times New Roman" w:eastAsia="仿宋_GB2312"/>
          <w:b/>
          <w:bCs/>
          <w:color w:val="FF0000"/>
          <w:u w:val="none" w:color="auto"/>
        </w:rPr>
        <w:br w:type="page"/>
      </w:r>
      <w:bookmarkStart w:id="14" w:name="_Toc23753"/>
      <w:bookmarkStart w:id="15" w:name="_Toc28115"/>
      <w:r>
        <w:rPr>
          <w:rFonts w:hint="eastAsia" w:ascii="宋体" w:hAnsi="宋体" w:eastAsia="宋体" w:cs="宋体"/>
          <w:b/>
          <w:bCs/>
          <w:snapToGrid w:val="0"/>
          <w:color w:val="auto"/>
          <w:sz w:val="30"/>
          <w:szCs w:val="30"/>
          <w:u w:val="none" w:color="auto"/>
          <w:lang w:val="en-US" w:eastAsia="zh-CN"/>
        </w:rPr>
        <w:t>三、</w:t>
      </w:r>
      <w:r>
        <w:rPr>
          <w:rFonts w:hint="eastAsia" w:ascii="宋体" w:hAnsi="宋体" w:eastAsia="宋体" w:cs="宋体"/>
          <w:b/>
          <w:bCs/>
          <w:snapToGrid w:val="0"/>
          <w:color w:val="auto"/>
          <w:sz w:val="30"/>
          <w:szCs w:val="30"/>
          <w:u w:val="none" w:color="auto"/>
        </w:rPr>
        <w:t>生态环境现状、保护目标及评价标准</w:t>
      </w:r>
      <w:bookmarkEnd w:id="14"/>
      <w:bookmarkEnd w:id="15"/>
    </w:p>
    <w:tbl>
      <w:tblPr>
        <w:tblStyle w:val="30"/>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2"/>
        <w:gridCol w:w="83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42" w:type="dxa"/>
            <w:noWrap w:val="0"/>
            <w:vAlign w:val="center"/>
          </w:tcPr>
          <w:p>
            <w:pPr>
              <w:adjustRightInd w:val="0"/>
              <w:snapToGrid w:val="0"/>
              <w:jc w:val="center"/>
              <w:rPr>
                <w:rFonts w:hint="default" w:ascii="Times New Roman" w:hAnsi="Times New Roman" w:cs="Times New Roman"/>
                <w:color w:val="FF0000"/>
                <w:kern w:val="0"/>
                <w:szCs w:val="21"/>
                <w:u w:val="none" w:color="auto"/>
              </w:rPr>
            </w:pPr>
            <w:r>
              <w:rPr>
                <w:rFonts w:hint="default" w:ascii="Times New Roman" w:hAnsi="Times New Roman"/>
                <w:color w:val="auto"/>
                <w:kern w:val="0"/>
                <w:sz w:val="21"/>
                <w:szCs w:val="21"/>
                <w:u w:val="none" w:color="auto"/>
              </w:rPr>
              <w:t>生态环境现状</w:t>
            </w:r>
          </w:p>
        </w:tc>
        <w:tc>
          <w:tcPr>
            <w:tcW w:w="8315" w:type="dxa"/>
            <w:noWrap w:val="0"/>
            <w:vAlign w:val="center"/>
          </w:tcPr>
          <w:p>
            <w:pPr>
              <w:keepNext/>
              <w:keepLines/>
              <w:pageBreakBefore w:val="0"/>
              <w:widowControl w:val="0"/>
              <w:numPr>
                <w:ilvl w:val="0"/>
                <w:numId w:val="0"/>
              </w:numPr>
              <w:kinsoku/>
              <w:wordWrap/>
              <w:overflowPunct/>
              <w:topLinePunct w:val="0"/>
              <w:autoSpaceDE/>
              <w:autoSpaceDN/>
              <w:bidi w:val="0"/>
              <w:adjustRightInd/>
              <w:snapToGrid/>
              <w:spacing w:before="0" w:after="0" w:afterLines="0" w:line="360" w:lineRule="auto"/>
              <w:ind w:left="0" w:leftChars="0" w:right="0" w:firstLine="0" w:firstLineChars="0"/>
              <w:jc w:val="left"/>
              <w:textAlignment w:val="auto"/>
              <w:outlineLvl w:val="2"/>
              <w:rPr>
                <w:rFonts w:hint="default" w:ascii="Times New Roman" w:hAnsi="Times New Roman" w:eastAsia="宋体" w:cs="Times New Roman"/>
                <w:b/>
                <w:bCs/>
                <w:color w:val="auto"/>
                <w:kern w:val="2"/>
                <w:sz w:val="24"/>
                <w:szCs w:val="24"/>
                <w:u w:val="none" w:color="auto"/>
                <w:lang w:val="en-US" w:eastAsia="zh-CN" w:bidi="ar-SA"/>
              </w:rPr>
            </w:pPr>
            <w:r>
              <w:rPr>
                <w:rFonts w:hint="default" w:ascii="Times New Roman" w:hAnsi="Times New Roman" w:eastAsia="宋体" w:cs="Times New Roman"/>
                <w:b/>
                <w:bCs/>
                <w:color w:val="auto"/>
                <w:kern w:val="2"/>
                <w:sz w:val="24"/>
                <w:szCs w:val="24"/>
                <w:u w:val="none" w:color="auto"/>
                <w:lang w:val="en-US" w:eastAsia="zh-CN" w:bidi="ar-SA"/>
              </w:rPr>
              <w:t>1</w:t>
            </w:r>
            <w:r>
              <w:rPr>
                <w:rFonts w:hint="eastAsia" w:ascii="Times New Roman" w:hAnsi="Times New Roman" w:cs="Times New Roman"/>
                <w:b/>
                <w:bCs/>
                <w:color w:val="auto"/>
                <w:kern w:val="2"/>
                <w:sz w:val="24"/>
                <w:szCs w:val="24"/>
                <w:u w:val="none" w:color="auto"/>
                <w:lang w:val="en-US" w:eastAsia="zh-CN" w:bidi="ar-SA"/>
              </w:rPr>
              <w:t>、</w:t>
            </w:r>
            <w:r>
              <w:rPr>
                <w:rFonts w:hint="default" w:ascii="Times New Roman" w:hAnsi="Times New Roman" w:eastAsia="宋体" w:cs="Times New Roman"/>
                <w:b/>
                <w:bCs/>
                <w:color w:val="auto"/>
                <w:kern w:val="2"/>
                <w:sz w:val="24"/>
                <w:szCs w:val="24"/>
                <w:u w:val="none" w:color="auto"/>
                <w:lang w:val="en-US" w:eastAsia="zh-CN" w:bidi="ar-SA"/>
              </w:rPr>
              <w:t>生态环境现状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auto"/>
                <w:kern w:val="2"/>
                <w:sz w:val="24"/>
                <w:szCs w:val="24"/>
                <w:u w:val="single" w:color="auto"/>
                <w:lang w:val="en-US" w:eastAsia="zh-CN" w:bidi="ar-SA"/>
              </w:rPr>
            </w:pPr>
            <w:r>
              <w:rPr>
                <w:rFonts w:hint="eastAsia" w:ascii="Times New Roman" w:hAnsi="Times New Roman" w:cs="Times New Roman"/>
                <w:b w:val="0"/>
                <w:bCs/>
                <w:color w:val="auto"/>
                <w:kern w:val="2"/>
                <w:sz w:val="24"/>
                <w:szCs w:val="24"/>
                <w:u w:val="single" w:color="auto"/>
                <w:lang w:val="en-US" w:eastAsia="zh-CN" w:bidi="ar-SA"/>
              </w:rPr>
              <w:t>（1）主体功能区划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color w:val="auto"/>
                <w:kern w:val="2"/>
                <w:sz w:val="24"/>
                <w:szCs w:val="24"/>
                <w:u w:val="single" w:color="auto"/>
                <w:lang w:val="en-US" w:eastAsia="zh-CN" w:bidi="ar-SA"/>
              </w:rPr>
            </w:pPr>
            <w:r>
              <w:rPr>
                <w:rFonts w:hint="eastAsia" w:ascii="Times New Roman" w:hAnsi="Times New Roman" w:eastAsia="宋体" w:cs="Times New Roman"/>
                <w:b w:val="0"/>
                <w:bCs/>
                <w:color w:val="auto"/>
                <w:kern w:val="2"/>
                <w:sz w:val="24"/>
                <w:szCs w:val="24"/>
                <w:u w:val="single" w:color="auto"/>
                <w:lang w:val="en-US" w:eastAsia="zh-CN" w:bidi="ar-SA"/>
              </w:rPr>
              <w:t>根据《湖南省主体功能区划》报告，本项目建设区域不在禁止开发区，属于可以开发区域，详见下图。</w:t>
            </w:r>
          </w:p>
          <w:p>
            <w:pPr>
              <w:wordWrap/>
              <w:spacing w:line="360" w:lineRule="auto"/>
              <w:jc w:val="center"/>
              <w:rPr>
                <w:rFonts w:hint="eastAsia" w:ascii="Times New Roman" w:hAnsi="Times New Roman" w:eastAsia="宋体" w:cs="Times New Roman"/>
                <w:b w:val="0"/>
                <w:bCs/>
                <w:color w:val="auto"/>
                <w:kern w:val="2"/>
                <w:sz w:val="24"/>
                <w:szCs w:val="24"/>
                <w:u w:val="none" w:color="auto"/>
                <w:lang w:val="en-US" w:eastAsia="zh-CN" w:bidi="ar-SA"/>
              </w:rPr>
            </w:pPr>
            <w:r>
              <w:rPr>
                <w:rFonts w:hint="eastAsia" w:ascii="Times New Roman" w:hAnsi="Times New Roman" w:eastAsia="宋体" w:cs="Times New Roman"/>
                <w:b w:val="0"/>
                <w:bCs/>
                <w:color w:val="auto"/>
                <w:kern w:val="2"/>
                <w:sz w:val="24"/>
                <w:szCs w:val="24"/>
                <w:u w:val="none" w:color="auto"/>
                <w:lang w:val="en-US" w:eastAsia="zh-CN" w:bidi="ar-SA"/>
              </w:rPr>
              <w:drawing>
                <wp:inline distT="0" distB="0" distL="114300" distR="114300">
                  <wp:extent cx="4389755" cy="5491480"/>
                  <wp:effectExtent l="0" t="0" r="10795" b="13970"/>
                  <wp:docPr id="1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
                          <pic:cNvPicPr>
                            <a:picLocks noChangeAspect="1"/>
                          </pic:cNvPicPr>
                        </pic:nvPicPr>
                        <pic:blipFill>
                          <a:blip r:embed="rId7"/>
                          <a:stretch>
                            <a:fillRect/>
                          </a:stretch>
                        </pic:blipFill>
                        <pic:spPr>
                          <a:xfrm>
                            <a:off x="0" y="0"/>
                            <a:ext cx="4389755" cy="5491480"/>
                          </a:xfrm>
                          <a:prstGeom prst="rect">
                            <a:avLst/>
                          </a:prstGeom>
                          <a:noFill/>
                          <a:ln>
                            <a:noFill/>
                          </a:ln>
                        </pic:spPr>
                      </pic:pic>
                    </a:graphicData>
                  </a:graphic>
                </wp:inline>
              </w:drawing>
            </w:r>
          </w:p>
          <w:p>
            <w:pPr>
              <w:pStyle w:val="2"/>
              <w:jc w:val="center"/>
            </w:pPr>
            <w:r>
              <w:rPr>
                <w:rFonts w:hint="default" w:ascii="Times New Roman" w:hAnsi="Times New Roman" w:eastAsia="宋体" w:cs="Times New Roman"/>
                <w:b/>
                <w:bCs/>
                <w:sz w:val="21"/>
                <w:szCs w:val="21"/>
              </w:rPr>
              <w:t xml:space="preserve">图 3-1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禁止开发区域分布图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根据《湖南省主体功能区划》：重点生态功能区限值进行大规模高强度工业化城镇化开发的生态区域。湖南省限制开发的重点生态功能区主要是洞庭湖及湘资沅澧“四水”水体湿地及生物多样性生态功能区，武陵山区生物多样性及水土保持生态功能区（含雪峰山区），南岭山地森林及生物多样性生态功能区，罗霄—幕阜山地森林及生物多样性生态功能区等4个片区，可见本项目属于重点生态功能区范围外区域。重点生态功能区分布图如下。</w:t>
            </w:r>
          </w:p>
          <w:p>
            <w:pPr>
              <w:wordWrap/>
              <w:spacing w:line="360" w:lineRule="auto"/>
              <w:jc w:val="center"/>
            </w:pPr>
            <w:r>
              <w:drawing>
                <wp:inline distT="0" distB="0" distL="114300" distR="114300">
                  <wp:extent cx="4895215" cy="6213475"/>
                  <wp:effectExtent l="0" t="0" r="635" b="15875"/>
                  <wp:docPr id="1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
                          <pic:cNvPicPr>
                            <a:picLocks noChangeAspect="1"/>
                          </pic:cNvPicPr>
                        </pic:nvPicPr>
                        <pic:blipFill>
                          <a:blip r:embed="rId8"/>
                          <a:stretch>
                            <a:fillRect/>
                          </a:stretch>
                        </pic:blipFill>
                        <pic:spPr>
                          <a:xfrm>
                            <a:off x="0" y="0"/>
                            <a:ext cx="4895215" cy="6213475"/>
                          </a:xfrm>
                          <a:prstGeom prst="rect">
                            <a:avLst/>
                          </a:prstGeom>
                          <a:noFill/>
                          <a:ln>
                            <a:noFill/>
                          </a:ln>
                        </pic:spPr>
                      </pic:pic>
                    </a:graphicData>
                  </a:graphic>
                </wp:inline>
              </w:drawing>
            </w:r>
          </w:p>
          <w:p>
            <w:pPr>
              <w:pStyle w:val="2"/>
              <w:spacing w:line="240" w:lineRule="auto"/>
              <w:jc w:val="center"/>
            </w:pPr>
            <w:r>
              <w:rPr>
                <w:rFonts w:hint="default" w:ascii="Times New Roman" w:hAnsi="Times New Roman" w:eastAsia="宋体" w:cs="Times New Roman"/>
                <w:b/>
                <w:bCs/>
                <w:sz w:val="21"/>
                <w:szCs w:val="21"/>
              </w:rPr>
              <w:t>图 3-</w:t>
            </w:r>
            <w:r>
              <w:rPr>
                <w:rFonts w:hint="eastAsia" w:ascii="Times New Roman" w:hAnsi="Times New Roman" w:cs="Times New Roman"/>
                <w:b/>
                <w:bCs/>
                <w:sz w:val="21"/>
                <w:szCs w:val="21"/>
                <w:lang w:val="en-US" w:eastAsia="zh-CN"/>
              </w:rPr>
              <w:t>2</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重点生态功能区分布图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kern w:val="2"/>
                <w:sz w:val="24"/>
                <w:szCs w:val="24"/>
                <w:u w:val="single" w:color="auto"/>
                <w:lang w:val="en-US" w:eastAsia="zh-CN" w:bidi="ar-SA"/>
              </w:rPr>
              <w:t>项目位于湘阴县</w:t>
            </w:r>
            <w:r>
              <w:rPr>
                <w:rFonts w:hint="default" w:ascii="Times New Roman" w:hAnsi="Times New Roman" w:cs="Times New Roman"/>
                <w:color w:val="auto"/>
                <w:kern w:val="0"/>
                <w:sz w:val="24"/>
                <w:u w:val="single" w:color="auto"/>
              </w:rPr>
              <w:t>长沙临港产业开发区</w:t>
            </w:r>
            <w:r>
              <w:rPr>
                <w:rFonts w:hint="default" w:ascii="Times New Roman" w:hAnsi="Times New Roman" w:eastAsia="宋体" w:cs="Times New Roman"/>
                <w:color w:val="auto"/>
                <w:kern w:val="2"/>
                <w:sz w:val="24"/>
                <w:szCs w:val="24"/>
                <w:u w:val="single" w:color="auto"/>
                <w:lang w:val="en-US" w:eastAsia="zh-CN" w:bidi="ar-SA"/>
              </w:rPr>
              <w:t>内，土地利用类型为工业用地。周边植被主要为城市绿化植被，项目评价范围内未见珍稀野生动物及国家保护动物生存。总的来说，评价区生态系统结构相对稳定，生态系统自我调节能力较强，具有一定抗外界干扰能力，没有特别的生态环境敏感保护目标。总体生态环境质量较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u w:val="none" w:color="auto"/>
                <w:lang w:val="en-US" w:eastAsia="zh-CN"/>
              </w:rPr>
            </w:pPr>
            <w:r>
              <w:rPr>
                <w:rFonts w:hint="eastAsia" w:ascii="Times New Roman" w:hAnsi="Times New Roman" w:cs="Times New Roman" w:eastAsiaTheme="minorEastAsia"/>
                <w:color w:val="auto"/>
                <w:sz w:val="24"/>
                <w:szCs w:val="24"/>
                <w:u w:val="none" w:color="auto"/>
                <w:lang w:val="en-US" w:eastAsia="zh-CN"/>
              </w:rPr>
              <w:t>（2）生态功能区划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u w:val="single" w:color="auto"/>
                <w:lang w:val="en-US" w:eastAsia="zh-CN" w:bidi="ar-SA"/>
              </w:rPr>
            </w:pPr>
            <w:r>
              <w:rPr>
                <w:rFonts w:hint="eastAsia" w:ascii="Times New Roman" w:hAnsi="Times New Roman" w:eastAsia="宋体" w:cs="Times New Roman"/>
                <w:color w:val="auto"/>
                <w:kern w:val="2"/>
                <w:sz w:val="24"/>
                <w:szCs w:val="24"/>
                <w:u w:val="single" w:color="auto"/>
                <w:lang w:val="en-US" w:eastAsia="zh-CN" w:bidi="ar-SA"/>
              </w:rPr>
              <w:t>2015年11月23日，环境保护部与中国科学院联合发布《全国生态功能区划（修编版）》（公告 2015年第 61号）：洞庭湖洪水调蓄与生物多样性保护重要区：该区位于湖南省北部的洞庭湖及其周围湿地分布区，包含1个功能区：洞庭湖洪水调蓄与生物多样性保护功能区，行政区涉及湖南省岳阳、益阳、常德3个市，面积为5216平方公里。该区是长江中游的天然洪水调蓄库，对长江流域的生态安全具有十分重要的作用；同时还是我国重要的水产品生产区。此外，区域内洲滩及湿地植物发育，是迁徙鸟类重要的越冬地，对生物多样性保护具有重要意义。主要生态问题：湖泊围垦和泥沙淤积导致湖泊面积和容积缩小，洪水调蓄能力降低；迁徙鸟类等重要物种的栖息地受到损害；随着洞庭湖流域经济发展与城市化，水环境质量面临威胁。此外，长江干流水利工程建设与运行，对洞庭湖湿地生态系统功能与生物多样性保护的影响初步显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cs="Times New Roman" w:eastAsiaTheme="minorEastAsia"/>
                <w:color w:val="auto"/>
                <w:sz w:val="24"/>
                <w:szCs w:val="24"/>
                <w:u w:val="none" w:color="auto"/>
                <w:lang w:val="en-US" w:eastAsia="zh-CN"/>
              </w:rPr>
            </w:pPr>
            <w:r>
              <w:rPr>
                <w:rFonts w:hint="eastAsia" w:ascii="Times New Roman" w:hAnsi="Times New Roman" w:cs="Times New Roman" w:eastAsiaTheme="minorEastAsia"/>
                <w:color w:val="auto"/>
                <w:sz w:val="24"/>
                <w:szCs w:val="24"/>
                <w:u w:val="none" w:color="auto"/>
                <w:lang w:val="en-US" w:eastAsia="zh-CN"/>
              </w:rPr>
              <w:t>（3）土地利用类型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color="auto"/>
                <w:lang w:val="en-US" w:eastAsia="zh-CN"/>
              </w:rPr>
            </w:pPr>
            <w:r>
              <w:rPr>
                <w:rFonts w:hint="default" w:ascii="Times New Roman" w:hAnsi="Times New Roman" w:cs="Times New Roman" w:eastAsiaTheme="minorEastAsia"/>
                <w:color w:val="auto"/>
                <w:sz w:val="24"/>
                <w:szCs w:val="24"/>
                <w:u w:val="none" w:color="auto"/>
                <w:lang w:val="en-US" w:eastAsia="zh-CN"/>
              </w:rPr>
              <w:t>本</w:t>
            </w:r>
            <w:r>
              <w:rPr>
                <w:rFonts w:hint="eastAsia" w:ascii="Times New Roman" w:hAnsi="Times New Roman" w:cs="Times New Roman" w:eastAsiaTheme="minorEastAsia"/>
                <w:color w:val="auto"/>
                <w:sz w:val="24"/>
                <w:szCs w:val="24"/>
                <w:u w:val="none" w:color="auto"/>
                <w:lang w:val="en-US" w:eastAsia="zh-CN"/>
              </w:rPr>
              <w:t>项目</w:t>
            </w:r>
            <w:r>
              <w:rPr>
                <w:rFonts w:hint="default" w:ascii="Times New Roman" w:hAnsi="Times New Roman" w:cs="Times New Roman" w:eastAsiaTheme="minorEastAsia"/>
                <w:color w:val="auto"/>
                <w:sz w:val="24"/>
                <w:szCs w:val="24"/>
                <w:u w:val="none" w:color="auto"/>
                <w:lang w:val="en-US" w:eastAsia="zh-CN"/>
              </w:rPr>
              <w:t>现状用地类型为城市建设用地，均为永久占地。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color="auto"/>
                <w:lang w:val="en-US" w:eastAsia="zh-CN"/>
              </w:rPr>
            </w:pPr>
            <w:r>
              <w:rPr>
                <w:rFonts w:hint="eastAsia" w:ascii="Times New Roman" w:hAnsi="Times New Roman" w:cs="Times New Roman" w:eastAsiaTheme="minorEastAsia"/>
                <w:color w:val="auto"/>
                <w:sz w:val="24"/>
                <w:szCs w:val="24"/>
                <w:u w:val="none" w:color="auto"/>
                <w:lang w:val="en-US" w:eastAsia="zh-CN"/>
              </w:rPr>
              <w:t>（4）生态系统类型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color="auto"/>
                <w:lang w:val="en-US" w:eastAsia="zh-CN"/>
              </w:rPr>
            </w:pPr>
            <w:r>
              <w:rPr>
                <w:rFonts w:hint="default" w:ascii="Times New Roman" w:hAnsi="Times New Roman" w:cs="Times New Roman" w:eastAsiaTheme="minorEastAsia"/>
                <w:color w:val="auto"/>
                <w:sz w:val="24"/>
                <w:szCs w:val="24"/>
                <w:u w:val="none" w:color="auto"/>
                <w:lang w:val="en-US" w:eastAsia="zh-CN"/>
              </w:rPr>
              <w:t>项目区生态系统类型主要包括城镇生态系统。城镇生态系统主要以农村居民点生态系统为主，该生态系统主要集中在道路两侧。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color="auto"/>
                <w:lang w:val="en-US" w:eastAsia="zh-CN"/>
              </w:rPr>
            </w:pPr>
            <w:r>
              <w:rPr>
                <w:rFonts w:hint="eastAsia" w:ascii="Times New Roman" w:hAnsi="Times New Roman" w:cs="Times New Roman" w:eastAsiaTheme="minorEastAsia"/>
                <w:color w:val="auto"/>
                <w:sz w:val="24"/>
                <w:szCs w:val="24"/>
                <w:u w:val="none" w:color="auto"/>
                <w:lang w:val="en-US" w:eastAsia="zh-CN"/>
              </w:rPr>
              <w:t>（5）陆生生态环境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u w:val="none" w:color="auto"/>
                <w:lang w:val="en-US" w:eastAsia="zh-CN"/>
              </w:rPr>
            </w:pPr>
            <w:r>
              <w:rPr>
                <w:rFonts w:hint="eastAsia" w:ascii="Times New Roman" w:hAnsi="Times New Roman" w:cs="Times New Roman" w:eastAsiaTheme="minorEastAsia"/>
                <w:color w:val="auto"/>
                <w:sz w:val="24"/>
                <w:szCs w:val="24"/>
                <w:u w:val="none" w:color="auto"/>
                <w:lang w:val="en-US" w:eastAsia="zh-CN"/>
              </w:rPr>
              <w:t>1）植被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color="auto"/>
                <w:lang w:val="en-US" w:eastAsia="zh-CN"/>
              </w:rPr>
            </w:pPr>
            <w:r>
              <w:rPr>
                <w:rFonts w:hint="default" w:ascii="Times New Roman" w:hAnsi="Times New Roman" w:cs="Times New Roman" w:eastAsiaTheme="minorEastAsia"/>
                <w:color w:val="auto"/>
                <w:sz w:val="24"/>
                <w:szCs w:val="24"/>
                <w:u w:val="none" w:color="auto"/>
                <w:lang w:val="en-US" w:eastAsia="zh-CN"/>
              </w:rPr>
              <w:t>湘阴县位于湖南省，属于中亚热带向北亚热带过渡的季风气候区。湘阴县的气候特点是四季分明，湿润多雨，具有春温变幅大，初夏雨水多，伏秋天热易旱，冬季严寒不多的特点。因此，湘阴县的植被应该属于中亚热带常绿阔叶林区向北亚热带落叶阔叶林区过渡的地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color="auto"/>
                <w:lang w:val="en-US" w:eastAsia="zh-CN"/>
              </w:rPr>
            </w:pPr>
            <w:r>
              <w:rPr>
                <w:rFonts w:hint="default" w:ascii="Times New Roman" w:hAnsi="Times New Roman" w:cs="Times New Roman" w:eastAsiaTheme="minorEastAsia"/>
                <w:color w:val="auto"/>
                <w:sz w:val="24"/>
                <w:szCs w:val="24"/>
                <w:u w:val="none" w:color="auto"/>
                <w:lang w:val="en-US" w:eastAsia="zh-CN"/>
              </w:rPr>
              <w:t>这种过渡地带的植被类型通常包括常绿阔叶林、落叶阔叶林以及混交林。具体的植被分布会受到地形、土壤和人为活动的影响。湘阴县的地貌类型多样，包括平原、岗地和低山，这也为不同类型的植被提供了生长条件。</w:t>
            </w:r>
          </w:p>
          <w:p>
            <w:pPr>
              <w:spacing w:line="360" w:lineRule="auto"/>
              <w:ind w:firstLine="480" w:firstLineChars="200"/>
              <w:jc w:val="both"/>
              <w:rPr>
                <w:rFonts w:hint="eastAsia" w:ascii="Times New Roman" w:hAnsi="Times New Roman" w:cs="Times New Roman"/>
                <w:color w:val="auto"/>
                <w:sz w:val="24"/>
                <w:szCs w:val="24"/>
                <w:highlight w:val="none"/>
                <w:u w:val="none" w:color="auto"/>
                <w:lang w:val="en-US" w:eastAsia="zh-CN"/>
              </w:rPr>
            </w:pPr>
            <w:r>
              <w:rPr>
                <w:rFonts w:hint="eastAsia" w:ascii="Times New Roman" w:hAnsi="Times New Roman" w:cs="Times New Roman"/>
                <w:color w:val="auto"/>
                <w:sz w:val="24"/>
                <w:szCs w:val="24"/>
                <w:highlight w:val="none"/>
                <w:u w:val="none" w:color="auto"/>
                <w:lang w:val="en-US" w:eastAsia="zh-CN"/>
              </w:rPr>
              <w:t>根据实地调查，项目现场主要为荒地，乔木主要有</w:t>
            </w:r>
            <w:r>
              <w:rPr>
                <w:rFonts w:hint="eastAsia" w:ascii="Times New Roman" w:hAnsi="Times New Roman" w:cs="Times New Roman" w:eastAsiaTheme="minorEastAsia"/>
                <w:color w:val="auto"/>
                <w:sz w:val="24"/>
                <w:szCs w:val="24"/>
                <w:u w:val="none" w:color="auto"/>
                <w:lang w:val="en-US" w:eastAsia="zh-CN"/>
              </w:rPr>
              <w:t>一枝黄花、博落回、构树等，</w:t>
            </w:r>
            <w:r>
              <w:rPr>
                <w:rFonts w:hint="eastAsia" w:ascii="Times New Roman" w:hAnsi="Times New Roman" w:cs="Times New Roman"/>
                <w:color w:val="auto"/>
                <w:sz w:val="24"/>
                <w:szCs w:val="24"/>
                <w:highlight w:val="none"/>
                <w:u w:val="none" w:color="auto"/>
                <w:lang w:val="en-US" w:eastAsia="zh-CN"/>
              </w:rPr>
              <w:t>灌木主要有</w:t>
            </w:r>
            <w:r>
              <w:rPr>
                <w:rFonts w:hint="eastAsia" w:ascii="Times New Roman" w:hAnsi="Times New Roman" w:cs="Times New Roman" w:eastAsiaTheme="minorEastAsia"/>
                <w:color w:val="auto"/>
                <w:sz w:val="24"/>
                <w:szCs w:val="24"/>
                <w:u w:val="none" w:color="auto"/>
                <w:lang w:val="en-US" w:eastAsia="zh-CN"/>
              </w:rPr>
              <w:t>盐麸木、枇杷叶紫珠、楠竹等</w:t>
            </w:r>
            <w:r>
              <w:rPr>
                <w:rFonts w:hint="eastAsia" w:ascii="Times New Roman" w:hAnsi="Times New Roman" w:cs="Times New Roman"/>
                <w:color w:val="auto"/>
                <w:sz w:val="24"/>
                <w:szCs w:val="24"/>
                <w:highlight w:val="none"/>
                <w:u w:val="none" w:color="auto"/>
                <w:lang w:val="en-US" w:eastAsia="zh-CN"/>
              </w:rPr>
              <w:t>，杂草主要有芒草、狗尾草、牛筋草为主。项目调查范围未见珍稀保护植物物种和古树名木，不涉及生态公益林。</w:t>
            </w:r>
          </w:p>
          <w:p>
            <w:pPr>
              <w:numPr>
                <w:ilvl w:val="0"/>
                <w:numId w:val="5"/>
              </w:numPr>
              <w:spacing w:line="360" w:lineRule="auto"/>
              <w:ind w:firstLine="480" w:firstLineChars="200"/>
              <w:rPr>
                <w:rFonts w:hint="eastAsia" w:ascii="Times New Roman" w:hAnsi="Times New Roman" w:cs="Times New Roman"/>
                <w:color w:val="auto"/>
                <w:sz w:val="24"/>
                <w:szCs w:val="24"/>
                <w:highlight w:val="none"/>
                <w:u w:val="none" w:color="auto"/>
                <w:lang w:val="en-US" w:eastAsia="zh-CN"/>
              </w:rPr>
            </w:pPr>
            <w:r>
              <w:rPr>
                <w:rFonts w:hint="eastAsia" w:ascii="Times New Roman" w:hAnsi="Times New Roman" w:cs="Times New Roman"/>
                <w:color w:val="auto"/>
                <w:sz w:val="24"/>
                <w:szCs w:val="24"/>
                <w:highlight w:val="none"/>
                <w:u w:val="none" w:color="auto"/>
                <w:lang w:val="en-US" w:eastAsia="zh-CN"/>
              </w:rPr>
              <w:t>动物</w:t>
            </w:r>
          </w:p>
          <w:p>
            <w:pPr>
              <w:spacing w:line="360" w:lineRule="auto"/>
              <w:ind w:firstLine="480" w:firstLineChars="200"/>
              <w:jc w:val="both"/>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项目区属于农村地区，人为活动频繁，开发活动较为强烈，野生动物尤其是大型野生动物生存环境受到破坏，因此野生动物的活动踪迹较少，无重要珍稀野生动物分布。常见的野生动物多为鸟类、蛇类、青蛙、鼠类等常见物种，未见国家</w:t>
            </w:r>
            <w:r>
              <w:rPr>
                <w:rFonts w:hint="eastAsia" w:ascii="Times New Roman" w:hAnsi="Times New Roman" w:cs="Times New Roman"/>
                <w:color w:val="auto"/>
                <w:sz w:val="24"/>
                <w:szCs w:val="24"/>
                <w:highlight w:val="none"/>
                <w:u w:val="none" w:color="auto"/>
                <w:lang w:val="en-US" w:eastAsia="zh-CN"/>
              </w:rPr>
              <w:t>及地方</w:t>
            </w:r>
            <w:r>
              <w:rPr>
                <w:rFonts w:hint="default" w:ascii="Times New Roman" w:hAnsi="Times New Roman" w:eastAsia="宋体" w:cs="Times New Roman"/>
                <w:color w:val="auto"/>
                <w:sz w:val="24"/>
                <w:szCs w:val="24"/>
                <w:highlight w:val="none"/>
                <w:u w:val="none" w:color="auto"/>
                <w:lang w:val="en-US" w:eastAsia="zh-CN"/>
              </w:rPr>
              <w:t>重点保护野生动物</w:t>
            </w:r>
            <w:r>
              <w:rPr>
                <w:rFonts w:hint="eastAsia" w:ascii="Times New Roman" w:hAnsi="Times New Roman" w:cs="Times New Roman" w:eastAsiaTheme="minorEastAsia"/>
                <w:color w:val="auto"/>
                <w:sz w:val="24"/>
                <w:szCs w:val="24"/>
                <w:u w:val="none" w:color="auto"/>
                <w:lang w:val="en-US" w:eastAsia="zh-CN"/>
              </w:rPr>
              <w:t>。</w:t>
            </w:r>
          </w:p>
          <w:p>
            <w:pPr>
              <w:keepNext/>
              <w:keepLines/>
              <w:pageBreakBefore w:val="0"/>
              <w:widowControl w:val="0"/>
              <w:numPr>
                <w:ilvl w:val="0"/>
                <w:numId w:val="0"/>
              </w:numPr>
              <w:kinsoku/>
              <w:wordWrap/>
              <w:overflowPunct/>
              <w:topLinePunct w:val="0"/>
              <w:autoSpaceDE/>
              <w:autoSpaceDN/>
              <w:bidi w:val="0"/>
              <w:adjustRightInd/>
              <w:snapToGrid/>
              <w:spacing w:before="0" w:after="0" w:afterLines="0" w:line="360" w:lineRule="auto"/>
              <w:ind w:left="0" w:leftChars="0" w:right="0" w:firstLine="0" w:firstLineChars="0"/>
              <w:jc w:val="left"/>
              <w:textAlignment w:val="auto"/>
              <w:outlineLvl w:val="2"/>
              <w:rPr>
                <w:rFonts w:hint="default" w:ascii="Times New Roman" w:hAnsi="Times New Roman" w:eastAsia="宋体" w:cs="Times New Roman"/>
                <w:b/>
                <w:bCs/>
                <w:color w:val="auto"/>
                <w:kern w:val="2"/>
                <w:sz w:val="24"/>
                <w:szCs w:val="24"/>
                <w:u w:val="none" w:color="auto"/>
                <w:lang w:val="en-US" w:eastAsia="zh-CN" w:bidi="ar-SA"/>
              </w:rPr>
            </w:pPr>
            <w:r>
              <w:rPr>
                <w:rFonts w:hint="eastAsia" w:ascii="Times New Roman" w:hAnsi="Times New Roman" w:cs="Times New Roman"/>
                <w:b/>
                <w:bCs/>
                <w:color w:val="auto"/>
                <w:kern w:val="2"/>
                <w:sz w:val="24"/>
                <w:szCs w:val="24"/>
                <w:u w:val="none" w:color="auto"/>
                <w:lang w:val="en-US" w:eastAsia="zh-CN" w:bidi="ar-SA"/>
              </w:rPr>
              <w:t>2、</w:t>
            </w:r>
            <w:r>
              <w:rPr>
                <w:rFonts w:hint="default" w:ascii="Times New Roman" w:hAnsi="Times New Roman" w:eastAsia="宋体" w:cs="Times New Roman"/>
                <w:b/>
                <w:bCs/>
                <w:color w:val="auto"/>
                <w:kern w:val="2"/>
                <w:sz w:val="24"/>
                <w:szCs w:val="24"/>
                <w:u w:val="none" w:color="auto"/>
                <w:lang w:val="en-US" w:eastAsia="zh-CN" w:bidi="ar-SA"/>
              </w:rPr>
              <w:t>环境空气质量现状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根据《环境影响评价技术导则</w:t>
            </w:r>
            <w:r>
              <w:rPr>
                <w:rFonts w:hint="default" w:ascii="Times New Roman" w:hAnsi="Times New Roman" w:eastAsia="宋体" w:cs="Times New Roman"/>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大气环境》（</w:t>
            </w:r>
            <w:r>
              <w:rPr>
                <w:rFonts w:hint="default" w:ascii="Times New Roman" w:hAnsi="Times New Roman" w:eastAsia="宋体" w:cs="Times New Roman"/>
                <w:color w:val="auto"/>
                <w:kern w:val="2"/>
                <w:sz w:val="24"/>
                <w:szCs w:val="24"/>
                <w:u w:val="none" w:color="auto"/>
                <w:lang w:val="en-US" w:eastAsia="zh-CN" w:bidi="ar-SA"/>
              </w:rPr>
              <w:t>HJ2.2-2018</w:t>
            </w:r>
            <w:r>
              <w:rPr>
                <w:rFonts w:hint="eastAsia" w:ascii="Times New Roman" w:hAnsi="Times New Roman" w:eastAsia="宋体" w:cs="Times New Roman"/>
                <w:color w:val="auto"/>
                <w:kern w:val="2"/>
                <w:sz w:val="24"/>
                <w:szCs w:val="24"/>
                <w:u w:val="none" w:color="auto"/>
                <w:lang w:val="en-US" w:eastAsia="zh-CN" w:bidi="ar-SA"/>
              </w:rPr>
              <w:t>）中</w:t>
            </w:r>
            <w:r>
              <w:rPr>
                <w:rFonts w:hint="default" w:ascii="Times New Roman" w:hAnsi="Times New Roman" w:eastAsia="宋体" w:cs="Times New Roman"/>
                <w:color w:val="auto"/>
                <w:kern w:val="2"/>
                <w:sz w:val="24"/>
                <w:szCs w:val="24"/>
                <w:u w:val="none" w:color="auto"/>
                <w:lang w:val="en-US" w:eastAsia="zh-CN" w:bidi="ar-SA"/>
              </w:rPr>
              <w:t xml:space="preserve">“5.5 </w:t>
            </w:r>
            <w:r>
              <w:rPr>
                <w:rFonts w:hint="eastAsia" w:ascii="Times New Roman" w:hAnsi="Times New Roman" w:eastAsia="宋体" w:cs="Times New Roman"/>
                <w:color w:val="auto"/>
                <w:kern w:val="2"/>
                <w:sz w:val="24"/>
                <w:szCs w:val="24"/>
                <w:u w:val="none" w:color="auto"/>
                <w:lang w:val="en-US" w:eastAsia="zh-CN" w:bidi="ar-SA"/>
              </w:rPr>
              <w:t>评价基准年筛选依据评价所需环境空气质量现状、气象资料等数据的可获得性、数据质量、代表性等因素，选择近</w:t>
            </w:r>
            <w:r>
              <w:rPr>
                <w:rFonts w:hint="default" w:ascii="Times New Roman" w:hAnsi="Times New Roman" w:eastAsia="宋体" w:cs="Times New Roman"/>
                <w:color w:val="auto"/>
                <w:kern w:val="2"/>
                <w:sz w:val="24"/>
                <w:szCs w:val="24"/>
                <w:u w:val="none" w:color="auto"/>
                <w:lang w:val="en-US" w:eastAsia="zh-CN" w:bidi="ar-SA"/>
              </w:rPr>
              <w:t>3</w:t>
            </w:r>
            <w:r>
              <w:rPr>
                <w:rFonts w:hint="eastAsia" w:ascii="Times New Roman" w:hAnsi="Times New Roman" w:eastAsia="宋体" w:cs="Times New Roman"/>
                <w:color w:val="auto"/>
                <w:kern w:val="2"/>
                <w:sz w:val="24"/>
                <w:szCs w:val="24"/>
                <w:u w:val="none" w:color="auto"/>
                <w:lang w:val="en-US" w:eastAsia="zh-CN" w:bidi="ar-SA"/>
              </w:rPr>
              <w:t>年中数据相对完整的</w:t>
            </w:r>
            <w:r>
              <w:rPr>
                <w:rFonts w:hint="default" w:ascii="Times New Roman" w:hAnsi="Times New Roman" w:eastAsia="宋体" w:cs="Times New Roman"/>
                <w:color w:val="auto"/>
                <w:kern w:val="2"/>
                <w:sz w:val="24"/>
                <w:szCs w:val="24"/>
                <w:u w:val="none" w:color="auto"/>
                <w:lang w:val="en-US" w:eastAsia="zh-CN" w:bidi="ar-SA"/>
              </w:rPr>
              <w:t>1</w:t>
            </w:r>
            <w:r>
              <w:rPr>
                <w:rFonts w:hint="eastAsia" w:ascii="Times New Roman" w:hAnsi="Times New Roman" w:eastAsia="宋体" w:cs="Times New Roman"/>
                <w:color w:val="auto"/>
                <w:kern w:val="2"/>
                <w:sz w:val="24"/>
                <w:szCs w:val="24"/>
                <w:u w:val="none" w:color="auto"/>
                <w:lang w:val="en-US" w:eastAsia="zh-CN" w:bidi="ar-SA"/>
              </w:rPr>
              <w:t>个日历年作为评价基准年</w:t>
            </w:r>
            <w:r>
              <w:rPr>
                <w:rFonts w:hint="default" w:ascii="Times New Roman" w:hAnsi="Times New Roman" w:eastAsia="宋体" w:cs="Times New Roman"/>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 xml:space="preserve">“6.2 </w:t>
            </w:r>
            <w:r>
              <w:rPr>
                <w:rFonts w:hint="eastAsia" w:ascii="Times New Roman" w:hAnsi="Times New Roman" w:eastAsia="宋体" w:cs="Times New Roman"/>
                <w:color w:val="auto"/>
                <w:kern w:val="2"/>
                <w:sz w:val="24"/>
                <w:szCs w:val="24"/>
                <w:u w:val="none" w:color="auto"/>
                <w:lang w:val="en-US" w:eastAsia="zh-CN" w:bidi="ar-SA"/>
              </w:rPr>
              <w:t>数据来源，采用评价范围内国家或地方环境空气质量监测网中评价基准年连续</w:t>
            </w:r>
            <w:r>
              <w:rPr>
                <w:rFonts w:hint="default" w:ascii="Times New Roman" w:hAnsi="Times New Roman" w:eastAsia="宋体" w:cs="Times New Roman"/>
                <w:color w:val="auto"/>
                <w:kern w:val="2"/>
                <w:sz w:val="24"/>
                <w:szCs w:val="24"/>
                <w:u w:val="none" w:color="auto"/>
                <w:lang w:val="en-US" w:eastAsia="zh-CN" w:bidi="ar-SA"/>
              </w:rPr>
              <w:t>1</w:t>
            </w:r>
            <w:r>
              <w:rPr>
                <w:rFonts w:hint="eastAsia" w:ascii="Times New Roman" w:hAnsi="Times New Roman" w:eastAsia="宋体" w:cs="Times New Roman"/>
                <w:color w:val="auto"/>
                <w:kern w:val="2"/>
                <w:sz w:val="24"/>
                <w:szCs w:val="24"/>
                <w:u w:val="none" w:color="auto"/>
                <w:lang w:val="en-US" w:eastAsia="zh-CN" w:bidi="ar-SA"/>
              </w:rPr>
              <w:t>年的监测数据，或采用生态环境主管部门公开发布的环境空气质量现状数据</w:t>
            </w:r>
            <w:r>
              <w:rPr>
                <w:rFonts w:hint="default" w:ascii="Times New Roman" w:hAnsi="Times New Roman" w:eastAsia="宋体" w:cs="Times New Roman"/>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w:t>
            </w:r>
          </w:p>
          <w:p>
            <w:pPr>
              <w:pStyle w:val="2"/>
              <w:keepNext w:val="0"/>
              <w:keepLines w:val="0"/>
              <w:pageBreakBefore w:val="0"/>
              <w:widowControl/>
              <w:kinsoku/>
              <w:wordWrap/>
              <w:overflowPunct/>
              <w:topLinePunct w:val="0"/>
              <w:autoSpaceDE/>
              <w:autoSpaceDN/>
              <w:bidi w:val="0"/>
              <w:adjustRightInd/>
              <w:snapToGrid w:val="0"/>
              <w:spacing w:line="360" w:lineRule="auto"/>
              <w:ind w:right="113"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本项目区域达标判定所用数据引用湘阴县人民政府公布的岳阳市生态环境局湘阴分局站点全年空气质量监测数据。湘阴县202</w:t>
            </w:r>
            <w:r>
              <w:rPr>
                <w:rFonts w:hint="eastAsia" w:ascii="Times New Roman" w:hAnsi="Times New Roman" w:cs="Times New Roman"/>
                <w:color w:val="auto"/>
                <w:kern w:val="2"/>
                <w:sz w:val="24"/>
                <w:szCs w:val="24"/>
                <w:u w:val="none" w:color="auto"/>
                <w:lang w:val="en-US" w:eastAsia="zh-CN" w:bidi="ar-SA"/>
              </w:rPr>
              <w:t>4</w:t>
            </w:r>
            <w:r>
              <w:rPr>
                <w:rFonts w:hint="default" w:ascii="Times New Roman" w:hAnsi="Times New Roman" w:eastAsia="宋体" w:cs="Times New Roman"/>
                <w:color w:val="auto"/>
                <w:kern w:val="2"/>
                <w:sz w:val="24"/>
                <w:szCs w:val="24"/>
                <w:u w:val="none" w:color="auto"/>
                <w:lang w:val="en-US" w:eastAsia="zh-CN" w:bidi="ar-SA"/>
              </w:rPr>
              <w:t>年空气质量现状评价见下表。</w:t>
            </w:r>
          </w:p>
          <w:p>
            <w:pPr>
              <w:spacing w:line="240" w:lineRule="auto"/>
              <w:ind w:firstLine="422" w:firstLineChars="200"/>
              <w:jc w:val="center"/>
              <w:rPr>
                <w:rFonts w:hint="default" w:ascii="Times New Roman" w:hAnsi="Times New Roman" w:cs="Times New Roman"/>
                <w:b/>
                <w:bCs/>
                <w:color w:val="auto"/>
                <w:sz w:val="21"/>
                <w:szCs w:val="21"/>
                <w:u w:val="none" w:color="auto"/>
                <w:lang w:val="en-US"/>
              </w:rPr>
            </w:pPr>
            <w:r>
              <w:rPr>
                <w:rFonts w:hint="default" w:ascii="Times New Roman" w:hAnsi="Times New Roman" w:cs="Times New Roman"/>
                <w:b/>
                <w:bCs/>
                <w:color w:val="auto"/>
                <w:sz w:val="21"/>
                <w:szCs w:val="21"/>
                <w:u w:val="none" w:color="auto"/>
              </w:rPr>
              <w:t>表3-</w:t>
            </w:r>
            <w:r>
              <w:rPr>
                <w:rFonts w:hint="eastAsia" w:ascii="Times New Roman" w:hAnsi="Times New Roman" w:cs="Times New Roman"/>
                <w:b/>
                <w:bCs/>
                <w:color w:val="auto"/>
                <w:sz w:val="21"/>
                <w:szCs w:val="21"/>
                <w:u w:val="none" w:color="auto"/>
                <w:lang w:val="en-US" w:eastAsia="zh-CN"/>
              </w:rPr>
              <w:t>1  2024年度湘阴县环境空气质量现状评价表</w:t>
            </w:r>
          </w:p>
          <w:tbl>
            <w:tblPr>
              <w:tblStyle w:val="30"/>
              <w:tblW w:w="809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84"/>
              <w:gridCol w:w="2769"/>
              <w:gridCol w:w="1333"/>
              <w:gridCol w:w="1702"/>
              <w:gridCol w:w="10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监测因子</w:t>
                  </w:r>
                </w:p>
              </w:tc>
              <w:tc>
                <w:tcPr>
                  <w:tcW w:w="2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年评价指标</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监测</w:t>
                  </w:r>
                  <w:r>
                    <w:rPr>
                      <w:rFonts w:hint="default" w:ascii="Times New Roman" w:hAnsi="Times New Roman" w:cs="Times New Roman"/>
                      <w:color w:val="auto"/>
                      <w:sz w:val="21"/>
                      <w:szCs w:val="21"/>
                      <w:u w:val="none" w:color="auto"/>
                      <w:lang w:eastAsia="zh-CN"/>
                    </w:rPr>
                    <w:t>浓度</w:t>
                  </w:r>
                  <w:r>
                    <w:rPr>
                      <w:rFonts w:hint="default" w:ascii="Times New Roman" w:hAnsi="Times New Roman" w:cs="Times New Roman"/>
                      <w:color w:val="auto"/>
                      <w:sz w:val="21"/>
                      <w:szCs w:val="21"/>
                      <w:u w:val="none" w:color="auto"/>
                    </w:rPr>
                    <w:t>（μg/m</w:t>
                  </w:r>
                  <w:r>
                    <w:rPr>
                      <w:rFonts w:hint="default" w:ascii="Times New Roman" w:hAnsi="Times New Roman" w:cs="Times New Roman"/>
                      <w:color w:val="auto"/>
                      <w:sz w:val="21"/>
                      <w:szCs w:val="21"/>
                      <w:u w:val="none" w:color="auto"/>
                      <w:vertAlign w:val="superscript"/>
                    </w:rPr>
                    <w:t>3</w:t>
                  </w:r>
                  <w:r>
                    <w:rPr>
                      <w:rFonts w:hint="default" w:ascii="Times New Roman" w:hAnsi="Times New Roman" w:cs="Times New Roman"/>
                      <w:color w:val="auto"/>
                      <w:sz w:val="21"/>
                      <w:szCs w:val="21"/>
                      <w:u w:val="none" w:color="auto"/>
                    </w:rPr>
                    <w:t>）</w:t>
                  </w:r>
                </w:p>
              </w:tc>
              <w:tc>
                <w:tcPr>
                  <w:tcW w:w="17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标准值（μg/m</w:t>
                  </w:r>
                  <w:r>
                    <w:rPr>
                      <w:rFonts w:hint="default" w:ascii="Times New Roman" w:hAnsi="Times New Roman" w:cs="Times New Roman"/>
                      <w:color w:val="auto"/>
                      <w:sz w:val="21"/>
                      <w:szCs w:val="21"/>
                      <w:u w:val="none" w:color="auto"/>
                      <w:vertAlign w:val="superscript"/>
                    </w:rPr>
                    <w:t>3</w:t>
                  </w:r>
                  <w:r>
                    <w:rPr>
                      <w:rFonts w:hint="default" w:ascii="Times New Roman" w:hAnsi="Times New Roman" w:cs="Times New Roman"/>
                      <w:color w:val="auto"/>
                      <w:sz w:val="21"/>
                      <w:szCs w:val="21"/>
                      <w:u w:val="none" w:color="auto"/>
                    </w:rPr>
                    <w:t>）</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SO</w:t>
                  </w:r>
                  <w:r>
                    <w:rPr>
                      <w:rFonts w:hint="default" w:ascii="Times New Roman" w:hAnsi="Times New Roman" w:cs="Times New Roman"/>
                      <w:color w:val="auto"/>
                      <w:sz w:val="21"/>
                      <w:szCs w:val="21"/>
                      <w:u w:val="none" w:color="auto"/>
                      <w:vertAlign w:val="subscript"/>
                    </w:rPr>
                    <w:t>2</w:t>
                  </w:r>
                </w:p>
              </w:tc>
              <w:tc>
                <w:tcPr>
                  <w:tcW w:w="2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年平均质量浓度</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w:t>
                  </w:r>
                </w:p>
              </w:tc>
              <w:tc>
                <w:tcPr>
                  <w:tcW w:w="17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60</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NO</w:t>
                  </w:r>
                  <w:r>
                    <w:rPr>
                      <w:rFonts w:hint="default" w:ascii="Times New Roman" w:hAnsi="Times New Roman" w:cs="Times New Roman"/>
                      <w:color w:val="auto"/>
                      <w:sz w:val="21"/>
                      <w:szCs w:val="21"/>
                      <w:u w:val="none" w:color="auto"/>
                      <w:vertAlign w:val="subscript"/>
                    </w:rPr>
                    <w:t>2</w:t>
                  </w:r>
                </w:p>
              </w:tc>
              <w:tc>
                <w:tcPr>
                  <w:tcW w:w="2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年平均质量浓度</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14</w:t>
                  </w:r>
                </w:p>
              </w:tc>
              <w:tc>
                <w:tcPr>
                  <w:tcW w:w="17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40</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rPr>
                    <w:t>PM</w:t>
                  </w:r>
                  <w:r>
                    <w:rPr>
                      <w:rFonts w:hint="default" w:ascii="Times New Roman" w:hAnsi="Times New Roman" w:cs="Times New Roman"/>
                      <w:color w:val="auto"/>
                      <w:sz w:val="21"/>
                      <w:szCs w:val="21"/>
                      <w:u w:val="none" w:color="auto"/>
                      <w:vertAlign w:val="subscript"/>
                    </w:rPr>
                    <w:t>10</w:t>
                  </w:r>
                </w:p>
              </w:tc>
              <w:tc>
                <w:tcPr>
                  <w:tcW w:w="2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rPr>
                    <w:t>年平均质量浓度</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43</w:t>
                  </w:r>
                </w:p>
              </w:tc>
              <w:tc>
                <w:tcPr>
                  <w:tcW w:w="17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70</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PM</w:t>
                  </w:r>
                  <w:r>
                    <w:rPr>
                      <w:rFonts w:hint="default" w:ascii="Times New Roman" w:hAnsi="Times New Roman" w:cs="Times New Roman"/>
                      <w:color w:val="auto"/>
                      <w:sz w:val="21"/>
                      <w:szCs w:val="21"/>
                      <w:u w:val="none" w:color="auto"/>
                      <w:vertAlign w:val="subscript"/>
                    </w:rPr>
                    <w:t>2.5</w:t>
                  </w:r>
                </w:p>
              </w:tc>
              <w:tc>
                <w:tcPr>
                  <w:tcW w:w="2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年平均质量浓度</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34</w:t>
                  </w:r>
                </w:p>
              </w:tc>
              <w:tc>
                <w:tcPr>
                  <w:tcW w:w="17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35</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rPr>
                    <w:t>CO</w:t>
                  </w:r>
                </w:p>
              </w:tc>
              <w:tc>
                <w:tcPr>
                  <w:tcW w:w="2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95</w:t>
                  </w:r>
                  <w:r>
                    <w:rPr>
                      <w:rFonts w:hint="default" w:ascii="Times New Roman" w:hAnsi="Times New Roman" w:cs="Times New Roman"/>
                      <w:color w:val="auto"/>
                      <w:sz w:val="21"/>
                      <w:szCs w:val="21"/>
                      <w:u w:val="none" w:color="auto"/>
                      <w:lang w:eastAsia="zh-CN"/>
                    </w:rPr>
                    <w:t>百分</w:t>
                  </w:r>
                  <w:r>
                    <w:rPr>
                      <w:rFonts w:hint="default" w:ascii="Times New Roman" w:hAnsi="Times New Roman" w:cs="Times New Roman"/>
                      <w:color w:val="auto"/>
                      <w:sz w:val="21"/>
                      <w:szCs w:val="21"/>
                      <w:u w:val="none" w:color="auto"/>
                    </w:rPr>
                    <w:t>位数日平均质量浓度</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1.0</w:t>
                  </w:r>
                </w:p>
              </w:tc>
              <w:tc>
                <w:tcPr>
                  <w:tcW w:w="17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4000</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O</w:t>
                  </w:r>
                  <w:r>
                    <w:rPr>
                      <w:rFonts w:hint="default" w:ascii="Times New Roman" w:hAnsi="Times New Roman" w:cs="Times New Roman"/>
                      <w:color w:val="auto"/>
                      <w:sz w:val="21"/>
                      <w:szCs w:val="21"/>
                      <w:u w:val="none" w:color="auto"/>
                      <w:vertAlign w:val="subscript"/>
                      <w:lang w:val="en-US" w:eastAsia="zh-CN"/>
                    </w:rPr>
                    <w:t>3</w:t>
                  </w:r>
                </w:p>
              </w:tc>
              <w:tc>
                <w:tcPr>
                  <w:tcW w:w="2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90</w:t>
                  </w:r>
                  <w:r>
                    <w:rPr>
                      <w:rFonts w:hint="default" w:ascii="Times New Roman" w:hAnsi="Times New Roman" w:cs="Times New Roman"/>
                      <w:color w:val="auto"/>
                      <w:sz w:val="21"/>
                      <w:szCs w:val="21"/>
                      <w:u w:val="none" w:color="auto"/>
                      <w:lang w:eastAsia="zh-CN"/>
                    </w:rPr>
                    <w:t>百分</w:t>
                  </w:r>
                  <w:r>
                    <w:rPr>
                      <w:rFonts w:hint="default" w:ascii="Times New Roman" w:hAnsi="Times New Roman" w:cs="Times New Roman"/>
                      <w:color w:val="auto"/>
                      <w:sz w:val="21"/>
                      <w:szCs w:val="21"/>
                      <w:u w:val="none" w:color="auto"/>
                    </w:rPr>
                    <w:t>位数</w:t>
                  </w:r>
                  <w:r>
                    <w:rPr>
                      <w:rFonts w:hint="default" w:ascii="Times New Roman" w:hAnsi="Times New Roman" w:cs="Times New Roman"/>
                      <w:color w:val="auto"/>
                      <w:sz w:val="21"/>
                      <w:szCs w:val="21"/>
                      <w:u w:val="none" w:color="auto"/>
                      <w:lang w:eastAsia="zh-CN"/>
                    </w:rPr>
                    <w:t>最大</w:t>
                  </w:r>
                  <w:r>
                    <w:rPr>
                      <w:rFonts w:hint="default" w:ascii="Times New Roman" w:hAnsi="Times New Roman" w:cs="Times New Roman"/>
                      <w:color w:val="auto"/>
                      <w:sz w:val="21"/>
                      <w:szCs w:val="21"/>
                      <w:u w:val="none" w:color="auto"/>
                      <w:lang w:val="en-US" w:eastAsia="zh-CN"/>
                    </w:rPr>
                    <w:t>8小时</w:t>
                  </w:r>
                  <w:r>
                    <w:rPr>
                      <w:rFonts w:hint="default" w:ascii="Times New Roman" w:hAnsi="Times New Roman" w:cs="Times New Roman"/>
                      <w:color w:val="auto"/>
                      <w:sz w:val="21"/>
                      <w:szCs w:val="21"/>
                      <w:u w:val="none" w:color="auto"/>
                    </w:rPr>
                    <w:t>平均质量浓度</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146</w:t>
                  </w:r>
                </w:p>
              </w:tc>
              <w:tc>
                <w:tcPr>
                  <w:tcW w:w="17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160</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kern w:val="2"/>
                <w:sz w:val="24"/>
                <w:szCs w:val="24"/>
                <w:u w:val="none" w:color="auto"/>
                <w:lang w:val="en-US" w:eastAsia="zh-CN" w:bidi="ar-SA"/>
              </w:rPr>
            </w:pPr>
            <w:r>
              <w:rPr>
                <w:rFonts w:hint="eastAsia" w:ascii="Times New Roman" w:hAnsi="Times New Roman" w:cs="Times New Roman"/>
                <w:color w:val="auto"/>
                <w:sz w:val="24"/>
                <w:szCs w:val="24"/>
                <w:u w:val="none" w:color="auto"/>
                <w:lang w:val="en-US" w:eastAsia="zh-CN"/>
              </w:rPr>
              <w:t>由上表分析结果可知</w:t>
            </w:r>
            <w:r>
              <w:rPr>
                <w:rFonts w:hint="default" w:ascii="Times New Roman" w:hAnsi="Times New Roman" w:eastAsia="宋体" w:cs="Times New Roman"/>
                <w:color w:val="auto"/>
                <w:sz w:val="24"/>
                <w:szCs w:val="24"/>
                <w:u w:val="none" w:color="auto"/>
              </w:rPr>
              <w:t>，</w:t>
            </w:r>
            <w:r>
              <w:rPr>
                <w:rFonts w:hint="eastAsia" w:ascii="Times New Roman" w:hAnsi="Times New Roman" w:cs="Times New Roman"/>
                <w:color w:val="auto"/>
                <w:sz w:val="24"/>
                <w:szCs w:val="24"/>
                <w:u w:val="none" w:color="auto"/>
                <w:lang w:val="en-US" w:eastAsia="zh-CN"/>
              </w:rPr>
              <w:t>本项目所在地</w:t>
            </w:r>
            <w:r>
              <w:rPr>
                <w:rFonts w:hint="default" w:ascii="Times New Roman" w:hAnsi="Times New Roman" w:eastAsia="宋体" w:cs="Times New Roman"/>
                <w:color w:val="auto"/>
                <w:sz w:val="24"/>
                <w:szCs w:val="24"/>
                <w:u w:val="none" w:color="auto"/>
              </w:rPr>
              <w:t xml:space="preserve"> PM</w:t>
            </w:r>
            <w:r>
              <w:rPr>
                <w:rFonts w:hint="default" w:ascii="Times New Roman" w:hAnsi="Times New Roman" w:eastAsia="宋体" w:cs="Times New Roman"/>
                <w:color w:val="auto"/>
                <w:sz w:val="24"/>
                <w:szCs w:val="24"/>
                <w:u w:val="none" w:color="auto"/>
                <w:vertAlign w:val="subscript"/>
              </w:rPr>
              <w:t>10</w:t>
            </w:r>
            <w:r>
              <w:rPr>
                <w:rFonts w:hint="default" w:ascii="Times New Roman" w:hAnsi="Times New Roman" w:eastAsia="宋体" w:cs="Times New Roman"/>
                <w:color w:val="auto"/>
                <w:sz w:val="24"/>
                <w:szCs w:val="24"/>
                <w:u w:val="none" w:color="auto"/>
              </w:rPr>
              <w:t>、PM</w:t>
            </w:r>
            <w:r>
              <w:rPr>
                <w:rFonts w:hint="default" w:ascii="Times New Roman" w:hAnsi="Times New Roman" w:eastAsia="宋体" w:cs="Times New Roman"/>
                <w:color w:val="auto"/>
                <w:sz w:val="24"/>
                <w:szCs w:val="24"/>
                <w:u w:val="none" w:color="auto"/>
                <w:vertAlign w:val="subscript"/>
              </w:rPr>
              <w:t>2.5</w:t>
            </w:r>
            <w:r>
              <w:rPr>
                <w:rFonts w:hint="default" w:ascii="Times New Roman" w:hAnsi="Times New Roman" w:eastAsia="宋体" w:cs="Times New Roman"/>
                <w:color w:val="auto"/>
                <w:sz w:val="24"/>
                <w:szCs w:val="24"/>
                <w:u w:val="none" w:color="auto"/>
              </w:rPr>
              <w:t>、SO</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、NO</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等的年平均质量浓度、CO的</w:t>
            </w:r>
            <w:r>
              <w:rPr>
                <w:rFonts w:hint="eastAsia" w:ascii="Times New Roman" w:hAnsi="Times New Roman" w:cs="Times New Roman"/>
                <w:color w:val="auto"/>
                <w:sz w:val="24"/>
                <w:szCs w:val="24"/>
                <w:u w:val="none" w:color="auto"/>
                <w:lang w:val="en-US" w:eastAsia="zh-CN"/>
              </w:rPr>
              <w:t>24小时</w:t>
            </w:r>
            <w:r>
              <w:rPr>
                <w:rFonts w:hint="default" w:ascii="Times New Roman" w:hAnsi="Times New Roman" w:eastAsia="宋体" w:cs="Times New Roman"/>
                <w:color w:val="auto"/>
                <w:sz w:val="24"/>
                <w:szCs w:val="24"/>
                <w:u w:val="none" w:color="auto"/>
              </w:rPr>
              <w:t>平均质量浓度、</w:t>
            </w:r>
            <w:r>
              <w:rPr>
                <w:rFonts w:hint="eastAsia" w:ascii="Times New Roman" w:hAnsi="Times New Roman" w:cs="Times New Roman"/>
                <w:color w:val="auto"/>
                <w:sz w:val="24"/>
                <w:szCs w:val="24"/>
                <w:u w:val="none" w:color="auto"/>
                <w:lang w:val="en-US" w:eastAsia="zh-CN"/>
              </w:rPr>
              <w:t>日最大</w:t>
            </w:r>
            <w:r>
              <w:rPr>
                <w:rFonts w:hint="default" w:ascii="Times New Roman" w:hAnsi="Times New Roman" w:eastAsia="宋体" w:cs="Times New Roman"/>
                <w:color w:val="auto"/>
                <w:sz w:val="24"/>
                <w:szCs w:val="24"/>
                <w:u w:val="none" w:color="auto"/>
              </w:rPr>
              <w:t>8h平均质量浓度均能满足《环境空气质量标准》（GB3095-2012）及其修改单中的二级标准要求，因此，项目所在区域 202</w:t>
            </w:r>
            <w:r>
              <w:rPr>
                <w:rFonts w:hint="eastAsia" w:ascii="Times New Roman"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rPr>
              <w:t>年环境空气质量为达标区</w:t>
            </w:r>
            <w:r>
              <w:rPr>
                <w:rFonts w:hint="default" w:ascii="Times New Roman" w:hAnsi="Times New Roman" w:eastAsia="宋体" w:cs="Times New Roman"/>
                <w:color w:val="auto"/>
                <w:sz w:val="24"/>
                <w:szCs w:val="24"/>
                <w:highlight w:val="none"/>
                <w:u w:val="none" w:color="auto"/>
                <w:lang w:val="en-US" w:eastAsia="zh-CN"/>
              </w:rPr>
              <w:t>。</w:t>
            </w:r>
          </w:p>
          <w:p>
            <w:pPr>
              <w:keepNext/>
              <w:keepLines/>
              <w:pageBreakBefore w:val="0"/>
              <w:widowControl w:val="0"/>
              <w:numPr>
                <w:ilvl w:val="0"/>
                <w:numId w:val="0"/>
              </w:numPr>
              <w:kinsoku/>
              <w:wordWrap/>
              <w:overflowPunct/>
              <w:topLinePunct w:val="0"/>
              <w:autoSpaceDE/>
              <w:autoSpaceDN/>
              <w:bidi w:val="0"/>
              <w:adjustRightInd/>
              <w:snapToGrid/>
              <w:spacing w:before="0" w:after="0" w:afterLines="0" w:line="360" w:lineRule="auto"/>
              <w:ind w:left="0" w:leftChars="0" w:right="0" w:firstLine="0" w:firstLineChars="0"/>
              <w:jc w:val="left"/>
              <w:textAlignment w:val="auto"/>
              <w:outlineLvl w:val="2"/>
              <w:rPr>
                <w:rFonts w:hint="default" w:ascii="Times New Roman" w:hAnsi="Times New Roman" w:eastAsia="宋体" w:cs="Times New Roman"/>
                <w:b/>
                <w:bCs/>
                <w:color w:val="auto"/>
                <w:kern w:val="2"/>
                <w:sz w:val="24"/>
                <w:szCs w:val="24"/>
                <w:u w:val="none" w:color="auto"/>
                <w:lang w:val="en-US" w:eastAsia="zh-CN" w:bidi="ar-SA"/>
              </w:rPr>
            </w:pPr>
            <w:r>
              <w:rPr>
                <w:rFonts w:hint="default" w:ascii="Times New Roman" w:hAnsi="Times New Roman" w:eastAsia="宋体" w:cs="Times New Roman"/>
                <w:b/>
                <w:bCs/>
                <w:color w:val="auto"/>
                <w:kern w:val="2"/>
                <w:sz w:val="24"/>
                <w:szCs w:val="24"/>
                <w:u w:val="none" w:color="auto"/>
                <w:lang w:val="en-US" w:eastAsia="zh-CN" w:bidi="ar-SA"/>
              </w:rPr>
              <w:t>3</w:t>
            </w:r>
            <w:r>
              <w:rPr>
                <w:rFonts w:hint="eastAsia" w:ascii="Times New Roman" w:hAnsi="Times New Roman" w:cs="Times New Roman"/>
                <w:b/>
                <w:bCs/>
                <w:color w:val="auto"/>
                <w:kern w:val="2"/>
                <w:sz w:val="24"/>
                <w:szCs w:val="24"/>
                <w:u w:val="none" w:color="auto"/>
                <w:lang w:val="en-US" w:eastAsia="zh-CN" w:bidi="ar-SA"/>
              </w:rPr>
              <w:t>、</w:t>
            </w:r>
            <w:r>
              <w:rPr>
                <w:rFonts w:hint="default" w:ascii="Times New Roman" w:hAnsi="Times New Roman" w:eastAsia="宋体" w:cs="Times New Roman"/>
                <w:b/>
                <w:bCs/>
                <w:color w:val="auto"/>
                <w:kern w:val="2"/>
                <w:sz w:val="24"/>
                <w:szCs w:val="24"/>
                <w:u w:val="none" w:color="auto"/>
                <w:lang w:val="en-US" w:eastAsia="zh-CN" w:bidi="ar-SA"/>
              </w:rPr>
              <w:t>地表水环境现状监测与评价</w:t>
            </w:r>
          </w:p>
          <w:p>
            <w:pPr>
              <w:pStyle w:val="2"/>
              <w:snapToGrid/>
              <w:spacing w:before="0" w:after="0" w:line="360" w:lineRule="auto"/>
              <w:ind w:right="0" w:firstLine="480" w:firstLineChars="200"/>
              <w:contextualSpacing/>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根据建设项目环境影响报告表编制技术指南（污染影响类）（试行）：“地表水环境。引用与建设项目距离近的有效数据，包括近3年的规划环境影响评价的监测数据，所在流域控制单元内国家、地方控制断面监测数据，生态环境主管部门发布的水环境质量数据或地表水达标情况的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u w:val="none" w:color="auto"/>
                <w:lang w:val="en-US" w:eastAsia="zh-CN" w:bidi="ar-SA"/>
              </w:rPr>
            </w:pPr>
            <w:r>
              <w:rPr>
                <w:rFonts w:ascii="宋体" w:hAnsi="宋体" w:eastAsia="宋体" w:cs="宋体"/>
                <w:b w:val="0"/>
                <w:bCs w:val="0"/>
                <w:color w:val="auto"/>
                <w:sz w:val="24"/>
                <w:szCs w:val="24"/>
              </w:rPr>
              <w:t>根据《岳阳市</w:t>
            </w:r>
            <w:r>
              <w:rPr>
                <w:rFonts w:hint="default" w:ascii="TimesNewRomanPSMT" w:hAnsi="TimesNewRomanPSMT" w:eastAsia="TimesNewRomanPSMT" w:cs="TimesNewRomanPSMT"/>
                <w:b w:val="0"/>
                <w:bCs w:val="0"/>
                <w:color w:val="auto"/>
                <w:sz w:val="24"/>
                <w:szCs w:val="24"/>
              </w:rPr>
              <w:t>202</w:t>
            </w:r>
            <w:r>
              <w:rPr>
                <w:rFonts w:hint="eastAsia" w:ascii="TimesNewRomanPSMT" w:hAnsi="TimesNewRomanPSMT" w:eastAsia="宋体" w:cs="TimesNewRomanPSMT"/>
                <w:b w:val="0"/>
                <w:bCs w:val="0"/>
                <w:color w:val="auto"/>
                <w:sz w:val="24"/>
                <w:szCs w:val="24"/>
                <w:lang w:val="en-US" w:eastAsia="zh-CN"/>
              </w:rPr>
              <w:t>4</w:t>
            </w:r>
            <w:r>
              <w:rPr>
                <w:rFonts w:ascii="宋体" w:hAnsi="宋体" w:eastAsia="宋体" w:cs="宋体"/>
                <w:b w:val="0"/>
                <w:bCs w:val="0"/>
                <w:color w:val="auto"/>
                <w:sz w:val="24"/>
                <w:szCs w:val="24"/>
              </w:rPr>
              <w:t>年度生态环境质量公报》，</w:t>
            </w:r>
            <w:r>
              <w:rPr>
                <w:rFonts w:hint="default" w:ascii="TimesNewRomanPSMT" w:hAnsi="TimesNewRomanPSMT" w:eastAsia="TimesNewRomanPSMT" w:cs="TimesNewRomanPSMT"/>
                <w:b w:val="0"/>
                <w:bCs w:val="0"/>
                <w:color w:val="auto"/>
                <w:sz w:val="24"/>
                <w:szCs w:val="24"/>
              </w:rPr>
              <w:t>202</w:t>
            </w:r>
            <w:r>
              <w:rPr>
                <w:rFonts w:hint="eastAsia" w:ascii="TimesNewRomanPSMT" w:hAnsi="TimesNewRomanPSMT" w:eastAsia="宋体" w:cs="TimesNewRomanPSMT"/>
                <w:b w:val="0"/>
                <w:bCs w:val="0"/>
                <w:color w:val="auto"/>
                <w:sz w:val="24"/>
                <w:szCs w:val="24"/>
                <w:lang w:val="en-US" w:eastAsia="zh-CN"/>
              </w:rPr>
              <w:t>4</w:t>
            </w:r>
            <w:r>
              <w:rPr>
                <w:rFonts w:ascii="宋体" w:hAnsi="宋体" w:eastAsia="宋体" w:cs="宋体"/>
                <w:b w:val="0"/>
                <w:bCs w:val="0"/>
                <w:color w:val="auto"/>
                <w:sz w:val="24"/>
                <w:szCs w:val="24"/>
              </w:rPr>
              <w:t>年湘江干流岳阳段共有</w:t>
            </w:r>
            <w:r>
              <w:rPr>
                <w:rFonts w:hint="default" w:ascii="TimesNewRomanPSMT" w:hAnsi="TimesNewRomanPSMT" w:eastAsia="TimesNewRomanPSMT" w:cs="TimesNewRomanPSMT"/>
                <w:b w:val="0"/>
                <w:bCs w:val="0"/>
                <w:color w:val="auto"/>
                <w:sz w:val="24"/>
                <w:szCs w:val="24"/>
              </w:rPr>
              <w:t>5</w:t>
            </w:r>
            <w:r>
              <w:rPr>
                <w:rFonts w:ascii="宋体" w:hAnsi="宋体" w:eastAsia="宋体" w:cs="宋体"/>
                <w:b w:val="0"/>
                <w:bCs w:val="0"/>
                <w:color w:val="auto"/>
                <w:sz w:val="24"/>
                <w:szCs w:val="24"/>
              </w:rPr>
              <w:t>个监测断面，分别为乌龙嘴、屈原湘江取水口、屈原自来水厂、磊石山、白水港，</w:t>
            </w:r>
            <w:r>
              <w:rPr>
                <w:rFonts w:hint="default" w:ascii="TimesNewRomanPSMT" w:hAnsi="TimesNewRomanPSMT" w:eastAsia="TimesNewRomanPSMT" w:cs="TimesNewRomanPSMT"/>
                <w:b w:val="0"/>
                <w:bCs w:val="0"/>
                <w:color w:val="auto"/>
                <w:sz w:val="24"/>
                <w:szCs w:val="24"/>
              </w:rPr>
              <w:t>202</w:t>
            </w:r>
            <w:r>
              <w:rPr>
                <w:rFonts w:hint="eastAsia" w:ascii="TimesNewRomanPSMT" w:hAnsi="TimesNewRomanPSMT" w:eastAsia="宋体" w:cs="TimesNewRomanPSMT"/>
                <w:b w:val="0"/>
                <w:bCs w:val="0"/>
                <w:color w:val="auto"/>
                <w:sz w:val="24"/>
                <w:szCs w:val="24"/>
                <w:lang w:val="en-US" w:eastAsia="zh-CN"/>
              </w:rPr>
              <w:t>4</w:t>
            </w:r>
            <w:r>
              <w:rPr>
                <w:rFonts w:ascii="宋体" w:hAnsi="宋体" w:eastAsia="宋体" w:cs="宋体"/>
                <w:b w:val="0"/>
                <w:bCs w:val="0"/>
                <w:color w:val="auto"/>
                <w:sz w:val="24"/>
                <w:szCs w:val="24"/>
              </w:rPr>
              <w:t>年各断面</w:t>
            </w:r>
            <w:r>
              <w:rPr>
                <w:rFonts w:hint="eastAsia" w:ascii="Times New Roman" w:hAnsi="Times New Roman" w:eastAsia="宋体" w:cs="Times New Roman"/>
                <w:color w:val="auto"/>
                <w:kern w:val="0"/>
                <w:sz w:val="24"/>
                <w:szCs w:val="24"/>
                <w:u w:val="none" w:color="auto"/>
                <w:lang w:val="en-US" w:eastAsia="zh-CN" w:bidi="ar-SA"/>
              </w:rPr>
              <w:t>5个监测断面水质均达到Ⅱ类。湘江干、支流岳阳段水体水质总体为优。</w:t>
            </w:r>
          </w:p>
          <w:p>
            <w:pPr>
              <w:pStyle w:val="2"/>
              <w:snapToGrid/>
              <w:spacing w:before="0" w:after="0" w:line="360" w:lineRule="auto"/>
              <w:ind w:right="0"/>
              <w:contextualSpacing/>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4、</w:t>
            </w:r>
            <w:r>
              <w:rPr>
                <w:rFonts w:hint="default" w:ascii="Times New Roman" w:hAnsi="Times New Roman" w:eastAsia="宋体" w:cs="Times New Roman"/>
                <w:b/>
                <w:bCs/>
                <w:color w:val="auto"/>
                <w:sz w:val="24"/>
                <w:szCs w:val="24"/>
                <w:u w:val="none" w:color="auto"/>
                <w:lang w:val="en-US" w:eastAsia="zh-CN"/>
              </w:rPr>
              <w:t>声环境质量现状</w:t>
            </w:r>
          </w:p>
          <w:p>
            <w:pPr>
              <w:pStyle w:val="2"/>
              <w:snapToGrid/>
              <w:spacing w:before="0" w:after="0" w:line="360" w:lineRule="auto"/>
              <w:ind w:right="0" w:firstLine="480" w:firstLineChars="200"/>
              <w:contextualSpacing/>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本次环评委托湖南中鑫检测技术有限公司202</w:t>
            </w:r>
            <w:r>
              <w:rPr>
                <w:rFonts w:hint="eastAsia" w:ascii="Times New Roman" w:hAnsi="Times New Roman"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lang w:val="en-US" w:eastAsia="zh-CN"/>
              </w:rPr>
              <w:t>年</w:t>
            </w:r>
            <w:r>
              <w:rPr>
                <w:rFonts w:hint="eastAsia" w:ascii="Times New Roman" w:hAnsi="Times New Roman" w:cs="Times New Roman"/>
                <w:color w:val="auto"/>
                <w:sz w:val="24"/>
                <w:szCs w:val="24"/>
                <w:u w:val="none" w:color="auto"/>
                <w:lang w:val="en-US" w:eastAsia="zh-CN"/>
              </w:rPr>
              <w:t>6</w:t>
            </w:r>
            <w:r>
              <w:rPr>
                <w:rFonts w:hint="default" w:ascii="Times New Roman" w:hAnsi="Times New Roman" w:eastAsia="宋体" w:cs="Times New Roman"/>
                <w:color w:val="auto"/>
                <w:sz w:val="24"/>
                <w:szCs w:val="24"/>
                <w:u w:val="none" w:color="auto"/>
                <w:lang w:val="en-US" w:eastAsia="zh-CN"/>
              </w:rPr>
              <w:t>月</w:t>
            </w:r>
            <w:r>
              <w:rPr>
                <w:rFonts w:hint="eastAsia" w:ascii="Times New Roman" w:hAnsi="Times New Roman" w:cs="Times New Roman"/>
                <w:color w:val="auto"/>
                <w:sz w:val="24"/>
                <w:szCs w:val="24"/>
                <w:u w:val="none" w:color="auto"/>
                <w:lang w:val="en-US" w:eastAsia="zh-CN"/>
              </w:rPr>
              <w:t>13</w:t>
            </w:r>
            <w:r>
              <w:rPr>
                <w:rFonts w:hint="default" w:ascii="Times New Roman" w:hAnsi="Times New Roman" w:eastAsia="宋体" w:cs="Times New Roman"/>
                <w:color w:val="auto"/>
                <w:sz w:val="24"/>
                <w:szCs w:val="24"/>
                <w:u w:val="none" w:color="auto"/>
                <w:lang w:val="en-US" w:eastAsia="zh-CN"/>
              </w:rPr>
              <w:t>日对项目地的声环境现状进行了监测，监测结果见下表。</w:t>
            </w:r>
          </w:p>
          <w:p>
            <w:pPr>
              <w:bidi w:val="0"/>
              <w:adjustRightInd w:val="0"/>
              <w:snapToGrid w:val="0"/>
              <w:spacing w:before="10" w:beforeLines="10" w:after="10" w:afterLines="10"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表3-</w:t>
            </w:r>
            <w:r>
              <w:rPr>
                <w:rFonts w:hint="eastAsia" w:ascii="Times New Roman" w:hAnsi="Times New Roman" w:cs="Times New Roman"/>
                <w:b/>
                <w:bCs/>
                <w:color w:val="auto"/>
                <w:kern w:val="0"/>
                <w:sz w:val="21"/>
                <w:szCs w:val="21"/>
                <w:highlight w:val="none"/>
                <w:u w:val="none" w:color="auto"/>
                <w:lang w:val="en-US" w:eastAsia="zh-CN"/>
              </w:rPr>
              <w:t>2</w:t>
            </w:r>
            <w:r>
              <w:rPr>
                <w:rFonts w:hint="default" w:ascii="Times New Roman" w:hAnsi="Times New Roman" w:eastAsia="宋体" w:cs="Times New Roman"/>
                <w:b/>
                <w:bCs/>
                <w:color w:val="auto"/>
                <w:kern w:val="0"/>
                <w:sz w:val="21"/>
                <w:szCs w:val="21"/>
                <w:highlight w:val="none"/>
                <w:u w:val="none" w:color="auto"/>
                <w:lang w:val="en-US" w:eastAsia="zh-CN"/>
              </w:rPr>
              <w:t xml:space="preserve"> </w:t>
            </w:r>
            <w:r>
              <w:rPr>
                <w:rFonts w:hint="eastAsia" w:ascii="Times New Roman" w:hAnsi="Times New Roman" w:eastAsia="宋体" w:cs="Times New Roman"/>
                <w:b/>
                <w:bCs/>
                <w:color w:val="auto"/>
                <w:kern w:val="0"/>
                <w:sz w:val="21"/>
                <w:szCs w:val="21"/>
                <w:highlight w:val="none"/>
                <w:u w:val="none" w:color="auto"/>
                <w:lang w:val="en-US" w:eastAsia="zh-CN"/>
              </w:rPr>
              <w:t xml:space="preserve"> </w:t>
            </w:r>
            <w:r>
              <w:rPr>
                <w:rFonts w:hint="default" w:ascii="Times New Roman" w:hAnsi="Times New Roman" w:eastAsia="宋体" w:cs="Times New Roman"/>
                <w:b/>
                <w:bCs/>
                <w:color w:val="auto"/>
                <w:kern w:val="0"/>
                <w:sz w:val="21"/>
                <w:szCs w:val="21"/>
                <w:highlight w:val="none"/>
                <w:u w:val="none" w:color="auto"/>
              </w:rPr>
              <w:t xml:space="preserve">声环境质量现状监测结果统计   单位：dB(A) </w:t>
            </w:r>
          </w:p>
          <w:tbl>
            <w:tblPr>
              <w:tblStyle w:val="31"/>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3048"/>
              <w:gridCol w:w="1056"/>
              <w:gridCol w:w="1001"/>
              <w:gridCol w:w="959"/>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72" w:type="dxa"/>
                  <w:gridSpan w:val="2"/>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eastAsia="zh-CN"/>
                    </w:rPr>
                  </w:pPr>
                  <w:r>
                    <w:rPr>
                      <w:rFonts w:hint="default" w:ascii="Times New Roman" w:hAnsi="Times New Roman" w:cs="Times New Roman"/>
                      <w:color w:val="auto"/>
                      <w:sz w:val="21"/>
                      <w:szCs w:val="21"/>
                      <w:u w:val="none" w:color="auto"/>
                      <w:vertAlign w:val="baseline"/>
                      <w:lang w:eastAsia="zh-CN"/>
                    </w:rPr>
                    <w:t>检测点位</w:t>
                  </w:r>
                </w:p>
              </w:tc>
              <w:tc>
                <w:tcPr>
                  <w:tcW w:w="2057" w:type="dxa"/>
                  <w:gridSpan w:val="2"/>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eastAsia="zh-CN"/>
                    </w:rPr>
                  </w:pPr>
                  <w:r>
                    <w:rPr>
                      <w:rFonts w:hint="default" w:ascii="Times New Roman" w:hAnsi="Times New Roman" w:cs="Times New Roman"/>
                      <w:color w:val="auto"/>
                      <w:sz w:val="21"/>
                      <w:szCs w:val="21"/>
                      <w:u w:val="none" w:color="auto"/>
                      <w:vertAlign w:val="baseline"/>
                      <w:lang w:eastAsia="zh-CN"/>
                    </w:rPr>
                    <w:t>检测结果</w:t>
                  </w:r>
                </w:p>
              </w:tc>
              <w:tc>
                <w:tcPr>
                  <w:tcW w:w="2057" w:type="dxa"/>
                  <w:gridSpan w:val="2"/>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24" w:type="dxa"/>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eastAsia="zh-CN"/>
                    </w:rPr>
                  </w:pPr>
                  <w:r>
                    <w:rPr>
                      <w:rFonts w:hint="default" w:ascii="Times New Roman" w:hAnsi="Times New Roman" w:cs="Times New Roman"/>
                      <w:color w:val="auto"/>
                      <w:sz w:val="21"/>
                      <w:szCs w:val="21"/>
                      <w:u w:val="none" w:color="auto"/>
                      <w:vertAlign w:val="baseline"/>
                      <w:lang w:eastAsia="zh-CN"/>
                    </w:rPr>
                    <w:t>序号</w:t>
                  </w:r>
                </w:p>
              </w:tc>
              <w:tc>
                <w:tcPr>
                  <w:tcW w:w="3048" w:type="dxa"/>
                  <w:tcBorders>
                    <w:tl2br w:val="nil"/>
                    <w:tr2bl w:val="nil"/>
                  </w:tcBorders>
                  <w:noWrap w:val="0"/>
                  <w:vAlign w:val="center"/>
                </w:tcPr>
                <w:p>
                  <w:pPr>
                    <w:pStyle w:val="10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eastAsia="zh-CN"/>
                    </w:rPr>
                  </w:pPr>
                  <w:r>
                    <w:rPr>
                      <w:rFonts w:hint="default" w:ascii="Times New Roman" w:hAnsi="Times New Roman" w:cs="Times New Roman"/>
                      <w:color w:val="auto"/>
                      <w:sz w:val="21"/>
                      <w:szCs w:val="21"/>
                      <w:u w:val="none" w:color="auto"/>
                      <w:vertAlign w:val="baseline"/>
                      <w:lang w:eastAsia="zh-CN"/>
                    </w:rPr>
                    <w:t>位置</w:t>
                  </w:r>
                </w:p>
              </w:tc>
              <w:tc>
                <w:tcPr>
                  <w:tcW w:w="10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lang w:val="en-US" w:eastAsia="zh-CN" w:bidi="ar-SA"/>
                    </w:rPr>
                    <w:t>昼间</w:t>
                  </w:r>
                </w:p>
              </w:tc>
              <w:tc>
                <w:tcPr>
                  <w:tcW w:w="10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lang w:val="en-US" w:eastAsia="zh-CN" w:bidi="ar-SA"/>
                    </w:rPr>
                    <w:t>夜间</w:t>
                  </w:r>
                </w:p>
              </w:tc>
              <w:tc>
                <w:tcPr>
                  <w:tcW w:w="9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昼间</w:t>
                  </w:r>
                </w:p>
              </w:tc>
              <w:tc>
                <w:tcPr>
                  <w:tcW w:w="10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24" w:type="dxa"/>
                  <w:tcBorders>
                    <w:tl2br w:val="nil"/>
                    <w:tr2bl w:val="nil"/>
                  </w:tcBorders>
                  <w:noWrap w:val="0"/>
                  <w:vAlign w:val="center"/>
                </w:tcPr>
                <w:p>
                  <w:pPr>
                    <w:pStyle w:val="2"/>
                    <w:spacing w:after="0" w:line="360" w:lineRule="exact"/>
                    <w:ind w:right="113" w:rightChars="0"/>
                    <w:jc w:val="center"/>
                    <w:rPr>
                      <w:rFonts w:hint="default" w:ascii="Times New Roman" w:hAnsi="Times New Roman" w:cs="Times New Roman"/>
                      <w:color w:val="auto"/>
                      <w:sz w:val="21"/>
                      <w:szCs w:val="21"/>
                      <w:u w:val="none" w:color="auto"/>
                      <w:vertAlign w:val="baseline"/>
                      <w:lang w:eastAsia="zh-CN"/>
                    </w:rPr>
                  </w:pP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val="en-US" w:eastAsia="zh-CN"/>
                    </w:rPr>
                    <w:t>1</w:t>
                  </w:r>
                </w:p>
              </w:tc>
              <w:tc>
                <w:tcPr>
                  <w:tcW w:w="3048" w:type="dxa"/>
                  <w:tcBorders>
                    <w:tl2br w:val="nil"/>
                    <w:tr2bl w:val="nil"/>
                  </w:tcBorders>
                  <w:noWrap w:val="0"/>
                  <w:vAlign w:val="center"/>
                </w:tcPr>
                <w:p>
                  <w:pPr>
                    <w:pStyle w:val="2"/>
                    <w:spacing w:after="0" w:line="360" w:lineRule="exact"/>
                    <w:ind w:right="113" w:rightChars="0"/>
                    <w:jc w:val="center"/>
                    <w:rPr>
                      <w:rFonts w:hint="default" w:ascii="Times New Roman" w:hAnsi="Times New Roman" w:cs="Times New Roman"/>
                      <w:color w:val="auto"/>
                      <w:sz w:val="21"/>
                      <w:szCs w:val="21"/>
                      <w:u w:val="none" w:color="auto"/>
                      <w:vertAlign w:val="baseline"/>
                      <w:lang w:eastAsia="zh-CN"/>
                    </w:rPr>
                  </w:pPr>
                  <w:r>
                    <w:rPr>
                      <w:rFonts w:hint="eastAsia" w:ascii="Times New Roman" w:hAnsi="Times New Roman" w:cs="Times New Roman"/>
                      <w:color w:val="auto"/>
                      <w:sz w:val="21"/>
                      <w:szCs w:val="21"/>
                      <w:u w:val="none" w:color="auto"/>
                      <w:vertAlign w:val="baseline"/>
                      <w:lang w:val="en-US" w:eastAsia="zh-CN"/>
                    </w:rPr>
                    <w:t>金龙雅苑</w:t>
                  </w:r>
                </w:p>
              </w:tc>
              <w:tc>
                <w:tcPr>
                  <w:tcW w:w="10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54</w:t>
                  </w:r>
                </w:p>
              </w:tc>
              <w:tc>
                <w:tcPr>
                  <w:tcW w:w="10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42</w:t>
                  </w:r>
                </w:p>
              </w:tc>
              <w:tc>
                <w:tcPr>
                  <w:tcW w:w="9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60</w:t>
                  </w:r>
                </w:p>
              </w:tc>
              <w:tc>
                <w:tcPr>
                  <w:tcW w:w="10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50</w:t>
                  </w:r>
                </w:p>
              </w:tc>
            </w:tr>
          </w:tbl>
          <w:p>
            <w:pPr>
              <w:spacing w:line="360" w:lineRule="auto"/>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根据监测结果，本项目周边敏感点声环境质量现状满足《声环境质量标准》（GB3096-2008）中的2类标准。</w:t>
            </w:r>
          </w:p>
          <w:p>
            <w:pPr>
              <w:keepNext/>
              <w:keepLines/>
              <w:pageBreakBefore w:val="0"/>
              <w:widowControl w:val="0"/>
              <w:numPr>
                <w:ilvl w:val="0"/>
                <w:numId w:val="0"/>
              </w:numPr>
              <w:kinsoku/>
              <w:wordWrap/>
              <w:overflowPunct/>
              <w:topLinePunct w:val="0"/>
              <w:autoSpaceDE/>
              <w:autoSpaceDN/>
              <w:bidi w:val="0"/>
              <w:adjustRightInd/>
              <w:snapToGrid/>
              <w:spacing w:before="0" w:after="0" w:afterLines="0" w:line="360" w:lineRule="auto"/>
              <w:ind w:left="0" w:leftChars="0" w:right="0" w:firstLine="0" w:firstLineChars="0"/>
              <w:jc w:val="left"/>
              <w:textAlignment w:val="auto"/>
              <w:outlineLvl w:val="2"/>
              <w:rPr>
                <w:rFonts w:hint="default" w:ascii="Times New Roman" w:hAnsi="Times New Roman" w:eastAsia="宋体" w:cs="Times New Roman"/>
                <w:b/>
                <w:bCs/>
                <w:color w:val="auto"/>
                <w:kern w:val="2"/>
                <w:sz w:val="24"/>
                <w:szCs w:val="24"/>
                <w:u w:val="none" w:color="auto"/>
                <w:lang w:val="en-US" w:eastAsia="zh-CN" w:bidi="ar-SA"/>
              </w:rPr>
            </w:pPr>
            <w:r>
              <w:rPr>
                <w:rFonts w:hint="eastAsia" w:ascii="Times New Roman" w:hAnsi="Times New Roman" w:cs="Times New Roman"/>
                <w:b/>
                <w:bCs/>
                <w:color w:val="auto"/>
                <w:kern w:val="2"/>
                <w:sz w:val="24"/>
                <w:szCs w:val="24"/>
                <w:u w:val="none" w:color="auto"/>
                <w:lang w:val="en-US" w:eastAsia="zh-CN" w:bidi="ar-SA"/>
              </w:rPr>
              <w:t>5、地下水环境质量现状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u w:val="none" w:color="auto"/>
              </w:rPr>
            </w:pPr>
            <w:r>
              <w:rPr>
                <w:rFonts w:hint="default" w:ascii="Times New Roman" w:hAnsi="Times New Roman" w:cs="Times New Roman" w:eastAsiaTheme="minorEastAsia"/>
                <w:color w:val="auto"/>
                <w:sz w:val="24"/>
                <w:szCs w:val="24"/>
                <w:u w:val="none" w:color="auto"/>
              </w:rPr>
              <w:t>参考《建设项目环境保护分类管理名录》（2021 年版），本项目应编制环境影响报告表。参考建设项目环境影响报告表编制技术指南（生态影响类）），本项目为标准工业厂房项目，</w:t>
            </w:r>
            <w:r>
              <w:rPr>
                <w:rFonts w:hint="eastAsia" w:ascii="Times New Roman" w:hAnsi="Times New Roman" w:cs="Times New Roman" w:eastAsiaTheme="minorEastAsia"/>
                <w:color w:val="auto"/>
                <w:sz w:val="24"/>
                <w:szCs w:val="24"/>
                <w:u w:val="none" w:color="auto"/>
                <w:lang w:val="en-US" w:eastAsia="zh-CN"/>
              </w:rPr>
              <w:t>厂房建设进行了防渗处理，</w:t>
            </w:r>
            <w:r>
              <w:rPr>
                <w:rFonts w:hint="default" w:ascii="Times New Roman" w:hAnsi="Times New Roman" w:cs="Times New Roman" w:eastAsiaTheme="minorEastAsia"/>
                <w:color w:val="auto"/>
                <w:sz w:val="24"/>
                <w:szCs w:val="24"/>
                <w:u w:val="none" w:color="auto"/>
              </w:rPr>
              <w:t>无地下水污染途径，固不开展地下水环境影响评价。</w:t>
            </w:r>
          </w:p>
          <w:p>
            <w:pPr>
              <w:keepNext w:val="0"/>
              <w:keepLines w:val="0"/>
              <w:widowControl/>
              <w:suppressLineNumbers w:val="0"/>
              <w:spacing w:line="360" w:lineRule="auto"/>
              <w:jc w:val="left"/>
              <w:rPr>
                <w:color w:val="auto"/>
              </w:rPr>
            </w:pPr>
            <w:r>
              <w:rPr>
                <w:rFonts w:hint="eastAsia" w:ascii="Times New Roman" w:hAnsi="Times New Roman" w:cs="Times New Roman"/>
                <w:b/>
                <w:bCs/>
                <w:color w:val="auto"/>
                <w:kern w:val="2"/>
                <w:sz w:val="24"/>
                <w:szCs w:val="24"/>
                <w:u w:val="none" w:color="auto"/>
                <w:lang w:val="en-US" w:eastAsia="zh-CN" w:bidi="ar-SA"/>
              </w:rPr>
              <w:t>6、</w:t>
            </w:r>
            <w:r>
              <w:rPr>
                <w:rFonts w:hint="eastAsia" w:ascii="宋体" w:hAnsi="宋体" w:eastAsia="宋体" w:cs="宋体"/>
                <w:b/>
                <w:bCs/>
                <w:color w:val="auto"/>
                <w:kern w:val="0"/>
                <w:sz w:val="24"/>
                <w:szCs w:val="24"/>
                <w:lang w:val="en-US" w:eastAsia="zh-CN" w:bidi="ar"/>
              </w:rPr>
              <w:t>土壤环境质量现状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u w:val="none" w:color="auto"/>
                <w:lang w:val="en-US" w:eastAsia="zh-CN"/>
              </w:rPr>
            </w:pPr>
            <w:r>
              <w:rPr>
                <w:rFonts w:hint="eastAsia" w:ascii="Times New Roman" w:hAnsi="Times New Roman" w:cs="Times New Roman" w:eastAsiaTheme="minorEastAsia"/>
                <w:color w:val="auto"/>
                <w:sz w:val="24"/>
                <w:szCs w:val="24"/>
                <w:u w:val="none" w:color="auto"/>
                <w:lang w:val="en-US" w:eastAsia="zh-CN"/>
              </w:rPr>
              <w:t>参考</w:t>
            </w:r>
            <w:r>
              <w:rPr>
                <w:rFonts w:hint="default" w:ascii="Times New Roman" w:hAnsi="Times New Roman" w:cs="Times New Roman" w:eastAsiaTheme="minorEastAsia"/>
                <w:color w:val="auto"/>
                <w:sz w:val="24"/>
                <w:szCs w:val="24"/>
                <w:u w:val="none" w:color="auto"/>
              </w:rPr>
              <w:t>建设项目环境影响报告表编制技术指南（生态影响类）</w:t>
            </w:r>
            <w:r>
              <w:rPr>
                <w:rFonts w:hint="eastAsia" w:ascii="Times New Roman" w:hAnsi="Times New Roman" w:cs="Times New Roman" w:eastAsiaTheme="minorEastAsia"/>
                <w:color w:val="auto"/>
                <w:sz w:val="24"/>
                <w:szCs w:val="24"/>
                <w:u w:val="none" w:color="auto"/>
                <w:lang w:val="en-US" w:eastAsia="zh-CN"/>
              </w:rPr>
              <w:t>，</w:t>
            </w:r>
            <w:r>
              <w:rPr>
                <w:rFonts w:hint="default" w:ascii="Times New Roman" w:hAnsi="Times New Roman" w:cs="Times New Roman" w:eastAsiaTheme="minorEastAsia"/>
                <w:color w:val="auto"/>
                <w:sz w:val="24"/>
                <w:szCs w:val="24"/>
                <w:u w:val="none" w:color="auto"/>
              </w:rPr>
              <w:t>本项目为标准工业厂房项目，</w:t>
            </w:r>
            <w:r>
              <w:rPr>
                <w:rFonts w:hint="eastAsia" w:ascii="Times New Roman" w:hAnsi="Times New Roman" w:cs="Times New Roman" w:eastAsiaTheme="minorEastAsia"/>
                <w:color w:val="auto"/>
                <w:sz w:val="24"/>
                <w:szCs w:val="24"/>
                <w:u w:val="none" w:color="auto"/>
                <w:lang w:val="en-US" w:eastAsia="zh-CN"/>
              </w:rPr>
              <w:t>营运期生产车间地面全硬化，生产过程中不涉及土壤环境的污染途径，故可不开展现状调查。</w:t>
            </w:r>
          </w:p>
          <w:p>
            <w:pPr>
              <w:keepNext w:val="0"/>
              <w:keepLines w:val="0"/>
              <w:widowControl/>
              <w:suppressLineNumbers w:val="0"/>
              <w:spacing w:line="360" w:lineRule="auto"/>
              <w:jc w:val="left"/>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42" w:type="dxa"/>
            <w:noWrap w:val="0"/>
            <w:vAlign w:val="center"/>
          </w:tcPr>
          <w:p>
            <w:pPr>
              <w:adjustRightInd w:val="0"/>
              <w:snapToGrid w:val="0"/>
              <w:jc w:val="center"/>
              <w:rPr>
                <w:rFonts w:hint="default" w:ascii="Times New Roman" w:hAnsi="Times New Roman" w:cs="Times New Roman"/>
                <w:color w:val="auto"/>
                <w:kern w:val="0"/>
                <w:szCs w:val="21"/>
                <w:u w:val="none" w:color="auto"/>
              </w:rPr>
            </w:pPr>
            <w:r>
              <w:rPr>
                <w:rFonts w:hint="default" w:ascii="Times New Roman" w:hAnsi="Times New Roman"/>
                <w:color w:val="auto"/>
                <w:kern w:val="0"/>
                <w:sz w:val="21"/>
                <w:szCs w:val="21"/>
                <w:u w:val="none" w:color="auto"/>
              </w:rPr>
              <w:t>与项目有关的原有环境污染和生态破坏问题</w:t>
            </w:r>
          </w:p>
        </w:tc>
        <w:tc>
          <w:tcPr>
            <w:tcW w:w="8315" w:type="dxa"/>
            <w:noWrap w:val="0"/>
            <w:vAlign w:val="center"/>
          </w:tcPr>
          <w:p>
            <w:pPr>
              <w:spacing w:line="360"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1、环保手续履行情况</w:t>
            </w:r>
          </w:p>
          <w:p>
            <w:pPr>
              <w:spacing w:line="360" w:lineRule="auto"/>
              <w:ind w:firstLine="480" w:firstLineChars="200"/>
              <w:jc w:val="both"/>
              <w:rPr>
                <w:rFonts w:hint="default"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rPr>
              <w:t>湘阴金龙智能制造产业园建设项目于2</w:t>
            </w:r>
            <w:r>
              <w:rPr>
                <w:rFonts w:hint="eastAsia" w:ascii="Times New Roman" w:hAnsi="Times New Roman" w:eastAsia="宋体" w:cs="Times New Roman"/>
                <w:color w:val="auto"/>
                <w:sz w:val="24"/>
                <w:szCs w:val="24"/>
                <w:lang w:val="en-US" w:eastAsia="zh-CN"/>
              </w:rPr>
              <w:t>023</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rPr>
              <w:t>月</w:t>
            </w:r>
            <w:r>
              <w:rPr>
                <w:rFonts w:ascii="Times New Roman" w:hAnsi="Times New Roman" w:eastAsia="宋体" w:cs="Times New Roman"/>
                <w:color w:val="auto"/>
                <w:sz w:val="24"/>
                <w:szCs w:val="24"/>
              </w:rPr>
              <w:t>委托</w:t>
            </w:r>
            <w:r>
              <w:rPr>
                <w:rFonts w:hint="eastAsia" w:ascii="Times New Roman" w:hAnsi="Times New Roman"/>
                <w:color w:val="auto"/>
                <w:kern w:val="0"/>
                <w:sz w:val="24"/>
                <w:szCs w:val="24"/>
                <w:lang w:val="en-US" w:eastAsia="zh-CN"/>
              </w:rPr>
              <w:t>湖南博恒</w:t>
            </w:r>
            <w:r>
              <w:rPr>
                <w:rFonts w:hint="eastAsia" w:ascii="Times New Roman" w:hAnsi="Times New Roman"/>
                <w:color w:val="auto"/>
                <w:kern w:val="0"/>
                <w:sz w:val="24"/>
                <w:szCs w:val="24"/>
              </w:rPr>
              <w:t>环保</w:t>
            </w:r>
            <w:r>
              <w:rPr>
                <w:rFonts w:hint="eastAsia" w:ascii="Times New Roman" w:hAnsi="Times New Roman"/>
                <w:color w:val="auto"/>
                <w:kern w:val="0"/>
                <w:sz w:val="24"/>
                <w:szCs w:val="24"/>
                <w:lang w:val="en-US" w:eastAsia="zh-CN"/>
              </w:rPr>
              <w:t>科技</w:t>
            </w:r>
            <w:r>
              <w:rPr>
                <w:rFonts w:hint="eastAsia" w:ascii="Times New Roman" w:hAnsi="Times New Roman"/>
                <w:color w:val="auto"/>
                <w:kern w:val="0"/>
                <w:sz w:val="24"/>
                <w:szCs w:val="24"/>
              </w:rPr>
              <w:t>有限公司</w:t>
            </w:r>
            <w:r>
              <w:rPr>
                <w:rFonts w:ascii="Times New Roman" w:hAnsi="Times New Roman" w:eastAsia="宋体" w:cs="Times New Roman"/>
                <w:color w:val="auto"/>
                <w:sz w:val="24"/>
                <w:szCs w:val="24"/>
              </w:rPr>
              <w:t>编制《</w:t>
            </w:r>
            <w:r>
              <w:rPr>
                <w:rFonts w:hint="eastAsia" w:ascii="Times New Roman" w:hAnsi="Times New Roman" w:eastAsia="宋体" w:cs="Times New Roman"/>
                <w:color w:val="auto"/>
                <w:sz w:val="24"/>
                <w:szCs w:val="24"/>
              </w:rPr>
              <w:t>湘阴金龙智能制造产业园建设项目</w:t>
            </w:r>
            <w:r>
              <w:rPr>
                <w:rFonts w:ascii="Times New Roman" w:hAnsi="Times New Roman"/>
                <w:color w:val="auto"/>
                <w:kern w:val="0"/>
                <w:sz w:val="24"/>
                <w:szCs w:val="24"/>
              </w:rPr>
              <w:t>环境影响报告表</w:t>
            </w:r>
            <w:r>
              <w:rPr>
                <w:rFonts w:ascii="Times New Roman" w:hAnsi="Times New Roman" w:eastAsia="宋体" w:cs="Times New Roman"/>
                <w:color w:val="auto"/>
                <w:sz w:val="24"/>
                <w:szCs w:val="24"/>
              </w:rPr>
              <w:t>》，并于20</w:t>
            </w:r>
            <w:r>
              <w:rPr>
                <w:rFonts w:hint="eastAsia" w:ascii="Times New Roman" w:hAnsi="Times New Roman" w:eastAsia="宋体" w:cs="Times New Roman"/>
                <w:color w:val="auto"/>
                <w:sz w:val="24"/>
                <w:szCs w:val="24"/>
                <w:lang w:val="en-US" w:eastAsia="zh-CN"/>
              </w:rPr>
              <w:t>24</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27</w:t>
            </w:r>
            <w:r>
              <w:rPr>
                <w:rFonts w:ascii="Times New Roman" w:hAnsi="Times New Roman" w:eastAsia="宋体" w:cs="Times New Roman"/>
                <w:color w:val="auto"/>
                <w:sz w:val="24"/>
                <w:szCs w:val="24"/>
              </w:rPr>
              <w:t>日通过</w:t>
            </w:r>
            <w:r>
              <w:rPr>
                <w:rFonts w:hint="eastAsia" w:ascii="Times New Roman" w:hAnsi="Times New Roman"/>
                <w:color w:val="auto"/>
                <w:kern w:val="0"/>
                <w:sz w:val="24"/>
                <w:szCs w:val="24"/>
                <w:lang w:val="en-US" w:eastAsia="zh-CN"/>
              </w:rPr>
              <w:t>岳阳</w:t>
            </w:r>
            <w:r>
              <w:rPr>
                <w:rFonts w:hint="eastAsia" w:ascii="Times New Roman" w:hAnsi="Times New Roman"/>
                <w:color w:val="auto"/>
                <w:kern w:val="0"/>
                <w:sz w:val="24"/>
                <w:szCs w:val="24"/>
              </w:rPr>
              <w:t>市生态环境</w:t>
            </w:r>
            <w:r>
              <w:rPr>
                <w:rFonts w:hint="eastAsia" w:ascii="Times New Roman" w:hAnsi="Times New Roman"/>
                <w:color w:val="auto"/>
                <w:spacing w:val="2"/>
                <w:sz w:val="24"/>
              </w:rPr>
              <w:t>局</w:t>
            </w:r>
            <w:r>
              <w:rPr>
                <w:rFonts w:ascii="Times New Roman" w:hAnsi="Times New Roman" w:eastAsia="宋体" w:cs="Times New Roman"/>
                <w:color w:val="auto"/>
                <w:sz w:val="24"/>
                <w:szCs w:val="24"/>
              </w:rPr>
              <w:t>审批并取得批复文件（</w:t>
            </w:r>
            <w:r>
              <w:rPr>
                <w:rFonts w:hint="eastAsia" w:ascii="Times New Roman" w:hAnsi="Times New Roman"/>
                <w:color w:val="auto"/>
                <w:kern w:val="0"/>
                <w:sz w:val="24"/>
                <w:szCs w:val="24"/>
                <w:lang w:val="en-US" w:eastAsia="zh-CN"/>
              </w:rPr>
              <w:t>岳湘阴环评（1）</w:t>
            </w:r>
            <w:r>
              <w:rPr>
                <w:rFonts w:ascii="Times New Roman" w:hAnsi="Times New Roman"/>
                <w:color w:val="auto"/>
                <w:kern w:val="0"/>
                <w:sz w:val="24"/>
                <w:szCs w:val="24"/>
              </w:rPr>
              <w:t>[202</w:t>
            </w:r>
            <w:r>
              <w:rPr>
                <w:rFonts w:hint="eastAsia" w:ascii="Times New Roman" w:hAnsi="Times New Roman"/>
                <w:color w:val="auto"/>
                <w:kern w:val="0"/>
                <w:sz w:val="24"/>
                <w:szCs w:val="24"/>
                <w:lang w:val="en-US" w:eastAsia="zh-CN"/>
              </w:rPr>
              <w:t>4</w:t>
            </w:r>
            <w:r>
              <w:rPr>
                <w:rFonts w:ascii="Times New Roman" w:hAnsi="Times New Roman"/>
                <w:color w:val="auto"/>
                <w:kern w:val="0"/>
                <w:sz w:val="24"/>
                <w:szCs w:val="24"/>
              </w:rPr>
              <w:t>]</w:t>
            </w:r>
            <w:r>
              <w:rPr>
                <w:rFonts w:hint="eastAsia" w:ascii="Times New Roman" w:hAnsi="Times New Roman"/>
                <w:color w:val="auto"/>
                <w:kern w:val="0"/>
                <w:sz w:val="24"/>
                <w:szCs w:val="24"/>
                <w:lang w:val="en-US" w:eastAsia="zh-CN"/>
              </w:rPr>
              <w:t>15</w:t>
            </w:r>
            <w:r>
              <w:rPr>
                <w:rFonts w:ascii="Times New Roman" w:hAnsi="Times New Roman"/>
                <w:color w:val="auto"/>
                <w:kern w:val="0"/>
                <w:sz w:val="24"/>
                <w:szCs w:val="24"/>
              </w:rPr>
              <w:t>号</w:t>
            </w:r>
            <w:r>
              <w:rPr>
                <w:rFonts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该项目</w:t>
            </w:r>
            <w:r>
              <w:rPr>
                <w:rFonts w:hint="default" w:ascii="Times New Roman" w:hAnsi="Times New Roman" w:cs="Times New Roman"/>
                <w:color w:val="auto"/>
                <w:sz w:val="24"/>
                <w:szCs w:val="24"/>
                <w:lang w:val="en-US" w:eastAsia="zh-CN"/>
              </w:rPr>
              <w:t>不属于排污项目，未纳入排污管理行业名录，不需申报排污许可证。</w:t>
            </w:r>
            <w:r>
              <w:rPr>
                <w:rFonts w:hint="eastAsia" w:ascii="Times New Roman" w:hAnsi="Times New Roman" w:cs="Times New Roman"/>
                <w:color w:val="auto"/>
                <w:sz w:val="24"/>
                <w:szCs w:val="24"/>
                <w:lang w:val="en-US" w:eastAsia="zh-CN"/>
              </w:rPr>
              <w:t>因项目一期还未竣工，暂未启动竣工环保验收。</w:t>
            </w:r>
          </w:p>
          <w:p>
            <w:pPr>
              <w:spacing w:line="360" w:lineRule="auto"/>
              <w:ind w:firstLine="480" w:firstLineChars="200"/>
              <w:rPr>
                <w:b w:val="0"/>
                <w:bCs w:val="0"/>
                <w:color w:val="auto"/>
                <w:sz w:val="24"/>
              </w:rPr>
            </w:pPr>
            <w:r>
              <w:rPr>
                <w:rFonts w:hint="default" w:ascii="Times New Roman" w:hAnsi="Times New Roman" w:cs="Times New Roman"/>
                <w:b w:val="0"/>
                <w:bCs w:val="0"/>
                <w:color w:val="auto"/>
                <w:sz w:val="24"/>
                <w:lang w:val="en-US" w:eastAsia="zh-CN"/>
              </w:rPr>
              <w:t>2、</w:t>
            </w:r>
            <w:r>
              <w:rPr>
                <w:b w:val="0"/>
                <w:bCs w:val="0"/>
                <w:color w:val="auto"/>
                <w:sz w:val="24"/>
              </w:rPr>
              <w:t>与项目有关的现有污染情况及主要环境问题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根据一期环境影响报告表，项目</w:t>
            </w:r>
            <w:r>
              <w:rPr>
                <w:rFonts w:hint="default" w:ascii="Times New Roman" w:hAnsi="Times New Roman" w:cs="Times New Roman"/>
                <w:color w:val="auto"/>
                <w:sz w:val="24"/>
                <w:lang w:val="en-US" w:eastAsia="zh-CN"/>
              </w:rPr>
              <w:t>食堂废水经隔油处理后与生活污水经化粪池处理后达到《污水综合排放标准》（GB8978-1996）三级排放标准和湘阴县第三污水处理厂进水水质标准后排入湘阴县第三污水处理厂处理，处理达到《城镇污水处理厂污染物排放标准（GB18918—2002）》中一级标准的 A 类标准后排入洋沙河</w:t>
            </w:r>
            <w:r>
              <w:rPr>
                <w:rFonts w:hint="eastAsia" w:ascii="Times New Roman" w:hAnsi="Times New Roman" w:cs="Times New Roman"/>
                <w:color w:val="auto"/>
                <w:sz w:val="24"/>
                <w:lang w:val="en-US" w:eastAsia="zh-CN"/>
              </w:rPr>
              <w:t>；食堂油烟经油烟机处理后由风机引至专用烟道排放；生活垃圾交由环卫部门清运处理。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目前一期工程还在建设中，暂无现有环境问题。</w:t>
            </w:r>
          </w:p>
          <w:p>
            <w:pPr>
              <w:pStyle w:val="27"/>
              <w:spacing w:before="0" w:beforeAutospacing="0" w:after="0" w:afterAutospacing="0"/>
              <w:ind w:firstLine="422" w:firstLineChars="200"/>
              <w:jc w:val="center"/>
              <w:rPr>
                <w:rFonts w:ascii="Times New Roman" w:hAnsi="Times New Roman" w:cs="Times New Roman"/>
              </w:rPr>
            </w:pPr>
            <w:r>
              <w:rPr>
                <w:rFonts w:ascii="Times New Roman" w:hAnsi="Times New Roman" w:cs="Times New Roman"/>
                <w:b/>
                <w:sz w:val="21"/>
                <w:szCs w:val="21"/>
              </w:rPr>
              <w:t>表</w:t>
            </w:r>
            <w:r>
              <w:rPr>
                <w:rFonts w:hint="eastAsia" w:ascii="Times New Roman" w:hAnsi="Times New Roman" w:cs="Times New Roman"/>
                <w:b/>
                <w:sz w:val="21"/>
                <w:szCs w:val="21"/>
                <w:lang w:val="en-US" w:eastAsia="zh-CN"/>
              </w:rPr>
              <w:t>3</w:t>
            </w:r>
            <w:r>
              <w:rPr>
                <w:rFonts w:ascii="Times New Roman" w:hAnsi="Times New Roman" w:cs="Times New Roman"/>
                <w:b/>
                <w:sz w:val="21"/>
                <w:szCs w:val="21"/>
              </w:rPr>
              <w:t>-</w:t>
            </w:r>
            <w:r>
              <w:rPr>
                <w:rFonts w:hint="eastAsia" w:ascii="Times New Roman" w:hAnsi="Times New Roman" w:cs="Times New Roman"/>
                <w:b/>
                <w:sz w:val="21"/>
                <w:szCs w:val="21"/>
                <w:lang w:val="en-US" w:eastAsia="zh-CN"/>
              </w:rPr>
              <w:t>3</w:t>
            </w:r>
            <w:r>
              <w:rPr>
                <w:rFonts w:ascii="Times New Roman" w:hAnsi="Times New Roman" w:cs="Times New Roman"/>
                <w:b/>
                <w:sz w:val="21"/>
                <w:szCs w:val="21"/>
              </w:rPr>
              <w:t xml:space="preserve">  </w:t>
            </w:r>
            <w:r>
              <w:rPr>
                <w:rFonts w:hint="eastAsia" w:ascii="Times New Roman" w:hAnsi="Times New Roman" w:cs="Times New Roman"/>
                <w:b/>
                <w:sz w:val="21"/>
                <w:szCs w:val="21"/>
                <w:lang w:val="en-US" w:eastAsia="zh-CN"/>
              </w:rPr>
              <w:t>一期</w:t>
            </w:r>
            <w:r>
              <w:rPr>
                <w:rFonts w:ascii="Times New Roman" w:hAnsi="Times New Roman" w:cs="Times New Roman"/>
                <w:b/>
                <w:sz w:val="21"/>
                <w:szCs w:val="21"/>
              </w:rPr>
              <w:t>污染情况及主要环境问题</w:t>
            </w:r>
            <w:r>
              <w:rPr>
                <w:rStyle w:val="36"/>
                <w:rFonts w:ascii="Times New Roman" w:hAnsi="Times New Roman" w:cs="Times New Roman"/>
                <w:b/>
                <w:kern w:val="2"/>
              </w:rPr>
              <w:t>一览表</w:t>
            </w:r>
          </w:p>
          <w:tbl>
            <w:tblPr>
              <w:tblStyle w:val="30"/>
              <w:tblW w:w="80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1456"/>
              <w:gridCol w:w="1694"/>
              <w:gridCol w:w="2504"/>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925" w:type="dxa"/>
                  <w:noWrap w:val="0"/>
                  <w:vAlign w:val="center"/>
                </w:tcPr>
                <w:p>
                  <w:pPr>
                    <w:jc w:val="center"/>
                    <w:rPr>
                      <w:bCs/>
                      <w:szCs w:val="21"/>
                    </w:rPr>
                  </w:pPr>
                  <w:r>
                    <w:rPr>
                      <w:bCs/>
                      <w:szCs w:val="21"/>
                    </w:rPr>
                    <w:t>污染</w:t>
                  </w:r>
                </w:p>
                <w:p>
                  <w:pPr>
                    <w:jc w:val="center"/>
                    <w:rPr>
                      <w:bCs/>
                      <w:szCs w:val="21"/>
                    </w:rPr>
                  </w:pPr>
                  <w:r>
                    <w:rPr>
                      <w:bCs/>
                      <w:szCs w:val="21"/>
                    </w:rPr>
                    <w:t>类型</w:t>
                  </w:r>
                </w:p>
              </w:tc>
              <w:tc>
                <w:tcPr>
                  <w:tcW w:w="1456" w:type="dxa"/>
                  <w:noWrap w:val="0"/>
                  <w:vAlign w:val="center"/>
                </w:tcPr>
                <w:p>
                  <w:pPr>
                    <w:jc w:val="center"/>
                    <w:rPr>
                      <w:bCs/>
                      <w:szCs w:val="21"/>
                    </w:rPr>
                  </w:pPr>
                  <w:r>
                    <w:rPr>
                      <w:bCs/>
                      <w:szCs w:val="21"/>
                    </w:rPr>
                    <w:t>排放源</w:t>
                  </w:r>
                </w:p>
              </w:tc>
              <w:tc>
                <w:tcPr>
                  <w:tcW w:w="1694" w:type="dxa"/>
                  <w:noWrap w:val="0"/>
                  <w:vAlign w:val="center"/>
                </w:tcPr>
                <w:p>
                  <w:pPr>
                    <w:jc w:val="center"/>
                    <w:rPr>
                      <w:bCs/>
                      <w:szCs w:val="21"/>
                    </w:rPr>
                  </w:pPr>
                  <w:r>
                    <w:rPr>
                      <w:bCs/>
                      <w:szCs w:val="21"/>
                    </w:rPr>
                    <w:t>污染因子</w:t>
                  </w:r>
                </w:p>
              </w:tc>
              <w:tc>
                <w:tcPr>
                  <w:tcW w:w="2504" w:type="dxa"/>
                  <w:noWrap w:val="0"/>
                  <w:vAlign w:val="center"/>
                </w:tcPr>
                <w:p>
                  <w:pPr>
                    <w:jc w:val="center"/>
                    <w:rPr>
                      <w:bCs/>
                      <w:szCs w:val="21"/>
                    </w:rPr>
                  </w:pPr>
                  <w:r>
                    <w:rPr>
                      <w:bCs/>
                      <w:szCs w:val="21"/>
                    </w:rPr>
                    <w:t>现有措施</w:t>
                  </w:r>
                </w:p>
              </w:tc>
              <w:tc>
                <w:tcPr>
                  <w:tcW w:w="1504" w:type="dxa"/>
                  <w:noWrap w:val="0"/>
                  <w:vAlign w:val="center"/>
                </w:tcPr>
                <w:p>
                  <w:pPr>
                    <w:jc w:val="center"/>
                    <w:rPr>
                      <w:bCs/>
                      <w:szCs w:val="21"/>
                    </w:rPr>
                  </w:pPr>
                  <w:r>
                    <w:rPr>
                      <w:bCs/>
                      <w:szCs w:val="21"/>
                    </w:rPr>
                    <w:t>是否符合环保要求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5" w:type="dxa"/>
                  <w:vMerge w:val="restart"/>
                  <w:noWrap w:val="0"/>
                  <w:vAlign w:val="center"/>
                </w:tcPr>
                <w:p>
                  <w:pPr>
                    <w:jc w:val="center"/>
                    <w:rPr>
                      <w:rFonts w:hint="eastAsia"/>
                      <w:bCs/>
                      <w:szCs w:val="21"/>
                    </w:rPr>
                  </w:pPr>
                  <w:r>
                    <w:rPr>
                      <w:rFonts w:hint="eastAsia"/>
                      <w:bCs/>
                      <w:szCs w:val="21"/>
                    </w:rPr>
                    <w:t>废气</w:t>
                  </w:r>
                </w:p>
              </w:tc>
              <w:tc>
                <w:tcPr>
                  <w:tcW w:w="1456" w:type="dxa"/>
                  <w:noWrap w:val="0"/>
                  <w:vAlign w:val="center"/>
                </w:tcPr>
                <w:p>
                  <w:pPr>
                    <w:jc w:val="center"/>
                    <w:rPr>
                      <w:bCs/>
                      <w:szCs w:val="21"/>
                    </w:rPr>
                  </w:pPr>
                  <w:r>
                    <w:rPr>
                      <w:rFonts w:hint="eastAsia"/>
                      <w:bCs/>
                      <w:szCs w:val="21"/>
                    </w:rPr>
                    <w:t>食堂油烟</w:t>
                  </w:r>
                </w:p>
              </w:tc>
              <w:tc>
                <w:tcPr>
                  <w:tcW w:w="1694" w:type="dxa"/>
                  <w:vMerge w:val="restart"/>
                  <w:noWrap w:val="0"/>
                  <w:vAlign w:val="center"/>
                </w:tcPr>
                <w:p>
                  <w:pPr>
                    <w:jc w:val="center"/>
                    <w:rPr>
                      <w:bCs/>
                      <w:szCs w:val="21"/>
                    </w:rPr>
                  </w:pPr>
                  <w:r>
                    <w:rPr>
                      <w:rFonts w:hint="eastAsia"/>
                      <w:bCs/>
                      <w:szCs w:val="21"/>
                    </w:rPr>
                    <w:t>油烟</w:t>
                  </w:r>
                </w:p>
              </w:tc>
              <w:tc>
                <w:tcPr>
                  <w:tcW w:w="2504" w:type="dxa"/>
                  <w:noWrap w:val="0"/>
                  <w:vAlign w:val="center"/>
                </w:tcPr>
                <w:p>
                  <w:pPr>
                    <w:jc w:val="center"/>
                    <w:rPr>
                      <w:bCs/>
                      <w:szCs w:val="21"/>
                    </w:rPr>
                  </w:pPr>
                  <w:r>
                    <w:rPr>
                      <w:rFonts w:hint="eastAsia"/>
                      <w:bCs/>
                      <w:szCs w:val="21"/>
                    </w:rPr>
                    <w:t>油烟净化器及排气筒（高于楼顶）</w:t>
                  </w:r>
                </w:p>
              </w:tc>
              <w:tc>
                <w:tcPr>
                  <w:tcW w:w="1504" w:type="dxa"/>
                  <w:noWrap w:val="0"/>
                  <w:vAlign w:val="center"/>
                </w:tcPr>
                <w:p>
                  <w:pPr>
                    <w:jc w:val="center"/>
                    <w:rPr>
                      <w:rFonts w:hint="eastAsia" w:eastAsia="宋体"/>
                      <w:bCs/>
                      <w:szCs w:val="21"/>
                      <w:lang w:eastAsia="zh-CN"/>
                    </w:rPr>
                  </w:pPr>
                  <w:r>
                    <w:rPr>
                      <w:rFonts w:hint="eastAsia"/>
                      <w:bCs/>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5" w:type="dxa"/>
                  <w:vMerge w:val="restart"/>
                  <w:noWrap w:val="0"/>
                  <w:vAlign w:val="center"/>
                </w:tcPr>
                <w:p>
                  <w:pPr>
                    <w:jc w:val="center"/>
                    <w:rPr>
                      <w:bCs/>
                      <w:szCs w:val="21"/>
                    </w:rPr>
                  </w:pPr>
                  <w:r>
                    <w:rPr>
                      <w:bCs/>
                      <w:szCs w:val="21"/>
                    </w:rPr>
                    <w:t>废水</w:t>
                  </w:r>
                </w:p>
              </w:tc>
              <w:tc>
                <w:tcPr>
                  <w:tcW w:w="1456"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生活污水</w:t>
                  </w:r>
                </w:p>
              </w:tc>
              <w:tc>
                <w:tcPr>
                  <w:tcW w:w="1694" w:type="dxa"/>
                  <w:vMerge w:val="restart"/>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COD、BOD</w:t>
                  </w:r>
                  <w:r>
                    <w:rPr>
                      <w:rFonts w:hint="default" w:ascii="Times New Roman" w:hAnsi="Times New Roman" w:cs="Times New Roman"/>
                      <w:bCs/>
                      <w:color w:val="auto"/>
                      <w:szCs w:val="21"/>
                      <w:vertAlign w:val="subscript"/>
                    </w:rPr>
                    <w:t>5</w:t>
                  </w:r>
                  <w:r>
                    <w:rPr>
                      <w:rFonts w:hint="default" w:ascii="Times New Roman" w:hAnsi="Times New Roman" w:cs="Times New Roman"/>
                      <w:bCs/>
                      <w:color w:val="auto"/>
                      <w:szCs w:val="21"/>
                    </w:rPr>
                    <w:t>、SS、氨氮</w:t>
                  </w:r>
                </w:p>
              </w:tc>
              <w:tc>
                <w:tcPr>
                  <w:tcW w:w="2504" w:type="dxa"/>
                  <w:noWrap w:val="0"/>
                  <w:vAlign w:val="center"/>
                </w:tcPr>
                <w:p>
                  <w:pPr>
                    <w:jc w:val="center"/>
                    <w:rPr>
                      <w:rFonts w:hint="eastAsia"/>
                      <w:bCs/>
                      <w:color w:val="auto"/>
                      <w:szCs w:val="21"/>
                      <w:lang w:eastAsia="zh-CN"/>
                    </w:rPr>
                  </w:pPr>
                  <w:r>
                    <w:rPr>
                      <w:rFonts w:hint="eastAsia"/>
                      <w:bCs/>
                      <w:color w:val="auto"/>
                      <w:szCs w:val="21"/>
                      <w:lang w:eastAsia="zh-CN"/>
                    </w:rPr>
                    <w:t>隔油池</w:t>
                  </w:r>
                  <w:r>
                    <w:rPr>
                      <w:rFonts w:hint="eastAsia"/>
                      <w:bCs/>
                      <w:color w:val="auto"/>
                      <w:szCs w:val="21"/>
                      <w:lang w:val="en-US" w:eastAsia="zh-CN"/>
                    </w:rPr>
                    <w:t>+</w:t>
                  </w:r>
                  <w:r>
                    <w:rPr>
                      <w:bCs/>
                      <w:color w:val="auto"/>
                      <w:szCs w:val="21"/>
                    </w:rPr>
                    <w:t>化粪池</w:t>
                  </w:r>
                </w:p>
              </w:tc>
              <w:tc>
                <w:tcPr>
                  <w:tcW w:w="1504" w:type="dxa"/>
                  <w:noWrap w:val="0"/>
                  <w:vAlign w:val="center"/>
                </w:tcPr>
                <w:p>
                  <w:pPr>
                    <w:jc w:val="center"/>
                    <w:rPr>
                      <w:bCs/>
                      <w:szCs w:val="21"/>
                    </w:rPr>
                  </w:pPr>
                  <w:r>
                    <w:rPr>
                      <w:rFonts w:hint="eastAsia"/>
                      <w:bCs/>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5" w:type="dxa"/>
                  <w:vMerge w:val="continue"/>
                  <w:noWrap w:val="0"/>
                  <w:vAlign w:val="center"/>
                </w:tcPr>
                <w:p>
                  <w:pPr>
                    <w:jc w:val="center"/>
                    <w:rPr>
                      <w:bCs/>
                      <w:szCs w:val="21"/>
                    </w:rPr>
                  </w:pPr>
                </w:p>
              </w:tc>
              <w:tc>
                <w:tcPr>
                  <w:tcW w:w="1456" w:type="dxa"/>
                  <w:noWrap w:val="0"/>
                  <w:vAlign w:val="center"/>
                </w:tcPr>
                <w:p>
                  <w:pPr>
                    <w:jc w:val="center"/>
                    <w:rPr>
                      <w:rFonts w:hint="eastAsia" w:eastAsia="宋体"/>
                      <w:bCs/>
                      <w:szCs w:val="21"/>
                      <w:lang w:val="en-US" w:eastAsia="zh-CN"/>
                    </w:rPr>
                  </w:pPr>
                  <w:r>
                    <w:rPr>
                      <w:rFonts w:hint="eastAsia"/>
                      <w:bCs/>
                      <w:szCs w:val="21"/>
                      <w:lang w:val="en-US" w:eastAsia="zh-CN"/>
                    </w:rPr>
                    <w:t>生产废水</w:t>
                  </w:r>
                </w:p>
              </w:tc>
              <w:tc>
                <w:tcPr>
                  <w:tcW w:w="1694" w:type="dxa"/>
                  <w:vMerge w:val="continue"/>
                  <w:noWrap w:val="0"/>
                  <w:vAlign w:val="center"/>
                </w:tcPr>
                <w:p>
                  <w:pPr>
                    <w:jc w:val="center"/>
                    <w:rPr>
                      <w:bCs/>
                      <w:szCs w:val="21"/>
                    </w:rPr>
                  </w:pPr>
                </w:p>
              </w:tc>
              <w:tc>
                <w:tcPr>
                  <w:tcW w:w="2504" w:type="dxa"/>
                  <w:noWrap w:val="0"/>
                  <w:vAlign w:val="center"/>
                </w:tcPr>
                <w:p>
                  <w:pPr>
                    <w:jc w:val="center"/>
                    <w:rPr>
                      <w:rFonts w:hint="eastAsia" w:eastAsia="宋体"/>
                      <w:bCs/>
                      <w:szCs w:val="21"/>
                      <w:lang w:eastAsia="zh-CN"/>
                    </w:rPr>
                  </w:pPr>
                  <w:r>
                    <w:rPr>
                      <w:rFonts w:hint="eastAsia"/>
                      <w:bCs/>
                      <w:szCs w:val="21"/>
                    </w:rPr>
                    <w:t>工业废水处理设施</w:t>
                  </w:r>
                  <w:r>
                    <w:rPr>
                      <w:rFonts w:hint="eastAsia"/>
                      <w:bCs/>
                      <w:szCs w:val="21"/>
                      <w:lang w:eastAsia="zh-CN"/>
                    </w:rPr>
                    <w:t>（由入驻企业建设）</w:t>
                  </w:r>
                </w:p>
              </w:tc>
              <w:tc>
                <w:tcPr>
                  <w:tcW w:w="1504" w:type="dxa"/>
                  <w:noWrap w:val="0"/>
                  <w:vAlign w:val="center"/>
                </w:tcPr>
                <w:p>
                  <w:pPr>
                    <w:jc w:val="center"/>
                    <w:rPr>
                      <w:rFonts w:hint="eastAsia"/>
                      <w:bCs/>
                      <w:szCs w:val="21"/>
                      <w:lang w:eastAsia="zh-CN"/>
                    </w:rPr>
                  </w:pPr>
                  <w:r>
                    <w:rPr>
                      <w:rFonts w:hint="eastAsia"/>
                      <w:bCs/>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925" w:type="dxa"/>
                  <w:vMerge w:val="restart"/>
                  <w:noWrap w:val="0"/>
                  <w:vAlign w:val="center"/>
                </w:tcPr>
                <w:p>
                  <w:pPr>
                    <w:jc w:val="center"/>
                    <w:rPr>
                      <w:bCs/>
                      <w:szCs w:val="21"/>
                    </w:rPr>
                  </w:pPr>
                  <w:r>
                    <w:rPr>
                      <w:bCs/>
                      <w:szCs w:val="21"/>
                    </w:rPr>
                    <w:t>噪声</w:t>
                  </w:r>
                </w:p>
              </w:tc>
              <w:tc>
                <w:tcPr>
                  <w:tcW w:w="1456" w:type="dxa"/>
                  <w:vMerge w:val="restart"/>
                  <w:noWrap w:val="0"/>
                  <w:vAlign w:val="center"/>
                </w:tcPr>
                <w:p>
                  <w:pPr>
                    <w:jc w:val="center"/>
                    <w:rPr>
                      <w:bCs/>
                      <w:szCs w:val="21"/>
                    </w:rPr>
                  </w:pPr>
                  <w:r>
                    <w:rPr>
                      <w:bCs/>
                      <w:szCs w:val="21"/>
                    </w:rPr>
                    <w:t>设备</w:t>
                  </w:r>
                </w:p>
              </w:tc>
              <w:tc>
                <w:tcPr>
                  <w:tcW w:w="1694" w:type="dxa"/>
                  <w:vMerge w:val="restart"/>
                  <w:noWrap w:val="0"/>
                  <w:vAlign w:val="center"/>
                </w:tcPr>
                <w:p>
                  <w:pPr>
                    <w:jc w:val="center"/>
                    <w:rPr>
                      <w:bCs/>
                      <w:szCs w:val="21"/>
                    </w:rPr>
                  </w:pPr>
                  <w:r>
                    <w:rPr>
                      <w:bCs/>
                      <w:szCs w:val="21"/>
                    </w:rPr>
                    <w:t>噪声</w:t>
                  </w:r>
                </w:p>
              </w:tc>
              <w:tc>
                <w:tcPr>
                  <w:tcW w:w="2504" w:type="dxa"/>
                  <w:noWrap w:val="0"/>
                  <w:vAlign w:val="center"/>
                </w:tcPr>
                <w:p>
                  <w:pPr>
                    <w:jc w:val="center"/>
                    <w:rPr>
                      <w:bCs/>
                      <w:szCs w:val="21"/>
                    </w:rPr>
                  </w:pPr>
                  <w:r>
                    <w:rPr>
                      <w:rFonts w:hint="eastAsia"/>
                      <w:bCs/>
                      <w:szCs w:val="21"/>
                    </w:rPr>
                    <w:t>公用设备噪声</w:t>
                  </w:r>
                </w:p>
              </w:tc>
              <w:tc>
                <w:tcPr>
                  <w:tcW w:w="1504" w:type="dxa"/>
                  <w:noWrap w:val="0"/>
                  <w:vAlign w:val="center"/>
                </w:tcPr>
                <w:p>
                  <w:pPr>
                    <w:jc w:val="center"/>
                    <w:rPr>
                      <w:bCs/>
                      <w:szCs w:val="21"/>
                    </w:rPr>
                  </w:pPr>
                  <w:r>
                    <w:rPr>
                      <w:rFonts w:hint="eastAsia"/>
                      <w:bCs/>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925" w:type="dxa"/>
                  <w:vMerge w:val="continue"/>
                  <w:noWrap w:val="0"/>
                  <w:vAlign w:val="center"/>
                </w:tcPr>
                <w:p>
                  <w:pPr>
                    <w:jc w:val="center"/>
                    <w:rPr>
                      <w:bCs/>
                      <w:szCs w:val="21"/>
                    </w:rPr>
                  </w:pPr>
                </w:p>
              </w:tc>
              <w:tc>
                <w:tcPr>
                  <w:tcW w:w="1456" w:type="dxa"/>
                  <w:vMerge w:val="continue"/>
                  <w:noWrap w:val="0"/>
                  <w:vAlign w:val="center"/>
                </w:tcPr>
                <w:p>
                  <w:pPr>
                    <w:jc w:val="center"/>
                    <w:rPr>
                      <w:bCs/>
                      <w:szCs w:val="21"/>
                    </w:rPr>
                  </w:pPr>
                </w:p>
              </w:tc>
              <w:tc>
                <w:tcPr>
                  <w:tcW w:w="1694" w:type="dxa"/>
                  <w:vMerge w:val="continue"/>
                  <w:noWrap w:val="0"/>
                  <w:vAlign w:val="center"/>
                </w:tcPr>
                <w:p>
                  <w:pPr>
                    <w:jc w:val="center"/>
                    <w:rPr>
                      <w:bCs/>
                      <w:szCs w:val="21"/>
                    </w:rPr>
                  </w:pPr>
                </w:p>
              </w:tc>
              <w:tc>
                <w:tcPr>
                  <w:tcW w:w="2504" w:type="dxa"/>
                  <w:noWrap w:val="0"/>
                  <w:vAlign w:val="center"/>
                </w:tcPr>
                <w:p>
                  <w:pPr>
                    <w:jc w:val="center"/>
                    <w:rPr>
                      <w:bCs/>
                      <w:szCs w:val="21"/>
                    </w:rPr>
                  </w:pPr>
                  <w:r>
                    <w:rPr>
                      <w:rFonts w:hint="eastAsia"/>
                      <w:bCs/>
                      <w:szCs w:val="21"/>
                    </w:rPr>
                    <w:t>生产设备降噪处理</w:t>
                  </w:r>
                  <w:r>
                    <w:rPr>
                      <w:rFonts w:hint="eastAsia"/>
                      <w:bCs/>
                      <w:szCs w:val="21"/>
                      <w:lang w:eastAsia="zh-CN"/>
                    </w:rPr>
                    <w:t>（由入驻企业建设）</w:t>
                  </w:r>
                </w:p>
              </w:tc>
              <w:tc>
                <w:tcPr>
                  <w:tcW w:w="1504" w:type="dxa"/>
                  <w:noWrap w:val="0"/>
                  <w:vAlign w:val="center"/>
                </w:tcPr>
                <w:p>
                  <w:pPr>
                    <w:jc w:val="center"/>
                    <w:rPr>
                      <w:rFonts w:hint="eastAsia"/>
                      <w:bCs/>
                      <w:szCs w:val="21"/>
                      <w:lang w:eastAsia="zh-CN"/>
                    </w:rPr>
                  </w:pPr>
                  <w:r>
                    <w:rPr>
                      <w:rFonts w:hint="eastAsia"/>
                      <w:bCs/>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925" w:type="dxa"/>
                  <w:vMerge w:val="restart"/>
                  <w:noWrap w:val="0"/>
                  <w:vAlign w:val="center"/>
                </w:tcPr>
                <w:p>
                  <w:pPr>
                    <w:jc w:val="center"/>
                    <w:rPr>
                      <w:bCs/>
                      <w:szCs w:val="21"/>
                    </w:rPr>
                  </w:pPr>
                  <w:r>
                    <w:rPr>
                      <w:bCs/>
                      <w:szCs w:val="21"/>
                    </w:rPr>
                    <w:t>固体废物</w:t>
                  </w:r>
                </w:p>
              </w:tc>
              <w:tc>
                <w:tcPr>
                  <w:tcW w:w="1456" w:type="dxa"/>
                  <w:noWrap w:val="0"/>
                  <w:vAlign w:val="center"/>
                </w:tcPr>
                <w:p>
                  <w:pPr>
                    <w:jc w:val="center"/>
                    <w:rPr>
                      <w:bCs/>
                      <w:szCs w:val="21"/>
                    </w:rPr>
                  </w:pPr>
                  <w:r>
                    <w:rPr>
                      <w:bCs/>
                      <w:szCs w:val="21"/>
                    </w:rPr>
                    <w:t>员工</w:t>
                  </w:r>
                </w:p>
              </w:tc>
              <w:tc>
                <w:tcPr>
                  <w:tcW w:w="1694" w:type="dxa"/>
                  <w:noWrap w:val="0"/>
                  <w:vAlign w:val="center"/>
                </w:tcPr>
                <w:p>
                  <w:pPr>
                    <w:jc w:val="center"/>
                    <w:rPr>
                      <w:bCs/>
                      <w:szCs w:val="21"/>
                    </w:rPr>
                  </w:pPr>
                  <w:r>
                    <w:rPr>
                      <w:bCs/>
                      <w:szCs w:val="21"/>
                    </w:rPr>
                    <w:t>生活垃圾</w:t>
                  </w:r>
                </w:p>
              </w:tc>
              <w:tc>
                <w:tcPr>
                  <w:tcW w:w="2504" w:type="dxa"/>
                  <w:noWrap w:val="0"/>
                  <w:vAlign w:val="center"/>
                </w:tcPr>
                <w:p>
                  <w:pPr>
                    <w:jc w:val="center"/>
                    <w:rPr>
                      <w:bCs/>
                      <w:szCs w:val="21"/>
                    </w:rPr>
                  </w:pPr>
                  <w:r>
                    <w:rPr>
                      <w:rFonts w:hint="eastAsia"/>
                      <w:bCs/>
                      <w:szCs w:val="21"/>
                    </w:rPr>
                    <w:t>生活垃圾定点收集，地面硬化防渗处理；生活垃圾站</w:t>
                  </w:r>
                </w:p>
              </w:tc>
              <w:tc>
                <w:tcPr>
                  <w:tcW w:w="1504" w:type="dxa"/>
                  <w:noWrap w:val="0"/>
                  <w:vAlign w:val="center"/>
                </w:tcPr>
                <w:p>
                  <w:pPr>
                    <w:jc w:val="center"/>
                    <w:rPr>
                      <w:bCs/>
                      <w:szCs w:val="21"/>
                    </w:rPr>
                  </w:pPr>
                  <w:r>
                    <w:rPr>
                      <w:rFonts w:hint="eastAsia"/>
                      <w:bCs/>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5" w:type="dxa"/>
                  <w:vMerge w:val="continue"/>
                  <w:noWrap w:val="0"/>
                  <w:vAlign w:val="center"/>
                </w:tcPr>
                <w:p>
                  <w:pPr>
                    <w:jc w:val="center"/>
                    <w:rPr>
                      <w:color w:val="FF0000"/>
                      <w:szCs w:val="21"/>
                    </w:rPr>
                  </w:pPr>
                </w:p>
              </w:tc>
              <w:tc>
                <w:tcPr>
                  <w:tcW w:w="1456" w:type="dxa"/>
                  <w:noWrap w:val="0"/>
                  <w:vAlign w:val="center"/>
                </w:tcPr>
                <w:p>
                  <w:pPr>
                    <w:jc w:val="center"/>
                    <w:rPr>
                      <w:rFonts w:hint="eastAsia"/>
                      <w:szCs w:val="21"/>
                    </w:rPr>
                  </w:pPr>
                  <w:r>
                    <w:rPr>
                      <w:rFonts w:hint="eastAsia"/>
                      <w:szCs w:val="21"/>
                    </w:rPr>
                    <w:t>一般工业</w:t>
                  </w:r>
                </w:p>
                <w:p>
                  <w:pPr>
                    <w:jc w:val="center"/>
                    <w:rPr>
                      <w:szCs w:val="21"/>
                    </w:rPr>
                  </w:pPr>
                  <w:r>
                    <w:rPr>
                      <w:rFonts w:hint="eastAsia"/>
                      <w:szCs w:val="21"/>
                    </w:rPr>
                    <w:t>固废</w:t>
                  </w:r>
                </w:p>
              </w:tc>
              <w:tc>
                <w:tcPr>
                  <w:tcW w:w="1694" w:type="dxa"/>
                  <w:noWrap w:val="0"/>
                  <w:vAlign w:val="center"/>
                </w:tcPr>
                <w:p>
                  <w:pPr>
                    <w:jc w:val="center"/>
                    <w:rPr>
                      <w:rFonts w:hint="eastAsia" w:eastAsia="宋体"/>
                      <w:szCs w:val="21"/>
                      <w:lang w:eastAsia="zh-CN"/>
                    </w:rPr>
                  </w:pPr>
                  <w:r>
                    <w:rPr>
                      <w:rFonts w:hint="eastAsia"/>
                      <w:szCs w:val="21"/>
                      <w:lang w:val="en-US" w:eastAsia="zh-CN"/>
                    </w:rPr>
                    <w:t>/</w:t>
                  </w:r>
                </w:p>
              </w:tc>
              <w:tc>
                <w:tcPr>
                  <w:tcW w:w="2504" w:type="dxa"/>
                  <w:noWrap w:val="0"/>
                  <w:vAlign w:val="center"/>
                </w:tcPr>
                <w:p>
                  <w:pPr>
                    <w:jc w:val="center"/>
                    <w:rPr>
                      <w:szCs w:val="21"/>
                    </w:rPr>
                  </w:pPr>
                  <w:r>
                    <w:rPr>
                      <w:rFonts w:hint="eastAsia"/>
                      <w:szCs w:val="21"/>
                    </w:rPr>
                    <w:t>每栋设置专门工业固废分类收集暂存场</w:t>
                  </w:r>
                </w:p>
              </w:tc>
              <w:tc>
                <w:tcPr>
                  <w:tcW w:w="1504" w:type="dxa"/>
                  <w:noWrap w:val="0"/>
                  <w:vAlign w:val="center"/>
                </w:tcPr>
                <w:p>
                  <w:pPr>
                    <w:jc w:val="center"/>
                  </w:pPr>
                  <w:r>
                    <w:rPr>
                      <w:rFonts w:hint="eastAsia"/>
                      <w:bCs/>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925" w:type="dxa"/>
                  <w:vMerge w:val="continue"/>
                  <w:noWrap w:val="0"/>
                  <w:vAlign w:val="center"/>
                </w:tcPr>
                <w:p>
                  <w:pPr>
                    <w:jc w:val="center"/>
                    <w:rPr>
                      <w:color w:val="FF0000"/>
                      <w:szCs w:val="21"/>
                      <w:u w:val="single"/>
                    </w:rPr>
                  </w:pPr>
                </w:p>
              </w:tc>
              <w:tc>
                <w:tcPr>
                  <w:tcW w:w="1456" w:type="dxa"/>
                  <w:noWrap w:val="0"/>
                  <w:vAlign w:val="center"/>
                </w:tcPr>
                <w:p>
                  <w:pPr>
                    <w:jc w:val="center"/>
                    <w:rPr>
                      <w:szCs w:val="21"/>
                    </w:rPr>
                  </w:pPr>
                  <w:r>
                    <w:rPr>
                      <w:rFonts w:hint="eastAsia"/>
                      <w:szCs w:val="21"/>
                      <w:lang w:val="en-US" w:eastAsia="zh-CN"/>
                    </w:rPr>
                    <w:t>危险</w:t>
                  </w:r>
                  <w:r>
                    <w:rPr>
                      <w:rFonts w:hint="eastAsia"/>
                      <w:szCs w:val="21"/>
                    </w:rPr>
                    <w:t>废物</w:t>
                  </w:r>
                </w:p>
              </w:tc>
              <w:tc>
                <w:tcPr>
                  <w:tcW w:w="1694" w:type="dxa"/>
                  <w:noWrap w:val="0"/>
                  <w:vAlign w:val="center"/>
                </w:tcPr>
                <w:p>
                  <w:pPr>
                    <w:jc w:val="center"/>
                    <w:rPr>
                      <w:szCs w:val="21"/>
                    </w:rPr>
                  </w:pPr>
                  <w:r>
                    <w:rPr>
                      <w:rFonts w:hint="eastAsia"/>
                      <w:szCs w:val="21"/>
                      <w:lang w:val="en-US" w:eastAsia="zh-CN"/>
                    </w:rPr>
                    <w:t>/</w:t>
                  </w:r>
                </w:p>
              </w:tc>
              <w:tc>
                <w:tcPr>
                  <w:tcW w:w="2504" w:type="dxa"/>
                  <w:noWrap w:val="0"/>
                  <w:vAlign w:val="center"/>
                </w:tcPr>
                <w:p>
                  <w:pPr>
                    <w:jc w:val="center"/>
                    <w:rPr>
                      <w:szCs w:val="21"/>
                    </w:rPr>
                  </w:pPr>
                  <w:r>
                    <w:rPr>
                      <w:rFonts w:hint="eastAsia"/>
                      <w:szCs w:val="21"/>
                    </w:rPr>
                    <w:t>危险废物暂存设施及场所，防渗处理</w:t>
                  </w:r>
                  <w:r>
                    <w:rPr>
                      <w:rFonts w:hint="eastAsia"/>
                      <w:bCs/>
                      <w:szCs w:val="21"/>
                      <w:lang w:eastAsia="zh-CN"/>
                    </w:rPr>
                    <w:t>（由入驻企业建设）</w:t>
                  </w:r>
                </w:p>
              </w:tc>
              <w:tc>
                <w:tcPr>
                  <w:tcW w:w="1504" w:type="dxa"/>
                  <w:noWrap w:val="0"/>
                  <w:vAlign w:val="center"/>
                </w:tcPr>
                <w:p>
                  <w:pPr>
                    <w:jc w:val="center"/>
                    <w:rPr>
                      <w:szCs w:val="21"/>
                      <w:u w:val="single"/>
                    </w:rPr>
                  </w:pPr>
                  <w:r>
                    <w:rPr>
                      <w:rFonts w:hint="eastAsia"/>
                      <w:bCs/>
                      <w:szCs w:val="21"/>
                      <w:lang w:eastAsia="zh-CN"/>
                    </w:rPr>
                    <w:t>符合</w:t>
                  </w:r>
                </w:p>
              </w:tc>
            </w:tr>
          </w:tbl>
          <w:p>
            <w:pPr>
              <w:pStyle w:val="83"/>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olor w:val="auto"/>
                <w:lang w:val="en-US" w:eastAsia="zh-CN"/>
              </w:rPr>
            </w:pPr>
            <w:r>
              <w:rPr>
                <w:rFonts w:hint="eastAsia" w:ascii="Times New Roman" w:hAnsi="Times New Roman" w:cs="Times New Roman" w:eastAsiaTheme="minorEastAsia"/>
                <w:color w:val="auto"/>
                <w:kern w:val="2"/>
                <w:sz w:val="24"/>
                <w:szCs w:val="24"/>
                <w:u w:val="none" w:color="auto"/>
                <w:lang w:val="en-US" w:eastAsia="zh-CN" w:bidi="ar-SA"/>
              </w:rPr>
              <w:t>3、</w:t>
            </w:r>
            <w:r>
              <w:rPr>
                <w:rFonts w:hint="default" w:ascii="Times New Roman" w:hAnsi="Times New Roman" w:cs="Times New Roman" w:eastAsiaTheme="minorEastAsia"/>
                <w:color w:val="auto"/>
                <w:kern w:val="2"/>
                <w:sz w:val="24"/>
                <w:szCs w:val="24"/>
                <w:u w:val="none" w:color="auto"/>
                <w:lang w:val="en-US" w:eastAsia="zh-CN" w:bidi="ar-SA"/>
              </w:rPr>
              <w:t>根据现场勘察，本项目所在地目前为空置工业用地，存在的环境污染主要是项目周围的道路交通噪声、运输扬尘、汽车尾气。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842" w:type="dxa"/>
            <w:noWrap w:val="0"/>
            <w:vAlign w:val="center"/>
          </w:tcPr>
          <w:p>
            <w:pPr>
              <w:adjustRightInd w:val="0"/>
              <w:snapToGrid w:val="0"/>
              <w:jc w:val="center"/>
              <w:rPr>
                <w:rFonts w:hint="default" w:ascii="Times New Roman" w:hAnsi="Times New Roman" w:cs="Times New Roman"/>
                <w:color w:val="FF0000"/>
                <w:kern w:val="0"/>
                <w:szCs w:val="21"/>
                <w:u w:val="none" w:color="auto"/>
              </w:rPr>
            </w:pPr>
            <w:r>
              <w:rPr>
                <w:rFonts w:hint="default" w:ascii="Times New Roman" w:hAnsi="Times New Roman"/>
                <w:color w:val="auto"/>
                <w:kern w:val="0"/>
                <w:sz w:val="21"/>
                <w:szCs w:val="21"/>
                <w:u w:val="none" w:color="auto"/>
              </w:rPr>
              <w:t>生态环境保护目标</w:t>
            </w:r>
          </w:p>
        </w:tc>
        <w:tc>
          <w:tcPr>
            <w:tcW w:w="83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根据现状调查，本项目评价范围内无自然保护区、风景名胜区、世界文化和自然遗产、饮用水水源保护区；无文物保护单位，无具有特殊历史、文化、科学、民族意义的保护地等环境敏感区，调查未见珍稀、濒危野生动物和保护物种。本项目涉及以居住、文化教育为环境保护目标的环境敏感区：项目周边500m范围有金龙</w:t>
            </w:r>
            <w:r>
              <w:rPr>
                <w:rFonts w:hint="eastAsia" w:ascii="Times New Roman" w:hAnsi="Times New Roman" w:cs="Times New Roman"/>
                <w:color w:val="auto"/>
                <w:sz w:val="24"/>
                <w:szCs w:val="24"/>
                <w:highlight w:val="none"/>
                <w:u w:val="none" w:color="auto"/>
                <w:lang w:val="en-US" w:eastAsia="zh-CN"/>
              </w:rPr>
              <w:t>雅苑</w:t>
            </w:r>
            <w:r>
              <w:rPr>
                <w:rFonts w:hint="eastAsia"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cs="Times New Roman"/>
                <w:color w:val="auto"/>
                <w:sz w:val="24"/>
                <w:szCs w:val="24"/>
                <w:highlight w:val="none"/>
                <w:u w:val="none" w:color="auto"/>
                <w:lang w:val="en-US" w:eastAsia="zh-CN"/>
              </w:rPr>
              <w:t>易家里</w:t>
            </w:r>
            <w:r>
              <w:rPr>
                <w:rFonts w:hint="eastAsia"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cs="Times New Roman"/>
                <w:color w:val="auto"/>
                <w:sz w:val="24"/>
                <w:szCs w:val="24"/>
                <w:highlight w:val="none"/>
                <w:u w:val="none" w:color="auto"/>
                <w:lang w:val="en-US" w:eastAsia="zh-CN"/>
              </w:rPr>
              <w:t>金凤村等居民</w:t>
            </w:r>
            <w:r>
              <w:rPr>
                <w:rFonts w:hint="eastAsia" w:ascii="Times New Roman" w:hAnsi="Times New Roman" w:eastAsia="宋体" w:cs="Times New Roman"/>
                <w:color w:val="auto"/>
                <w:sz w:val="24"/>
                <w:szCs w:val="24"/>
                <w:highlight w:val="none"/>
                <w:u w:val="none" w:color="auto"/>
                <w:lang w:val="en-US" w:eastAsia="zh-CN"/>
              </w:rPr>
              <w:t>，以居住、文化教育为主要的功能区划。根据现场调查，评价范围内主要环境保护目标见下表。</w:t>
            </w:r>
          </w:p>
          <w:p>
            <w:pPr>
              <w:spacing w:line="360" w:lineRule="auto"/>
              <w:ind w:firstLine="482" w:firstLineChars="200"/>
              <w:jc w:val="both"/>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cs="Times New Roman"/>
                <w:b/>
                <w:bCs/>
                <w:color w:val="auto"/>
                <w:sz w:val="24"/>
                <w:szCs w:val="24"/>
                <w:highlight w:val="none"/>
                <w:u w:val="none" w:color="auto"/>
                <w:lang w:val="en-US" w:eastAsia="zh-CN"/>
              </w:rPr>
              <w:t>1、大气环境保护目标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本项目环境空气保护目标主要为厂址四周的居民点；具体环境空气保护目标见下表和附图</w:t>
            </w:r>
            <w:r>
              <w:rPr>
                <w:rFonts w:hint="eastAsia" w:ascii="Times New Roman" w:hAnsi="Times New Roman" w:cs="Times New Roman"/>
                <w:color w:val="auto"/>
                <w:sz w:val="24"/>
                <w:szCs w:val="24"/>
                <w:highlight w:val="none"/>
                <w:u w:val="none" w:color="auto"/>
                <w:lang w:val="en-US" w:eastAsia="zh-CN"/>
              </w:rPr>
              <w:t>5</w:t>
            </w:r>
            <w:r>
              <w:rPr>
                <w:rFonts w:hint="eastAsia" w:ascii="Times New Roman" w:hAnsi="Times New Roman" w:eastAsia="宋体" w:cs="Times New Roman"/>
                <w:color w:val="auto"/>
                <w:sz w:val="24"/>
                <w:szCs w:val="24"/>
                <w:highlight w:val="none"/>
                <w:u w:val="none" w:color="auto"/>
                <w:lang w:val="en-US" w:eastAsia="zh-CN"/>
              </w:rPr>
              <w:t>。</w:t>
            </w:r>
          </w:p>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rPr>
              <w:t>表3-</w:t>
            </w:r>
            <w:r>
              <w:rPr>
                <w:rFonts w:hint="eastAsia" w:ascii="Times New Roman" w:hAnsi="Times New Roman" w:cs="Times New Roman"/>
                <w:b/>
                <w:bCs/>
                <w:color w:val="auto"/>
                <w:sz w:val="21"/>
                <w:szCs w:val="21"/>
                <w:u w:val="none" w:color="auto"/>
                <w:lang w:val="en-US" w:eastAsia="zh-CN"/>
              </w:rPr>
              <w:t>4  大气</w:t>
            </w:r>
            <w:r>
              <w:rPr>
                <w:rFonts w:hint="default" w:ascii="Times New Roman" w:hAnsi="Times New Roman" w:cs="Times New Roman"/>
                <w:b/>
                <w:bCs/>
                <w:color w:val="auto"/>
                <w:sz w:val="21"/>
                <w:szCs w:val="21"/>
                <w:u w:val="none" w:color="auto"/>
              </w:rPr>
              <w:t>环境保护目标</w:t>
            </w:r>
            <w:r>
              <w:rPr>
                <w:rFonts w:hint="eastAsia" w:ascii="Times New Roman" w:hAnsi="Times New Roman" w:cs="Times New Roman"/>
                <w:b/>
                <w:bCs/>
                <w:color w:val="auto"/>
                <w:sz w:val="21"/>
                <w:szCs w:val="21"/>
                <w:u w:val="none" w:color="auto"/>
                <w:lang w:val="en-US" w:eastAsia="zh-CN"/>
              </w:rPr>
              <w:t>一览表</w:t>
            </w:r>
          </w:p>
          <w:tbl>
            <w:tblPr>
              <w:tblStyle w:val="31"/>
              <w:tblW w:w="8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2159"/>
              <w:gridCol w:w="2054"/>
              <w:gridCol w:w="460"/>
              <w:gridCol w:w="532"/>
              <w:gridCol w:w="433"/>
              <w:gridCol w:w="428"/>
              <w:gridCol w:w="46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目标名称</w:t>
                  </w:r>
                </w:p>
              </w:tc>
              <w:tc>
                <w:tcPr>
                  <w:tcW w:w="4213" w:type="dxa"/>
                  <w:gridSpan w:val="2"/>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坐标/m</w:t>
                  </w:r>
                </w:p>
              </w:tc>
              <w:tc>
                <w:tcPr>
                  <w:tcW w:w="460"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保护对象</w:t>
                  </w:r>
                </w:p>
              </w:tc>
              <w:tc>
                <w:tcPr>
                  <w:tcW w:w="532"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规模</w:t>
                  </w:r>
                </w:p>
              </w:tc>
              <w:tc>
                <w:tcPr>
                  <w:tcW w:w="433"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保护内容</w:t>
                  </w:r>
                </w:p>
              </w:tc>
              <w:tc>
                <w:tcPr>
                  <w:tcW w:w="428"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环境功能区</w:t>
                  </w:r>
                </w:p>
              </w:tc>
              <w:tc>
                <w:tcPr>
                  <w:tcW w:w="466"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相对厂址方位</w:t>
                  </w:r>
                </w:p>
              </w:tc>
              <w:tc>
                <w:tcPr>
                  <w:tcW w:w="1080"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215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经度</w:t>
                  </w:r>
                </w:p>
              </w:tc>
              <w:tc>
                <w:tcPr>
                  <w:tcW w:w="20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纬度</w:t>
                  </w:r>
                </w:p>
              </w:tc>
              <w:tc>
                <w:tcPr>
                  <w:tcW w:w="460"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532"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433"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428"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466"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1080"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金龙雅苑</w:t>
                  </w:r>
                </w:p>
              </w:tc>
              <w:tc>
                <w:tcPr>
                  <w:tcW w:w="215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112°55′46.426″</w:t>
                  </w:r>
                </w:p>
              </w:tc>
              <w:tc>
                <w:tcPr>
                  <w:tcW w:w="20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28°32′52.909″</w:t>
                  </w:r>
                </w:p>
              </w:tc>
              <w:tc>
                <w:tcPr>
                  <w:tcW w:w="46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居民</w:t>
                  </w:r>
                </w:p>
              </w:tc>
              <w:tc>
                <w:tcPr>
                  <w:tcW w:w="532"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约724户</w:t>
                  </w:r>
                </w:p>
              </w:tc>
              <w:tc>
                <w:tcPr>
                  <w:tcW w:w="4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人群</w:t>
                  </w:r>
                </w:p>
              </w:tc>
              <w:tc>
                <w:tcPr>
                  <w:tcW w:w="4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居住</w:t>
                  </w:r>
                </w:p>
              </w:tc>
              <w:tc>
                <w:tcPr>
                  <w:tcW w:w="466"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北</w:t>
                  </w:r>
                </w:p>
              </w:tc>
              <w:tc>
                <w:tcPr>
                  <w:tcW w:w="108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77" w:type="dxa"/>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u w:val="none" w:color="auto"/>
                      <w:vertAlign w:val="baseline"/>
                      <w:lang w:val="en-US" w:eastAsia="zh-CN" w:bidi="ar-SA"/>
                    </w:rPr>
                  </w:pPr>
                  <w:r>
                    <w:rPr>
                      <w:rFonts w:hint="eastAsia" w:ascii="Times New Roman" w:hAnsi="Times New Roman" w:cs="Times New Roman"/>
                      <w:b w:val="0"/>
                      <w:bCs w:val="0"/>
                      <w:color w:val="auto"/>
                      <w:kern w:val="0"/>
                      <w:sz w:val="21"/>
                      <w:szCs w:val="21"/>
                      <w:u w:val="none" w:color="auto"/>
                      <w:vertAlign w:val="baseline"/>
                      <w:lang w:val="en-US" w:eastAsia="zh-CN" w:bidi="ar-SA"/>
                    </w:rPr>
                    <w:t>易家里</w:t>
                  </w:r>
                </w:p>
              </w:tc>
              <w:tc>
                <w:tcPr>
                  <w:tcW w:w="215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112°55′33.39072″</w:t>
                  </w:r>
                </w:p>
              </w:tc>
              <w:tc>
                <w:tcPr>
                  <w:tcW w:w="20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28°32′32.26194″</w:t>
                  </w:r>
                </w:p>
              </w:tc>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居民</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约10户</w:t>
                  </w:r>
                </w:p>
              </w:tc>
              <w:tc>
                <w:tcPr>
                  <w:tcW w:w="4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人群</w:t>
                  </w:r>
                </w:p>
              </w:tc>
              <w:tc>
                <w:tcPr>
                  <w:tcW w:w="4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居住</w:t>
                  </w:r>
                </w:p>
              </w:tc>
              <w:tc>
                <w:tcPr>
                  <w:tcW w:w="46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西南</w:t>
                  </w:r>
                </w:p>
              </w:tc>
              <w:tc>
                <w:tcPr>
                  <w:tcW w:w="108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约200-385m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u w:val="none" w:color="auto"/>
                      <w:vertAlign w:val="baseline"/>
                      <w:lang w:val="en-US" w:eastAsia="zh-CN" w:bidi="ar-SA"/>
                    </w:rPr>
                  </w:pPr>
                  <w:r>
                    <w:rPr>
                      <w:rFonts w:hint="eastAsia" w:ascii="Times New Roman" w:hAnsi="Times New Roman" w:cs="Times New Roman"/>
                      <w:b w:val="0"/>
                      <w:bCs w:val="0"/>
                      <w:color w:val="auto"/>
                      <w:kern w:val="0"/>
                      <w:sz w:val="21"/>
                      <w:szCs w:val="21"/>
                      <w:u w:val="none" w:color="auto"/>
                      <w:vertAlign w:val="baseline"/>
                      <w:lang w:val="en-US" w:eastAsia="zh-CN" w:bidi="ar-SA"/>
                    </w:rPr>
                    <w:t>东北侧居民点</w:t>
                  </w:r>
                </w:p>
              </w:tc>
              <w:tc>
                <w:tcPr>
                  <w:tcW w:w="215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112°56′1.21917″</w:t>
                  </w:r>
                </w:p>
              </w:tc>
              <w:tc>
                <w:tcPr>
                  <w:tcW w:w="20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28°32′55.14655″</w:t>
                  </w:r>
                </w:p>
              </w:tc>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居民</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约15户</w:t>
                  </w:r>
                </w:p>
              </w:tc>
              <w:tc>
                <w:tcPr>
                  <w:tcW w:w="4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人群</w:t>
                  </w:r>
                </w:p>
              </w:tc>
              <w:tc>
                <w:tcPr>
                  <w:tcW w:w="4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居住</w:t>
                  </w:r>
                </w:p>
              </w:tc>
              <w:tc>
                <w:tcPr>
                  <w:tcW w:w="46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东北</w:t>
                  </w:r>
                </w:p>
              </w:tc>
              <w:tc>
                <w:tcPr>
                  <w:tcW w:w="108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约285-500m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u w:val="none" w:color="auto"/>
                      <w:vertAlign w:val="baseline"/>
                      <w:lang w:val="en-US" w:eastAsia="zh-CN" w:bidi="ar-SA"/>
                    </w:rPr>
                  </w:pPr>
                  <w:r>
                    <w:rPr>
                      <w:rFonts w:hint="eastAsia" w:ascii="Times New Roman" w:hAnsi="Times New Roman" w:cs="Times New Roman"/>
                      <w:b w:val="0"/>
                      <w:bCs w:val="0"/>
                      <w:color w:val="auto"/>
                      <w:kern w:val="0"/>
                      <w:sz w:val="21"/>
                      <w:szCs w:val="21"/>
                      <w:u w:val="none" w:color="auto"/>
                      <w:vertAlign w:val="baseline"/>
                      <w:lang w:val="en-US" w:eastAsia="zh-CN" w:bidi="ar-SA"/>
                    </w:rPr>
                    <w:t>东侧居民点</w:t>
                  </w:r>
                </w:p>
              </w:tc>
              <w:tc>
                <w:tcPr>
                  <w:tcW w:w="215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112°56′1.12262″</w:t>
                  </w:r>
                </w:p>
              </w:tc>
              <w:tc>
                <w:tcPr>
                  <w:tcW w:w="20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28°32′42.92211″</w:t>
                  </w:r>
                </w:p>
              </w:tc>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居民</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7户</w:t>
                  </w:r>
                </w:p>
              </w:tc>
              <w:tc>
                <w:tcPr>
                  <w:tcW w:w="4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人群</w:t>
                  </w:r>
                </w:p>
              </w:tc>
              <w:tc>
                <w:tcPr>
                  <w:tcW w:w="4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居住</w:t>
                  </w:r>
                </w:p>
              </w:tc>
              <w:tc>
                <w:tcPr>
                  <w:tcW w:w="46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东</w:t>
                  </w:r>
                </w:p>
              </w:tc>
              <w:tc>
                <w:tcPr>
                  <w:tcW w:w="108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约210-250m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u w:val="none" w:color="auto"/>
                      <w:vertAlign w:val="baseline"/>
                      <w:lang w:val="en-US" w:eastAsia="zh-CN" w:bidi="ar-SA"/>
                    </w:rPr>
                  </w:pPr>
                  <w:r>
                    <w:rPr>
                      <w:rFonts w:hint="eastAsia" w:ascii="Times New Roman" w:hAnsi="Times New Roman" w:cs="Times New Roman"/>
                      <w:b w:val="0"/>
                      <w:bCs w:val="0"/>
                      <w:color w:val="auto"/>
                      <w:kern w:val="0"/>
                      <w:sz w:val="21"/>
                      <w:szCs w:val="21"/>
                      <w:u w:val="none" w:color="auto"/>
                      <w:vertAlign w:val="baseline"/>
                      <w:lang w:val="en-US" w:eastAsia="zh-CN" w:bidi="ar-SA"/>
                    </w:rPr>
                    <w:t>西南侧居民点</w:t>
                  </w:r>
                </w:p>
              </w:tc>
              <w:tc>
                <w:tcPr>
                  <w:tcW w:w="215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112°55′42.13901″</w:t>
                  </w:r>
                </w:p>
              </w:tc>
              <w:tc>
                <w:tcPr>
                  <w:tcW w:w="20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28°32′32.28125″</w:t>
                  </w:r>
                </w:p>
              </w:tc>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居民</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约14户</w:t>
                  </w:r>
                </w:p>
              </w:tc>
              <w:tc>
                <w:tcPr>
                  <w:tcW w:w="4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人群</w:t>
                  </w:r>
                </w:p>
              </w:tc>
              <w:tc>
                <w:tcPr>
                  <w:tcW w:w="4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居住</w:t>
                  </w:r>
                </w:p>
              </w:tc>
              <w:tc>
                <w:tcPr>
                  <w:tcW w:w="46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西南</w:t>
                  </w:r>
                </w:p>
              </w:tc>
              <w:tc>
                <w:tcPr>
                  <w:tcW w:w="108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约270-450m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u w:val="none" w:color="auto"/>
                      <w:vertAlign w:val="baseline"/>
                      <w:lang w:val="en-US" w:eastAsia="zh-CN" w:bidi="ar-SA"/>
                    </w:rPr>
                  </w:pPr>
                  <w:r>
                    <w:rPr>
                      <w:rFonts w:hint="eastAsia" w:ascii="Times New Roman" w:hAnsi="Times New Roman" w:cs="Times New Roman"/>
                      <w:b w:val="0"/>
                      <w:bCs w:val="0"/>
                      <w:color w:val="auto"/>
                      <w:kern w:val="0"/>
                      <w:sz w:val="21"/>
                      <w:szCs w:val="21"/>
                      <w:u w:val="none" w:color="auto"/>
                      <w:vertAlign w:val="baseline"/>
                      <w:lang w:val="en-US" w:eastAsia="zh-CN" w:bidi="ar-SA"/>
                    </w:rPr>
                    <w:t>金凤村</w:t>
                  </w:r>
                </w:p>
              </w:tc>
              <w:tc>
                <w:tcPr>
                  <w:tcW w:w="215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112°56′2.33926″</w:t>
                  </w:r>
                </w:p>
              </w:tc>
              <w:tc>
                <w:tcPr>
                  <w:tcW w:w="20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28°32′32.74474″</w:t>
                  </w:r>
                </w:p>
              </w:tc>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居民</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约40户</w:t>
                  </w:r>
                </w:p>
              </w:tc>
              <w:tc>
                <w:tcPr>
                  <w:tcW w:w="4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人群</w:t>
                  </w:r>
                </w:p>
              </w:tc>
              <w:tc>
                <w:tcPr>
                  <w:tcW w:w="4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居住</w:t>
                  </w:r>
                </w:p>
              </w:tc>
              <w:tc>
                <w:tcPr>
                  <w:tcW w:w="46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东南</w:t>
                  </w:r>
                </w:p>
              </w:tc>
              <w:tc>
                <w:tcPr>
                  <w:tcW w:w="108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约195-500m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keepNext w:val="0"/>
                    <w:keepLines w:val="0"/>
                    <w:widowControl/>
                    <w:suppressLineNumbers w:val="0"/>
                    <w:jc w:val="center"/>
                    <w:rPr>
                      <w:rFonts w:hint="default" w:ascii="Times New Roman" w:hAnsi="Times New Roman" w:cs="Times New Roman"/>
                      <w:b w:val="0"/>
                      <w:bCs w:val="0"/>
                      <w:color w:val="auto"/>
                      <w:kern w:val="0"/>
                      <w:sz w:val="21"/>
                      <w:szCs w:val="21"/>
                      <w:u w:val="none" w:color="auto"/>
                      <w:vertAlign w:val="baseline"/>
                      <w:lang w:val="en-US" w:eastAsia="zh-CN" w:bidi="ar-SA"/>
                    </w:rPr>
                  </w:pPr>
                  <w:r>
                    <w:rPr>
                      <w:rFonts w:hint="eastAsia" w:ascii="Times New Roman" w:hAnsi="Times New Roman" w:cs="Times New Roman"/>
                      <w:b w:val="0"/>
                      <w:bCs w:val="0"/>
                      <w:color w:val="auto"/>
                      <w:kern w:val="0"/>
                      <w:sz w:val="21"/>
                      <w:szCs w:val="21"/>
                      <w:u w:val="none" w:color="auto"/>
                      <w:vertAlign w:val="baseline"/>
                      <w:lang w:val="en-US" w:eastAsia="zh-CN" w:bidi="ar-SA"/>
                    </w:rPr>
                    <w:t>规划居住用地</w:t>
                  </w:r>
                </w:p>
              </w:tc>
              <w:tc>
                <w:tcPr>
                  <w:tcW w:w="215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112°55′55.35801″</w:t>
                  </w:r>
                </w:p>
              </w:tc>
              <w:tc>
                <w:tcPr>
                  <w:tcW w:w="20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28°32′51.7251″</w:t>
                  </w:r>
                </w:p>
              </w:tc>
              <w:tc>
                <w:tcPr>
                  <w:tcW w:w="46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居民</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w:t>
                  </w:r>
                </w:p>
              </w:tc>
              <w:tc>
                <w:tcPr>
                  <w:tcW w:w="43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人群</w:t>
                  </w:r>
                </w:p>
              </w:tc>
              <w:tc>
                <w:tcPr>
                  <w:tcW w:w="42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居住</w:t>
                  </w:r>
                </w:p>
              </w:tc>
              <w:tc>
                <w:tcPr>
                  <w:tcW w:w="466"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东北</w:t>
                  </w:r>
                </w:p>
              </w:tc>
              <w:tc>
                <w:tcPr>
                  <w:tcW w:w="108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约130-390m</w:t>
                  </w:r>
                </w:p>
              </w:tc>
            </w:tr>
          </w:tbl>
          <w:p>
            <w:pPr>
              <w:spacing w:line="360" w:lineRule="auto"/>
              <w:ind w:firstLine="482" w:firstLineChars="200"/>
              <w:jc w:val="both"/>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cs="Times New Roman"/>
                <w:b/>
                <w:bCs/>
                <w:color w:val="auto"/>
                <w:sz w:val="24"/>
                <w:szCs w:val="24"/>
                <w:highlight w:val="none"/>
                <w:u w:val="none" w:color="auto"/>
                <w:lang w:val="en-US" w:eastAsia="zh-CN"/>
              </w:rPr>
              <w:t>2、水环境保护目标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生活污水</w:t>
            </w:r>
            <w:r>
              <w:rPr>
                <w:rFonts w:hint="eastAsia" w:ascii="Times New Roman" w:hAnsi="Times New Roman" w:cs="Times New Roman"/>
                <w:color w:val="auto"/>
                <w:sz w:val="24"/>
                <w:szCs w:val="24"/>
                <w:highlight w:val="none"/>
                <w:u w:val="none" w:color="auto"/>
                <w:lang w:val="en-US" w:eastAsia="zh-CN"/>
              </w:rPr>
              <w:t>经</w:t>
            </w:r>
            <w:r>
              <w:rPr>
                <w:rFonts w:hint="eastAsia" w:ascii="Times New Roman" w:hAnsi="Times New Roman" w:eastAsia="宋体" w:cs="Times New Roman"/>
                <w:color w:val="auto"/>
                <w:sz w:val="24"/>
                <w:szCs w:val="24"/>
                <w:highlight w:val="none"/>
                <w:u w:val="none" w:color="auto"/>
                <w:lang w:val="en-US" w:eastAsia="zh-CN"/>
              </w:rPr>
              <w:t>化粪池处理后达到《污水综合排放标准》（GB8978-1996）三级排放标准和湘阴县第三污水处理厂进水水质标准后排入湘阴县第三污水处理厂处理，处理达到《城镇污水处理厂污染物排放标准（GB18918—2002）》中一级标准的A类标准后排入洋沙河</w:t>
            </w:r>
            <w:r>
              <w:rPr>
                <w:rFonts w:hint="eastAsia" w:ascii="Times New Roman" w:hAnsi="Times New Roman" w:cs="Times New Roman"/>
                <w:color w:val="auto"/>
                <w:sz w:val="24"/>
                <w:szCs w:val="24"/>
                <w:highlight w:val="none"/>
                <w:u w:val="none" w:color="auto"/>
                <w:lang w:val="en-US" w:eastAsia="zh-CN"/>
              </w:rPr>
              <w:t>，</w:t>
            </w:r>
            <w:r>
              <w:rPr>
                <w:rFonts w:hint="eastAsia" w:ascii="Times New Roman" w:hAnsi="Times New Roman"/>
                <w:color w:val="auto"/>
                <w:sz w:val="24"/>
                <w:u w:val="none" w:color="auto"/>
                <w:lang w:eastAsia="zh-CN"/>
              </w:rPr>
              <w:t>经洋沙湖进入湘江</w:t>
            </w:r>
            <w:r>
              <w:rPr>
                <w:rFonts w:hint="eastAsia" w:ascii="Times New Roman" w:hAnsi="Times New Roman"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项目地表水环境保护目标为项目最终受纳水体以及周边水体达到相应水功能区划要求。项目周边地表水环境保护目标见下表。</w:t>
            </w:r>
          </w:p>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Chars="0"/>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rPr>
              <w:t>表3-</w:t>
            </w:r>
            <w:r>
              <w:rPr>
                <w:rFonts w:hint="eastAsia" w:ascii="Times New Roman" w:hAnsi="Times New Roman" w:cs="Times New Roman"/>
                <w:b/>
                <w:bCs/>
                <w:color w:val="auto"/>
                <w:sz w:val="21"/>
                <w:szCs w:val="21"/>
                <w:u w:val="none" w:color="auto"/>
                <w:lang w:val="en-US" w:eastAsia="zh-CN"/>
              </w:rPr>
              <w:t>5  水</w:t>
            </w:r>
            <w:r>
              <w:rPr>
                <w:rFonts w:hint="default" w:ascii="Times New Roman" w:hAnsi="Times New Roman" w:cs="Times New Roman"/>
                <w:b/>
                <w:bCs/>
                <w:color w:val="auto"/>
                <w:sz w:val="21"/>
                <w:szCs w:val="21"/>
                <w:u w:val="none" w:color="auto"/>
              </w:rPr>
              <w:t>环境保护目标</w:t>
            </w:r>
            <w:r>
              <w:rPr>
                <w:rFonts w:hint="eastAsia" w:ascii="Times New Roman" w:hAnsi="Times New Roman" w:cs="Times New Roman"/>
                <w:b/>
                <w:bCs/>
                <w:color w:val="auto"/>
                <w:sz w:val="21"/>
                <w:szCs w:val="21"/>
                <w:u w:val="none" w:color="auto"/>
                <w:lang w:val="en-US" w:eastAsia="zh-CN"/>
              </w:rPr>
              <w:t>一览表</w:t>
            </w:r>
          </w:p>
          <w:tbl>
            <w:tblPr>
              <w:tblStyle w:val="31"/>
              <w:tblW w:w="8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61"/>
              <w:gridCol w:w="1719"/>
              <w:gridCol w:w="1800"/>
              <w:gridCol w:w="2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保护目标</w:t>
                  </w:r>
                </w:p>
              </w:tc>
              <w:tc>
                <w:tcPr>
                  <w:tcW w:w="861"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规模</w:t>
                  </w:r>
                </w:p>
              </w:tc>
              <w:tc>
                <w:tcPr>
                  <w:tcW w:w="171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方位、距离</w:t>
                  </w:r>
                </w:p>
              </w:tc>
              <w:tc>
                <w:tcPr>
                  <w:tcW w:w="180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功能</w:t>
                  </w:r>
                </w:p>
              </w:tc>
              <w:tc>
                <w:tcPr>
                  <w:tcW w:w="2755"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洋沙湖</w:t>
                  </w:r>
                </w:p>
              </w:tc>
              <w:tc>
                <w:tcPr>
                  <w:tcW w:w="861"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小湖</w:t>
                  </w:r>
                </w:p>
              </w:tc>
              <w:tc>
                <w:tcPr>
                  <w:tcW w:w="171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西面，约9.4km</w:t>
                  </w:r>
                </w:p>
              </w:tc>
              <w:tc>
                <w:tcPr>
                  <w:tcW w:w="1800"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景观娱乐用水</w:t>
                  </w:r>
                </w:p>
              </w:tc>
              <w:tc>
                <w:tcPr>
                  <w:tcW w:w="275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湘江</w:t>
                  </w:r>
                </w:p>
              </w:tc>
              <w:tc>
                <w:tcPr>
                  <w:tcW w:w="861"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大河</w:t>
                  </w:r>
                </w:p>
              </w:tc>
              <w:tc>
                <w:tcPr>
                  <w:tcW w:w="171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西面，约</w:t>
                  </w:r>
                  <w:r>
                    <w:rPr>
                      <w:rFonts w:hint="default" w:ascii="Times New Roman" w:hAnsi="Times New Roman" w:cs="Times New Roman"/>
                      <w:b w:val="0"/>
                      <w:bCs w:val="0"/>
                      <w:color w:val="auto"/>
                      <w:sz w:val="21"/>
                      <w:szCs w:val="21"/>
                      <w:u w:val="none" w:color="auto"/>
                      <w:vertAlign w:val="baseline"/>
                      <w:lang w:val="en-US" w:eastAsia="zh-CN"/>
                    </w:rPr>
                    <w:t>12km</w:t>
                  </w:r>
                </w:p>
              </w:tc>
              <w:tc>
                <w:tcPr>
                  <w:tcW w:w="18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渔业用水</w:t>
                  </w:r>
                </w:p>
              </w:tc>
              <w:tc>
                <w:tcPr>
                  <w:tcW w:w="275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shd w:val="clear" w:color="auto" w:fill="auto"/>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洋沙河</w:t>
                  </w:r>
                </w:p>
              </w:tc>
              <w:tc>
                <w:tcPr>
                  <w:tcW w:w="861" w:type="dxa"/>
                  <w:shd w:val="clear" w:color="auto" w:fill="auto"/>
                  <w:vAlign w:val="center"/>
                </w:tcPr>
                <w:p>
                  <w:pPr>
                    <w:keepNext w:val="0"/>
                    <w:keepLines w:val="0"/>
                    <w:widowControl/>
                    <w:suppressLineNumbers w:val="0"/>
                    <w:jc w:val="center"/>
                    <w:rPr>
                      <w:rFonts w:hint="eastAsia" w:ascii="Times New Roman" w:hAnsi="Times New Roman" w:eastAsia="宋体" w:cs="Times New Roman"/>
                      <w:b w:val="0"/>
                      <w:bCs w:val="0"/>
                      <w:color w:val="auto"/>
                      <w:kern w:val="0"/>
                      <w:sz w:val="21"/>
                      <w:szCs w:val="21"/>
                      <w:u w:val="none" w:color="auto"/>
                      <w:vertAlign w:val="baseline"/>
                      <w:lang w:val="en-US" w:eastAsia="zh-CN" w:bidi="ar-SA"/>
                    </w:rPr>
                  </w:pPr>
                  <w:r>
                    <w:rPr>
                      <w:rFonts w:hint="eastAsia" w:ascii="Times New Roman" w:hAnsi="Times New Roman" w:eastAsia="宋体" w:cs="Times New Roman"/>
                      <w:b w:val="0"/>
                      <w:bCs w:val="0"/>
                      <w:color w:val="auto"/>
                      <w:kern w:val="0"/>
                      <w:sz w:val="21"/>
                      <w:szCs w:val="21"/>
                      <w:u w:val="none" w:color="auto"/>
                      <w:vertAlign w:val="baseline"/>
                      <w:lang w:val="en-US" w:eastAsia="zh-CN" w:bidi="ar-SA"/>
                    </w:rPr>
                    <w:t>中河</w:t>
                  </w:r>
                </w:p>
              </w:tc>
              <w:tc>
                <w:tcPr>
                  <w:tcW w:w="1719"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u w:val="none" w:color="auto"/>
                      <w:vertAlign w:val="baseline"/>
                      <w:lang w:val="en-US" w:eastAsia="zh-CN" w:bidi="ar-SA"/>
                    </w:rPr>
                  </w:pPr>
                  <w:r>
                    <w:rPr>
                      <w:rFonts w:hint="eastAsia" w:ascii="Times New Roman" w:hAnsi="Times New Roman" w:eastAsia="宋体" w:cs="Times New Roman"/>
                      <w:b w:val="0"/>
                      <w:bCs w:val="0"/>
                      <w:color w:val="auto"/>
                      <w:kern w:val="0"/>
                      <w:sz w:val="21"/>
                      <w:szCs w:val="21"/>
                      <w:u w:val="none" w:color="auto"/>
                      <w:vertAlign w:val="baseline"/>
                      <w:lang w:val="en-US" w:eastAsia="zh-CN" w:bidi="ar-SA"/>
                    </w:rPr>
                    <w:t>西，约3.6km</w:t>
                  </w:r>
                </w:p>
              </w:tc>
              <w:tc>
                <w:tcPr>
                  <w:tcW w:w="1800" w:type="dxa"/>
                  <w:shd w:val="clear" w:color="auto" w:fill="auto"/>
                  <w:vAlign w:val="center"/>
                </w:tcPr>
                <w:p>
                  <w:pPr>
                    <w:keepNext w:val="0"/>
                    <w:keepLines w:val="0"/>
                    <w:widowControl/>
                    <w:suppressLineNumbers w:val="0"/>
                    <w:jc w:val="center"/>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default" w:ascii="Times New Roman" w:hAnsi="Times New Roman" w:eastAsia="宋体" w:cs="Times New Roman"/>
                      <w:b w:val="0"/>
                      <w:bCs w:val="0"/>
                      <w:color w:val="auto"/>
                      <w:kern w:val="2"/>
                      <w:sz w:val="21"/>
                      <w:szCs w:val="21"/>
                      <w:u w:val="none" w:color="auto"/>
                      <w:vertAlign w:val="baseline"/>
                      <w:lang w:val="en-US" w:eastAsia="zh-CN" w:bidi="ar-SA"/>
                    </w:rPr>
                    <w:t>农业用水水域（兼</w:t>
                  </w:r>
                </w:p>
                <w:p>
                  <w:pPr>
                    <w:keepNext w:val="0"/>
                    <w:keepLines w:val="0"/>
                    <w:widowControl/>
                    <w:suppressLineNumbers w:val="0"/>
                    <w:jc w:val="center"/>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default" w:ascii="Times New Roman" w:hAnsi="Times New Roman" w:eastAsia="宋体" w:cs="Times New Roman"/>
                      <w:b w:val="0"/>
                      <w:bCs w:val="0"/>
                      <w:color w:val="auto"/>
                      <w:kern w:val="2"/>
                      <w:sz w:val="21"/>
                      <w:szCs w:val="21"/>
                      <w:u w:val="none" w:color="auto"/>
                      <w:vertAlign w:val="baseline"/>
                      <w:lang w:val="en-US" w:eastAsia="zh-CN" w:bidi="ar-SA"/>
                    </w:rPr>
                    <w:t>排洪）</w:t>
                  </w:r>
                </w:p>
              </w:tc>
              <w:tc>
                <w:tcPr>
                  <w:tcW w:w="275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《地表水环境质量标准 》GB3838-2002Ⅳ类</w:t>
                  </w:r>
                </w:p>
              </w:tc>
            </w:tr>
          </w:tbl>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auto"/>
              <w:ind w:leftChars="0" w:firstLine="482" w:firstLineChars="200"/>
              <w:jc w:val="both"/>
              <w:textAlignment w:val="auto"/>
              <w:rPr>
                <w:rFonts w:hint="eastAsia" w:ascii="Times New Roman" w:hAnsi="Times New Roman" w:cs="Times New Roman"/>
                <w:b/>
                <w:bCs/>
                <w:color w:val="auto"/>
                <w:sz w:val="24"/>
                <w:szCs w:val="24"/>
                <w:highlight w:val="none"/>
                <w:u w:val="none" w:color="auto"/>
                <w:lang w:val="en-US" w:eastAsia="zh-CN"/>
              </w:rPr>
            </w:pPr>
            <w:r>
              <w:rPr>
                <w:rFonts w:hint="eastAsia" w:ascii="Times New Roman" w:hAnsi="Times New Roman" w:cs="Times New Roman"/>
                <w:b/>
                <w:bCs/>
                <w:color w:val="auto"/>
                <w:sz w:val="24"/>
                <w:szCs w:val="24"/>
                <w:highlight w:val="none"/>
                <w:u w:val="none" w:color="auto"/>
                <w:lang w:val="en-US" w:eastAsia="zh-CN"/>
              </w:rPr>
              <w:t>3、声环境保护目标</w:t>
            </w:r>
          </w:p>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rPr>
              <w:t>表3-</w:t>
            </w:r>
            <w:r>
              <w:rPr>
                <w:rFonts w:hint="eastAsia" w:ascii="Times New Roman" w:hAnsi="Times New Roman" w:cs="Times New Roman"/>
                <w:b/>
                <w:bCs/>
                <w:color w:val="auto"/>
                <w:sz w:val="21"/>
                <w:szCs w:val="21"/>
                <w:u w:val="none" w:color="auto"/>
                <w:lang w:val="en-US" w:eastAsia="zh-CN"/>
              </w:rPr>
              <w:t>6  声</w:t>
            </w:r>
            <w:r>
              <w:rPr>
                <w:rFonts w:hint="default" w:ascii="Times New Roman" w:hAnsi="Times New Roman" w:cs="Times New Roman"/>
                <w:b/>
                <w:bCs/>
                <w:color w:val="auto"/>
                <w:sz w:val="21"/>
                <w:szCs w:val="21"/>
                <w:u w:val="none" w:color="auto"/>
              </w:rPr>
              <w:t>环境保护目标</w:t>
            </w:r>
            <w:r>
              <w:rPr>
                <w:rFonts w:hint="eastAsia" w:ascii="Times New Roman" w:hAnsi="Times New Roman" w:cs="Times New Roman"/>
                <w:b/>
                <w:bCs/>
                <w:color w:val="auto"/>
                <w:sz w:val="21"/>
                <w:szCs w:val="21"/>
                <w:u w:val="none" w:color="auto"/>
                <w:lang w:val="en-US" w:eastAsia="zh-CN"/>
              </w:rPr>
              <w:t>一览表</w:t>
            </w:r>
          </w:p>
          <w:tbl>
            <w:tblPr>
              <w:tblStyle w:val="31"/>
              <w:tblW w:w="8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949"/>
              <w:gridCol w:w="1844"/>
              <w:gridCol w:w="529"/>
              <w:gridCol w:w="605"/>
              <w:gridCol w:w="529"/>
              <w:gridCol w:w="564"/>
              <w:gridCol w:w="599"/>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目标名称</w:t>
                  </w:r>
                </w:p>
              </w:tc>
              <w:tc>
                <w:tcPr>
                  <w:tcW w:w="3793" w:type="dxa"/>
                  <w:gridSpan w:val="2"/>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坐标/m</w:t>
                  </w:r>
                </w:p>
              </w:tc>
              <w:tc>
                <w:tcPr>
                  <w:tcW w:w="529"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保护对象</w:t>
                  </w:r>
                </w:p>
              </w:tc>
              <w:tc>
                <w:tcPr>
                  <w:tcW w:w="605"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规模</w:t>
                  </w:r>
                </w:p>
              </w:tc>
              <w:tc>
                <w:tcPr>
                  <w:tcW w:w="529"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保护内容</w:t>
                  </w:r>
                </w:p>
              </w:tc>
              <w:tc>
                <w:tcPr>
                  <w:tcW w:w="564"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环境功能区</w:t>
                  </w:r>
                </w:p>
              </w:tc>
              <w:tc>
                <w:tcPr>
                  <w:tcW w:w="599"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相对厂址方位</w:t>
                  </w:r>
                </w:p>
              </w:tc>
              <w:tc>
                <w:tcPr>
                  <w:tcW w:w="871" w:type="dxa"/>
                  <w:vMerge w:val="restart"/>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194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经度</w:t>
                  </w:r>
                </w:p>
              </w:tc>
              <w:tc>
                <w:tcPr>
                  <w:tcW w:w="184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纬度</w:t>
                  </w:r>
                </w:p>
              </w:tc>
              <w:tc>
                <w:tcPr>
                  <w:tcW w:w="529"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605"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529"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564"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599"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auto"/>
                      <w:sz w:val="21"/>
                      <w:szCs w:val="21"/>
                      <w:u w:val="none" w:color="auto"/>
                      <w:vertAlign w:val="baseline"/>
                      <w:lang w:val="en-US" w:eastAsia="zh-CN"/>
                    </w:rPr>
                  </w:pPr>
                </w:p>
              </w:tc>
              <w:tc>
                <w:tcPr>
                  <w:tcW w:w="871" w:type="dxa"/>
                  <w:vMerge w:val="continue"/>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b w:val="0"/>
                      <w:bCs w:val="0"/>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金龙雅苑小区</w:t>
                  </w:r>
                </w:p>
              </w:tc>
              <w:tc>
                <w:tcPr>
                  <w:tcW w:w="194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112°55′46.426″</w:t>
                  </w:r>
                </w:p>
              </w:tc>
              <w:tc>
                <w:tcPr>
                  <w:tcW w:w="1844"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28°32′52.909″</w:t>
                  </w:r>
                </w:p>
              </w:tc>
              <w:tc>
                <w:tcPr>
                  <w:tcW w:w="529"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居民</w:t>
                  </w:r>
                </w:p>
              </w:tc>
              <w:tc>
                <w:tcPr>
                  <w:tcW w:w="605" w:type="dxa"/>
                  <w:vAlign w:val="center"/>
                </w:tcPr>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约30户</w:t>
                  </w:r>
                </w:p>
              </w:tc>
              <w:tc>
                <w:tcPr>
                  <w:tcW w:w="52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人群</w:t>
                  </w:r>
                </w:p>
              </w:tc>
              <w:tc>
                <w:tcPr>
                  <w:tcW w:w="56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居住</w:t>
                  </w:r>
                </w:p>
              </w:tc>
              <w:tc>
                <w:tcPr>
                  <w:tcW w:w="59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北</w:t>
                  </w:r>
                </w:p>
              </w:tc>
              <w:tc>
                <w:tcPr>
                  <w:tcW w:w="87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约40-50m</w:t>
                  </w:r>
                </w:p>
              </w:tc>
            </w:tr>
          </w:tbl>
          <w:p>
            <w:pPr>
              <w:pStyle w:val="4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auto"/>
              <w:ind w:leftChars="0" w:firstLine="482" w:firstLineChars="200"/>
              <w:jc w:val="both"/>
              <w:textAlignment w:val="auto"/>
              <w:rPr>
                <w:rFonts w:hint="eastAsia" w:ascii="Times New Roman" w:hAnsi="Times New Roman" w:cs="Times New Roman"/>
                <w:b/>
                <w:bCs/>
                <w:color w:val="auto"/>
                <w:sz w:val="24"/>
                <w:szCs w:val="24"/>
                <w:highlight w:val="none"/>
                <w:u w:val="none" w:color="auto"/>
                <w:lang w:val="en-US" w:eastAsia="zh-CN"/>
              </w:rPr>
            </w:pPr>
            <w:r>
              <w:rPr>
                <w:rFonts w:hint="eastAsia" w:ascii="Times New Roman" w:hAnsi="Times New Roman" w:cs="Times New Roman"/>
                <w:b/>
                <w:bCs/>
                <w:color w:val="auto"/>
                <w:sz w:val="24"/>
                <w:szCs w:val="24"/>
                <w:highlight w:val="none"/>
                <w:u w:val="none" w:color="auto"/>
                <w:lang w:val="en-US" w:eastAsia="zh-CN"/>
              </w:rPr>
              <w:t>4、生态环境保护目标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FF0000"/>
                <w:u w:val="none" w:color="auto"/>
                <w:lang w:val="en-US" w:eastAsia="zh-CN"/>
              </w:rPr>
            </w:pPr>
            <w:r>
              <w:rPr>
                <w:rFonts w:hint="eastAsia" w:ascii="Times New Roman" w:hAnsi="Times New Roman" w:cs="Times New Roman"/>
                <w:color w:val="auto"/>
                <w:sz w:val="24"/>
                <w:szCs w:val="24"/>
                <w:u w:val="single" w:color="auto"/>
                <w:lang w:val="en-US" w:eastAsia="zh-CN"/>
              </w:rPr>
              <w:t>本项目生态保护目标主要为周边动植物（主要为常见动植物，无珍稀保护动植物）、耕地；耕地位于项目西南侧130m，该区域位于园区范围内，目前已规划为工业用地。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3" w:hRule="atLeast"/>
          <w:jc w:val="center"/>
        </w:trPr>
        <w:tc>
          <w:tcPr>
            <w:tcW w:w="842" w:type="dxa"/>
            <w:noWrap w:val="0"/>
            <w:vAlign w:val="center"/>
          </w:tcPr>
          <w:p>
            <w:pPr>
              <w:adjustRightInd w:val="0"/>
              <w:snapToGrid w:val="0"/>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评价</w:t>
            </w:r>
          </w:p>
          <w:p>
            <w:pPr>
              <w:adjustRightInd w:val="0"/>
              <w:snapToGrid w:val="0"/>
              <w:jc w:val="center"/>
              <w:rPr>
                <w:rFonts w:hint="default" w:ascii="Times New Roman" w:hAnsi="Times New Roman" w:cs="Times New Roman"/>
                <w:color w:val="FF0000"/>
                <w:kern w:val="0"/>
                <w:szCs w:val="21"/>
                <w:u w:val="none" w:color="auto"/>
              </w:rPr>
            </w:pPr>
            <w:r>
              <w:rPr>
                <w:rFonts w:hint="default" w:ascii="Times New Roman" w:hAnsi="Times New Roman" w:cs="Times New Roman"/>
                <w:color w:val="auto"/>
                <w:kern w:val="0"/>
                <w:sz w:val="21"/>
                <w:szCs w:val="21"/>
                <w:u w:val="none" w:color="auto"/>
              </w:rPr>
              <w:t>标准</w:t>
            </w:r>
          </w:p>
        </w:tc>
        <w:tc>
          <w:tcPr>
            <w:tcW w:w="8315" w:type="dxa"/>
            <w:noWrap w:val="0"/>
            <w:vAlign w:val="center"/>
          </w:tcPr>
          <w:p>
            <w:pPr>
              <w:numPr>
                <w:ilvl w:val="0"/>
                <w:numId w:val="6"/>
              </w:numPr>
              <w:spacing w:line="360" w:lineRule="auto"/>
              <w:jc w:val="left"/>
              <w:rPr>
                <w:rFonts w:hint="default" w:ascii="Times New Roman" w:hAnsi="Times New Roman" w:cs="Times New Roman"/>
                <w:b/>
                <w:bCs/>
                <w:color w:val="auto"/>
                <w:sz w:val="24"/>
                <w:szCs w:val="24"/>
                <w:u w:val="none" w:color="auto"/>
                <w:lang w:val="en-US" w:eastAsia="zh-CN"/>
              </w:rPr>
            </w:pPr>
            <w:r>
              <w:rPr>
                <w:rFonts w:hint="default" w:ascii="Times New Roman" w:hAnsi="Times New Roman" w:cs="Times New Roman"/>
                <w:b/>
                <w:bCs/>
                <w:color w:val="auto"/>
                <w:sz w:val="24"/>
                <w:szCs w:val="24"/>
                <w:u w:val="none" w:color="auto"/>
              </w:rPr>
              <w:t>环境质量标准</w:t>
            </w:r>
          </w:p>
          <w:p>
            <w:pPr>
              <w:numPr>
                <w:ilvl w:val="0"/>
                <w:numId w:val="0"/>
              </w:numPr>
              <w:spacing w:line="360" w:lineRule="auto"/>
              <w:jc w:val="left"/>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1、环境空气质量标准</w:t>
            </w:r>
          </w:p>
          <w:p>
            <w:pPr>
              <w:numPr>
                <w:ilvl w:val="0"/>
                <w:numId w:val="0"/>
              </w:numPr>
              <w:spacing w:line="360" w:lineRule="auto"/>
              <w:ind w:firstLine="420" w:firstLineChars="0"/>
              <w:jc w:val="left"/>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环境空气质量标准：本项目所在区域属于二类环境空气功能区。NO</w:t>
            </w:r>
            <w:r>
              <w:rPr>
                <w:rFonts w:hint="default" w:ascii="Times New Roman" w:hAnsi="Times New Roman" w:cs="Times New Roman"/>
                <w:color w:val="auto"/>
                <w:sz w:val="24"/>
                <w:szCs w:val="24"/>
                <w:u w:val="none" w:color="auto"/>
                <w:vertAlign w:val="subscript"/>
              </w:rPr>
              <w:t>2</w:t>
            </w:r>
            <w:r>
              <w:rPr>
                <w:rFonts w:hint="default" w:ascii="Times New Roman" w:hAnsi="Times New Roman" w:cs="Times New Roman"/>
                <w:color w:val="auto"/>
                <w:sz w:val="24"/>
                <w:szCs w:val="24"/>
                <w:u w:val="none" w:color="auto"/>
              </w:rPr>
              <w:t>、SO</w:t>
            </w:r>
            <w:r>
              <w:rPr>
                <w:rFonts w:hint="default" w:ascii="Times New Roman" w:hAnsi="Times New Roman" w:cs="Times New Roman"/>
                <w:color w:val="auto"/>
                <w:sz w:val="24"/>
                <w:szCs w:val="24"/>
                <w:u w:val="none" w:color="auto"/>
                <w:vertAlign w:val="subscript"/>
              </w:rPr>
              <w:t>2</w:t>
            </w:r>
            <w:r>
              <w:rPr>
                <w:rFonts w:hint="default" w:ascii="Times New Roman" w:hAnsi="Times New Roman" w:cs="Times New Roman"/>
                <w:color w:val="auto"/>
                <w:sz w:val="24"/>
                <w:szCs w:val="24"/>
                <w:u w:val="none" w:color="auto"/>
              </w:rPr>
              <w:t>、PM</w:t>
            </w:r>
            <w:r>
              <w:rPr>
                <w:rFonts w:hint="default" w:ascii="Times New Roman" w:hAnsi="Times New Roman" w:cs="Times New Roman"/>
                <w:color w:val="auto"/>
                <w:sz w:val="24"/>
                <w:szCs w:val="24"/>
                <w:u w:val="none" w:color="auto"/>
                <w:vertAlign w:val="subscript"/>
              </w:rPr>
              <w:t>10</w:t>
            </w:r>
            <w:r>
              <w:rPr>
                <w:rFonts w:hint="default" w:ascii="Times New Roman" w:hAnsi="Times New Roman" w:cs="Times New Roman"/>
                <w:color w:val="auto"/>
                <w:sz w:val="24"/>
                <w:szCs w:val="24"/>
                <w:u w:val="none" w:color="auto"/>
              </w:rPr>
              <w:t>、PM</w:t>
            </w:r>
            <w:r>
              <w:rPr>
                <w:rFonts w:hint="default" w:ascii="Times New Roman" w:hAnsi="Times New Roman" w:cs="Times New Roman"/>
                <w:color w:val="auto"/>
                <w:sz w:val="24"/>
                <w:szCs w:val="24"/>
                <w:u w:val="none" w:color="auto"/>
                <w:vertAlign w:val="subscript"/>
              </w:rPr>
              <w:t>2.5</w:t>
            </w:r>
            <w:r>
              <w:rPr>
                <w:rFonts w:hint="default" w:ascii="Times New Roman" w:hAnsi="Times New Roman" w:cs="Times New Roman"/>
                <w:color w:val="auto"/>
                <w:sz w:val="24"/>
                <w:szCs w:val="24"/>
                <w:u w:val="none" w:color="auto"/>
              </w:rPr>
              <w:t>、O</w:t>
            </w:r>
            <w:r>
              <w:rPr>
                <w:rFonts w:hint="default" w:ascii="Times New Roman" w:hAnsi="Times New Roman" w:cs="Times New Roman"/>
                <w:color w:val="auto"/>
                <w:sz w:val="24"/>
                <w:szCs w:val="24"/>
                <w:u w:val="none" w:color="auto"/>
                <w:vertAlign w:val="subscript"/>
              </w:rPr>
              <w:t>3</w:t>
            </w:r>
            <w:r>
              <w:rPr>
                <w:rFonts w:hint="default" w:ascii="Times New Roman" w:hAnsi="Times New Roman" w:cs="Times New Roman"/>
                <w:color w:val="auto"/>
                <w:sz w:val="24"/>
                <w:szCs w:val="24"/>
                <w:u w:val="none" w:color="auto"/>
              </w:rPr>
              <w:t>、CO执行《环境空气质量标准》（GB3095-2012）及其修改单二级标准。</w:t>
            </w:r>
          </w:p>
          <w:p>
            <w:pPr>
              <w:pStyle w:val="99"/>
              <w:spacing w:line="240" w:lineRule="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表3</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 xml:space="preserve">7  </w:t>
            </w:r>
            <w:r>
              <w:rPr>
                <w:rFonts w:hint="default" w:ascii="Times New Roman" w:hAnsi="Times New Roman" w:eastAsia="宋体" w:cs="Times New Roman"/>
                <w:b/>
                <w:bCs/>
                <w:color w:val="auto"/>
                <w:sz w:val="21"/>
                <w:szCs w:val="21"/>
                <w:u w:val="none" w:color="auto"/>
              </w:rPr>
              <w:t>环境空气质量标准</w:t>
            </w:r>
          </w:p>
          <w:tbl>
            <w:tblPr>
              <w:tblStyle w:val="30"/>
              <w:tblW w:w="8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905"/>
              <w:gridCol w:w="1635"/>
              <w:gridCol w:w="1140"/>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36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污染物名称</w:t>
                  </w: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平均时间</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二级浓度限值</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单位</w:t>
                  </w:r>
                </w:p>
              </w:tc>
              <w:tc>
                <w:tcPr>
                  <w:tcW w:w="1982"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SO</w:t>
                  </w:r>
                  <w:r>
                    <w:rPr>
                      <w:rFonts w:hint="default" w:ascii="Times New Roman" w:hAnsi="Times New Roman" w:eastAsia="宋体" w:cs="Times New Roman"/>
                      <w:color w:val="auto"/>
                      <w:kern w:val="0"/>
                      <w:szCs w:val="21"/>
                      <w:u w:val="none" w:color="auto"/>
                      <w:vertAlign w:val="subscript"/>
                      <w:lang w:eastAsia="zh-CN"/>
                    </w:rPr>
                    <w:t>2</w:t>
                  </w: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年平均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60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restart"/>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《环境空气质量标准》（GB3095-2012）二级标准及其修改单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24小时平均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150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1小时平均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500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NO</w:t>
                  </w:r>
                  <w:r>
                    <w:rPr>
                      <w:rFonts w:hint="default" w:ascii="Times New Roman" w:hAnsi="Times New Roman" w:eastAsia="宋体" w:cs="Times New Roman"/>
                      <w:color w:val="auto"/>
                      <w:kern w:val="0"/>
                      <w:szCs w:val="21"/>
                      <w:u w:val="none" w:color="auto"/>
                      <w:vertAlign w:val="subscript"/>
                      <w:lang w:eastAsia="zh-CN"/>
                    </w:rPr>
                    <w:t>2</w:t>
                  </w: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年平均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40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24小时平均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80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1小时平均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200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CO</w:t>
                  </w: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24小时平均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4</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1小时平均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10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O</w:t>
                  </w:r>
                  <w:r>
                    <w:rPr>
                      <w:rFonts w:hint="default" w:ascii="Times New Roman" w:hAnsi="Times New Roman" w:eastAsia="宋体" w:cs="Times New Roman"/>
                      <w:color w:val="auto"/>
                      <w:kern w:val="0"/>
                      <w:szCs w:val="21"/>
                      <w:u w:val="none" w:color="auto"/>
                      <w:vertAlign w:val="subscript"/>
                      <w:lang w:eastAsia="zh-CN"/>
                    </w:rPr>
                    <w:t>3</w:t>
                  </w: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日最大8小时平均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160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1小时平均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200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PM</w:t>
                  </w:r>
                  <w:r>
                    <w:rPr>
                      <w:rFonts w:hint="default" w:ascii="Times New Roman" w:hAnsi="Times New Roman" w:eastAsia="宋体" w:cs="Times New Roman"/>
                      <w:color w:val="auto"/>
                      <w:kern w:val="0"/>
                      <w:szCs w:val="21"/>
                      <w:u w:val="none" w:color="auto"/>
                      <w:vertAlign w:val="subscript"/>
                      <w:lang w:eastAsia="zh-CN"/>
                    </w:rPr>
                    <w:t>10</w:t>
                  </w: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年平均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70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24小时平均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150</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PM</w:t>
                  </w:r>
                  <w:r>
                    <w:rPr>
                      <w:rFonts w:hint="default" w:ascii="Times New Roman" w:hAnsi="Times New Roman" w:eastAsia="宋体" w:cs="Times New Roman"/>
                      <w:color w:val="auto"/>
                      <w:kern w:val="0"/>
                      <w:szCs w:val="21"/>
                      <w:u w:val="none" w:color="auto"/>
                      <w:vertAlign w:val="subscript"/>
                      <w:lang w:eastAsia="zh-CN"/>
                    </w:rPr>
                    <w:t>2.5</w:t>
                  </w: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年平均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35</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90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24小时平均</w:t>
                  </w:r>
                </w:p>
              </w:tc>
              <w:tc>
                <w:tcPr>
                  <w:tcW w:w="1635"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75</w:t>
                  </w:r>
                </w:p>
              </w:tc>
              <w:tc>
                <w:tcPr>
                  <w:tcW w:w="1140" w:type="dxa"/>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μg/m</w:t>
                  </w:r>
                  <w:r>
                    <w:rPr>
                      <w:rFonts w:hint="default" w:ascii="Times New Roman" w:hAnsi="Times New Roman" w:eastAsia="宋体" w:cs="Times New Roman"/>
                      <w:color w:val="auto"/>
                      <w:kern w:val="0"/>
                      <w:szCs w:val="21"/>
                      <w:u w:val="none" w:color="auto"/>
                      <w:vertAlign w:val="superscript"/>
                      <w:lang w:eastAsia="zh-CN"/>
                    </w:rPr>
                    <w:t>3</w:t>
                  </w:r>
                </w:p>
              </w:tc>
              <w:tc>
                <w:tcPr>
                  <w:tcW w:w="1982" w:type="dxa"/>
                  <w:vMerge w:val="continue"/>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r>
          </w:tbl>
          <w:p>
            <w:pPr>
              <w:numPr>
                <w:ilvl w:val="0"/>
                <w:numId w:val="0"/>
              </w:numPr>
              <w:wordWrap w:val="0"/>
              <w:spacing w:line="360" w:lineRule="auto"/>
              <w:jc w:val="left"/>
              <w:rPr>
                <w:rFonts w:hint="eastAsia"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2、地表水环境质量标准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highlight w:val="none"/>
                <w:u w:val="none" w:color="auto"/>
              </w:rPr>
              <w:t>本项目纳污的地表水体洋沙</w:t>
            </w:r>
            <w:r>
              <w:rPr>
                <w:rFonts w:hint="eastAsia" w:ascii="Times New Roman" w:hAnsi="Times New Roman" w:eastAsia="宋体" w:cs="Times New Roman"/>
                <w:color w:val="auto"/>
                <w:sz w:val="24"/>
                <w:szCs w:val="24"/>
                <w:highlight w:val="none"/>
                <w:u w:val="none" w:color="auto"/>
                <w:lang w:val="en-US" w:eastAsia="zh-CN"/>
              </w:rPr>
              <w:t>河</w:t>
            </w:r>
            <w:r>
              <w:rPr>
                <w:rFonts w:hint="default" w:ascii="Times New Roman" w:hAnsi="Times New Roman" w:eastAsia="宋体" w:cs="Times New Roman"/>
                <w:color w:val="auto"/>
                <w:sz w:val="24"/>
                <w:szCs w:val="24"/>
                <w:highlight w:val="none"/>
                <w:u w:val="none" w:color="auto"/>
              </w:rPr>
              <w:t>执</w:t>
            </w:r>
            <w:r>
              <w:rPr>
                <w:rFonts w:hint="default" w:ascii="Times New Roman" w:hAnsi="Times New Roman" w:cs="Times New Roman"/>
                <w:color w:val="auto"/>
                <w:sz w:val="24"/>
                <w:szCs w:val="24"/>
                <w:highlight w:val="none"/>
                <w:u w:val="none" w:color="auto"/>
              </w:rPr>
              <w:t>行《地表水环境质量标准》(GB3838-2002)中的Ⅳ类水质标准要求。</w:t>
            </w:r>
          </w:p>
          <w:p>
            <w:pPr>
              <w:pStyle w:val="99"/>
              <w:spacing w:line="240" w:lineRule="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表3</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 xml:space="preserve">8  </w:t>
            </w:r>
            <w:r>
              <w:rPr>
                <w:rFonts w:hint="default" w:ascii="Times New Roman" w:hAnsi="Times New Roman" w:eastAsia="宋体" w:cs="Times New Roman"/>
                <w:b/>
                <w:bCs/>
                <w:color w:val="auto"/>
                <w:sz w:val="21"/>
                <w:szCs w:val="21"/>
                <w:u w:val="none" w:color="auto"/>
              </w:rPr>
              <w:t>地表水环境质量标准</w:t>
            </w:r>
          </w:p>
          <w:tbl>
            <w:tblPr>
              <w:tblStyle w:val="30"/>
              <w:tblW w:w="806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82"/>
              <w:gridCol w:w="1549"/>
              <w:gridCol w:w="29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397" w:hRule="atLeast"/>
                <w:tblHeader/>
                <w:jc w:val="center"/>
              </w:trPr>
              <w:tc>
                <w:tcPr>
                  <w:tcW w:w="35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项目名称</w:t>
                  </w:r>
                </w:p>
              </w:tc>
              <w:tc>
                <w:tcPr>
                  <w:tcW w:w="154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单位</w:t>
                  </w:r>
                </w:p>
              </w:tc>
              <w:tc>
                <w:tcPr>
                  <w:tcW w:w="29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GB3838-2002</w:t>
                  </w:r>
                  <w:r>
                    <w:rPr>
                      <w:rFonts w:hint="eastAsia" w:ascii="Times New Roman" w:hAnsi="Times New Roman" w:cs="Times New Roman"/>
                      <w:color w:val="auto"/>
                      <w:kern w:val="0"/>
                      <w:szCs w:val="21"/>
                      <w:u w:val="none" w:color="auto"/>
                      <w:lang w:val="en-US" w:eastAsia="zh-CN"/>
                    </w:rPr>
                    <w:t xml:space="preserve">  </w:t>
                  </w:r>
                  <w:r>
                    <w:rPr>
                      <w:rFonts w:hint="default" w:ascii="Times New Roman" w:hAnsi="Times New Roman" w:eastAsia="宋体" w:cs="Times New Roman"/>
                      <w:color w:val="auto"/>
                      <w:kern w:val="0"/>
                      <w:szCs w:val="21"/>
                      <w:u w:val="none" w:color="auto"/>
                      <w:lang w:eastAsia="zh-CN"/>
                    </w:rPr>
                    <w:t>Ⅳ类标准值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397" w:hRule="atLeast"/>
                <w:jc w:val="center"/>
              </w:trPr>
              <w:tc>
                <w:tcPr>
                  <w:tcW w:w="35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pH值</w:t>
                  </w:r>
                </w:p>
              </w:tc>
              <w:tc>
                <w:tcPr>
                  <w:tcW w:w="154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无量纲</w:t>
                  </w:r>
                </w:p>
              </w:tc>
              <w:tc>
                <w:tcPr>
                  <w:tcW w:w="29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397" w:hRule="atLeast"/>
                <w:jc w:val="center"/>
              </w:trPr>
              <w:tc>
                <w:tcPr>
                  <w:tcW w:w="35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化学需氧量</w:t>
                  </w:r>
                </w:p>
              </w:tc>
              <w:tc>
                <w:tcPr>
                  <w:tcW w:w="154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mg/L</w:t>
                  </w:r>
                </w:p>
              </w:tc>
              <w:tc>
                <w:tcPr>
                  <w:tcW w:w="29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default" w:ascii="Times New Roman" w:hAnsi="Times New Roman" w:eastAsia="宋体" w:cs="Times New Roman"/>
                      <w:color w:val="auto"/>
                      <w:kern w:val="0"/>
                      <w:szCs w:val="21"/>
                      <w:u w:val="none" w:color="auto"/>
                      <w:lang w:eastAsia="zh-CN"/>
                    </w:rPr>
                    <w:t>≤</w:t>
                  </w:r>
                  <w:r>
                    <w:rPr>
                      <w:rFonts w:hint="eastAsia" w:ascii="Times New Roman" w:hAnsi="Times New Roman" w:cs="Times New Roman"/>
                      <w:color w:val="auto"/>
                      <w:kern w:val="0"/>
                      <w:szCs w:val="21"/>
                      <w:u w:val="none" w:color="auto"/>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397" w:hRule="atLeast"/>
                <w:jc w:val="center"/>
              </w:trPr>
              <w:tc>
                <w:tcPr>
                  <w:tcW w:w="35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五日生化需氧量</w:t>
                  </w:r>
                </w:p>
              </w:tc>
              <w:tc>
                <w:tcPr>
                  <w:tcW w:w="154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mg/L</w:t>
                  </w:r>
                </w:p>
              </w:tc>
              <w:tc>
                <w:tcPr>
                  <w:tcW w:w="29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w:t>
                  </w:r>
                  <w:r>
                    <w:rPr>
                      <w:rFonts w:hint="eastAsia" w:ascii="Times New Roman" w:hAnsi="Times New Roman" w:cs="Times New Roman"/>
                      <w:color w:val="auto"/>
                      <w:kern w:val="0"/>
                      <w:szCs w:val="21"/>
                      <w:u w:val="none" w:color="auto"/>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397" w:hRule="atLeast"/>
                <w:jc w:val="center"/>
              </w:trPr>
              <w:tc>
                <w:tcPr>
                  <w:tcW w:w="35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氨氮</w:t>
                  </w:r>
                </w:p>
              </w:tc>
              <w:tc>
                <w:tcPr>
                  <w:tcW w:w="154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mg/L</w:t>
                  </w:r>
                </w:p>
              </w:tc>
              <w:tc>
                <w:tcPr>
                  <w:tcW w:w="29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default" w:ascii="Times New Roman" w:hAnsi="Times New Roman" w:eastAsia="宋体" w:cs="Times New Roman"/>
                      <w:color w:val="auto"/>
                      <w:kern w:val="0"/>
                      <w:szCs w:val="21"/>
                      <w:u w:val="none" w:color="auto"/>
                      <w:lang w:eastAsia="zh-CN"/>
                    </w:rPr>
                    <w:t>≤1.</w:t>
                  </w:r>
                  <w:r>
                    <w:rPr>
                      <w:rFonts w:hint="eastAsia" w:ascii="Times New Roman" w:hAnsi="Times New Roman" w:cs="Times New Roman"/>
                      <w:color w:val="auto"/>
                      <w:kern w:val="0"/>
                      <w:szCs w:val="21"/>
                      <w:u w:val="none" w:color="auto"/>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397" w:hRule="atLeast"/>
                <w:jc w:val="center"/>
              </w:trPr>
              <w:tc>
                <w:tcPr>
                  <w:tcW w:w="35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TP</w:t>
                  </w:r>
                </w:p>
              </w:tc>
              <w:tc>
                <w:tcPr>
                  <w:tcW w:w="154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mg/L</w:t>
                  </w:r>
                </w:p>
              </w:tc>
              <w:tc>
                <w:tcPr>
                  <w:tcW w:w="29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default" w:ascii="Times New Roman" w:hAnsi="Times New Roman" w:eastAsia="宋体" w:cs="Times New Roman"/>
                      <w:color w:val="auto"/>
                      <w:kern w:val="0"/>
                      <w:szCs w:val="21"/>
                      <w:u w:val="none" w:color="auto"/>
                      <w:lang w:eastAsia="zh-CN"/>
                    </w:rPr>
                    <w:t>≤0</w:t>
                  </w:r>
                  <w:r>
                    <w:rPr>
                      <w:rFonts w:hint="eastAsia" w:ascii="Times New Roman" w:hAnsi="Times New Roman" w:cs="Times New Roman"/>
                      <w:color w:val="auto"/>
                      <w:kern w:val="0"/>
                      <w:szCs w:val="21"/>
                      <w:u w:val="none" w:color="auto"/>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397" w:hRule="atLeast"/>
                <w:jc w:val="center"/>
              </w:trPr>
              <w:tc>
                <w:tcPr>
                  <w:tcW w:w="35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kern w:val="0"/>
                      <w:sz w:val="21"/>
                      <w:szCs w:val="21"/>
                      <w:u w:val="none" w:color="auto"/>
                      <w:lang w:val="en-US" w:eastAsia="zh-CN" w:bidi="ar-SA"/>
                    </w:rPr>
                    <w:t>TN</w:t>
                  </w:r>
                </w:p>
              </w:tc>
              <w:tc>
                <w:tcPr>
                  <w:tcW w:w="154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Cs w:val="21"/>
                      <w:u w:val="none" w:color="auto"/>
                      <w:lang w:eastAsia="zh-CN"/>
                    </w:rPr>
                    <w:t>mg/L</w:t>
                  </w:r>
                </w:p>
              </w:tc>
              <w:tc>
                <w:tcPr>
                  <w:tcW w:w="29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Cs w:val="21"/>
                      <w:u w:val="none" w:color="auto"/>
                      <w:lang w:eastAsia="zh-CN"/>
                    </w:rPr>
                    <w:t>≤1.</w:t>
                  </w:r>
                  <w:r>
                    <w:rPr>
                      <w:rFonts w:hint="eastAsia" w:ascii="Times New Roman" w:hAnsi="Times New Roman" w:cs="Times New Roman"/>
                      <w:color w:val="auto"/>
                      <w:kern w:val="0"/>
                      <w:szCs w:val="21"/>
                      <w:u w:val="none" w:color="auto"/>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397" w:hRule="atLeast"/>
                <w:jc w:val="center"/>
              </w:trPr>
              <w:tc>
                <w:tcPr>
                  <w:tcW w:w="35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粪大肠菌群（个/L）</w:t>
                  </w:r>
                </w:p>
              </w:tc>
              <w:tc>
                <w:tcPr>
                  <w:tcW w:w="154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kern w:val="0"/>
                      <w:szCs w:val="21"/>
                      <w:u w:val="none" w:color="auto"/>
                      <w:lang w:val="en-US" w:eastAsia="zh-CN"/>
                    </w:rPr>
                    <w:t>个</w:t>
                  </w:r>
                  <w:r>
                    <w:rPr>
                      <w:rFonts w:hint="default" w:ascii="Times New Roman" w:hAnsi="Times New Roman" w:eastAsia="宋体" w:cs="Times New Roman"/>
                      <w:color w:val="auto"/>
                      <w:kern w:val="0"/>
                      <w:szCs w:val="21"/>
                      <w:u w:val="none" w:color="auto"/>
                      <w:lang w:eastAsia="zh-CN"/>
                    </w:rPr>
                    <w:t>/L</w:t>
                  </w:r>
                </w:p>
              </w:tc>
              <w:tc>
                <w:tcPr>
                  <w:tcW w:w="2935"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Cs w:val="21"/>
                      <w:u w:val="none" w:color="auto"/>
                      <w:lang w:eastAsia="zh-CN"/>
                    </w:rPr>
                    <w:t>≤</w:t>
                  </w:r>
                  <w:r>
                    <w:rPr>
                      <w:rFonts w:hint="eastAsia" w:ascii="Times New Roman" w:hAnsi="Times New Roman" w:cs="Times New Roman"/>
                      <w:color w:val="auto"/>
                      <w:kern w:val="0"/>
                      <w:szCs w:val="21"/>
                      <w:u w:val="none" w:color="auto"/>
                      <w:lang w:val="en-US" w:eastAsia="zh-CN"/>
                    </w:rPr>
                    <w:t>20000</w:t>
                  </w:r>
                </w:p>
              </w:tc>
            </w:tr>
          </w:tbl>
          <w:p>
            <w:pPr>
              <w:wordWrap w:val="0"/>
              <w:spacing w:line="360" w:lineRule="auto"/>
              <w:ind w:firstLine="420"/>
              <w:jc w:val="left"/>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声环境质量标准：执行《声环境质量标准》（GB3096-2008）</w:t>
            </w:r>
            <w:r>
              <w:rPr>
                <w:rFonts w:hint="eastAsia" w:ascii="Times New Roman" w:hAnsi="Times New Roman" w:cs="Times New Roman"/>
                <w:color w:val="auto"/>
                <w:sz w:val="24"/>
                <w:szCs w:val="24"/>
                <w:u w:val="none" w:color="auto"/>
                <w:lang w:val="en-US" w:eastAsia="zh-CN"/>
              </w:rPr>
              <w:t>3</w:t>
            </w:r>
            <w:r>
              <w:rPr>
                <w:rFonts w:hint="default" w:ascii="Times New Roman" w:hAnsi="Times New Roman" w:cs="Times New Roman"/>
                <w:color w:val="auto"/>
                <w:sz w:val="24"/>
                <w:szCs w:val="24"/>
                <w:u w:val="none" w:color="auto"/>
              </w:rPr>
              <w:t>类标准</w:t>
            </w:r>
            <w:r>
              <w:rPr>
                <w:rFonts w:hint="eastAsia" w:ascii="Times New Roman" w:hAnsi="Times New Roman" w:cs="Times New Roman"/>
                <w:color w:val="auto"/>
                <w:sz w:val="24"/>
                <w:szCs w:val="24"/>
                <w:u w:val="none" w:color="auto"/>
                <w:lang w:val="en-US" w:eastAsia="zh-CN"/>
              </w:rPr>
              <w:t>及4a类标准；居民区执行</w:t>
            </w:r>
            <w:r>
              <w:rPr>
                <w:rFonts w:hint="default" w:ascii="Times New Roman" w:hAnsi="Times New Roman" w:cs="Times New Roman"/>
                <w:color w:val="auto"/>
                <w:sz w:val="24"/>
                <w:szCs w:val="24"/>
                <w:u w:val="none" w:color="auto"/>
              </w:rPr>
              <w:t>《声环境质量标准》（GB3096-2008）</w:t>
            </w:r>
            <w:r>
              <w:rPr>
                <w:rFonts w:hint="eastAsia" w:ascii="Times New Roman" w:hAnsi="Times New Roman" w:cs="Times New Roman"/>
                <w:color w:val="auto"/>
                <w:sz w:val="24"/>
                <w:szCs w:val="24"/>
                <w:u w:val="none" w:color="auto"/>
                <w:lang w:val="en-US" w:eastAsia="zh-CN"/>
              </w:rPr>
              <w:t>2类、4a类标准</w:t>
            </w:r>
            <w:r>
              <w:rPr>
                <w:rFonts w:hint="default" w:ascii="Times New Roman" w:hAnsi="Times New Roman" w:cs="Times New Roman"/>
                <w:color w:val="auto"/>
                <w:sz w:val="24"/>
                <w:szCs w:val="24"/>
                <w:u w:val="none" w:color="auto"/>
              </w:rPr>
              <w:t>。</w:t>
            </w:r>
          </w:p>
          <w:p>
            <w:pPr>
              <w:pStyle w:val="99"/>
              <w:spacing w:line="240" w:lineRule="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表3</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 xml:space="preserve">9  </w:t>
            </w:r>
            <w:r>
              <w:rPr>
                <w:rFonts w:hint="default" w:ascii="Times New Roman" w:hAnsi="Times New Roman" w:eastAsia="宋体" w:cs="Times New Roman"/>
                <w:b/>
                <w:bCs/>
                <w:color w:val="auto"/>
                <w:sz w:val="21"/>
                <w:szCs w:val="21"/>
                <w:u w:val="none" w:color="auto"/>
              </w:rPr>
              <w:t>声环境质量标准（等效声级LAeq：dB）</w:t>
            </w:r>
          </w:p>
          <w:tbl>
            <w:tblPr>
              <w:tblStyle w:val="30"/>
              <w:tblW w:w="800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88"/>
              <w:gridCol w:w="2660"/>
              <w:gridCol w:w="265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68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类别</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昼间</w:t>
                  </w:r>
                </w:p>
              </w:tc>
              <w:tc>
                <w:tcPr>
                  <w:tcW w:w="265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r>
                    <w:rPr>
                      <w:rFonts w:hint="default" w:ascii="Times New Roman" w:hAnsi="Times New Roman" w:eastAsia="宋体" w:cs="Times New Roman"/>
                      <w:color w:val="auto"/>
                      <w:kern w:val="0"/>
                      <w:szCs w:val="21"/>
                      <w:u w:val="none" w:color="auto"/>
                      <w:lang w:eastAsia="zh-CN"/>
                    </w:rPr>
                    <w:t>夜间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268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2类</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60</w:t>
                  </w:r>
                </w:p>
              </w:tc>
              <w:tc>
                <w:tcPr>
                  <w:tcW w:w="265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68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kern w:val="0"/>
                      <w:szCs w:val="21"/>
                      <w:u w:val="none" w:color="auto"/>
                      <w:lang w:val="en-US" w:eastAsia="zh-CN"/>
                    </w:rPr>
                    <w:t>3</w:t>
                  </w:r>
                  <w:r>
                    <w:rPr>
                      <w:rFonts w:hint="default" w:ascii="Times New Roman" w:hAnsi="Times New Roman" w:eastAsia="宋体" w:cs="Times New Roman"/>
                      <w:color w:val="auto"/>
                      <w:kern w:val="0"/>
                      <w:szCs w:val="21"/>
                      <w:u w:val="none" w:color="auto"/>
                      <w:lang w:eastAsia="zh-CN"/>
                    </w:rPr>
                    <w:t>类</w:t>
                  </w:r>
                </w:p>
              </w:tc>
              <w:tc>
                <w:tcPr>
                  <w:tcW w:w="26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kern w:val="0"/>
                      <w:szCs w:val="21"/>
                      <w:u w:val="none" w:color="auto"/>
                      <w:lang w:val="en-US" w:eastAsia="zh-CN"/>
                    </w:rPr>
                    <w:t>65</w:t>
                  </w:r>
                </w:p>
              </w:tc>
              <w:tc>
                <w:tcPr>
                  <w:tcW w:w="26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cs="Times New Roman"/>
                      <w:color w:val="auto"/>
                      <w:kern w:val="0"/>
                      <w:szCs w:val="21"/>
                      <w:u w:val="none" w:color="auto"/>
                      <w:lang w:val="en-US" w:eastAsia="zh-CN"/>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68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4a类</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70</w:t>
                  </w:r>
                </w:p>
              </w:tc>
              <w:tc>
                <w:tcPr>
                  <w:tcW w:w="265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55</w:t>
                  </w:r>
                </w:p>
              </w:tc>
            </w:tr>
          </w:tbl>
          <w:p>
            <w:pPr>
              <w:spacing w:line="360" w:lineRule="auto"/>
              <w:jc w:val="left"/>
              <w:rPr>
                <w:rFonts w:hint="default" w:ascii="Times New Roman" w:hAnsi="Times New Roman" w:cs="Times New Roman"/>
                <w:b/>
                <w:bCs/>
                <w:color w:val="auto"/>
                <w:sz w:val="24"/>
                <w:szCs w:val="24"/>
                <w:u w:val="none" w:color="auto"/>
              </w:rPr>
            </w:pPr>
            <w:r>
              <w:rPr>
                <w:rFonts w:hint="eastAsia" w:ascii="Times New Roman" w:hAnsi="Times New Roman" w:cs="Times New Roman"/>
                <w:b/>
                <w:bCs/>
                <w:color w:val="auto"/>
                <w:sz w:val="24"/>
                <w:szCs w:val="24"/>
                <w:u w:val="none" w:color="auto"/>
                <w:lang w:eastAsia="zh-CN"/>
              </w:rPr>
              <w:t>（</w:t>
            </w:r>
            <w:r>
              <w:rPr>
                <w:rFonts w:hint="eastAsia" w:ascii="Times New Roman" w:hAnsi="Times New Roman" w:cs="Times New Roman"/>
                <w:b/>
                <w:bCs/>
                <w:color w:val="auto"/>
                <w:sz w:val="24"/>
                <w:szCs w:val="24"/>
                <w:u w:val="none" w:color="auto"/>
                <w:lang w:val="en-US" w:eastAsia="zh-CN"/>
              </w:rPr>
              <w:t>二</w:t>
            </w:r>
            <w:r>
              <w:rPr>
                <w:rFonts w:hint="eastAsia" w:ascii="Times New Roman" w:hAnsi="Times New Roman" w:cs="Times New Roman"/>
                <w:b/>
                <w:bCs/>
                <w:color w:val="auto"/>
                <w:sz w:val="24"/>
                <w:szCs w:val="24"/>
                <w:u w:val="none" w:color="auto"/>
                <w:lang w:eastAsia="zh-CN"/>
              </w:rPr>
              <w:t>）</w:t>
            </w:r>
            <w:r>
              <w:rPr>
                <w:rFonts w:hint="default" w:ascii="Times New Roman" w:hAnsi="Times New Roman" w:cs="Times New Roman"/>
                <w:b/>
                <w:bCs/>
                <w:color w:val="auto"/>
                <w:sz w:val="24"/>
                <w:szCs w:val="24"/>
                <w:u w:val="none" w:color="auto"/>
              </w:rPr>
              <w:t>污染物排放标准</w:t>
            </w:r>
          </w:p>
          <w:p>
            <w:pPr>
              <w:numPr>
                <w:ilvl w:val="0"/>
                <w:numId w:val="0"/>
              </w:numPr>
              <w:spacing w:line="360" w:lineRule="auto"/>
              <w:rPr>
                <w:rFonts w:hint="eastAsia"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1、废水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pPr>
            <w:r>
              <w:rPr>
                <w:rFonts w:hint="eastAsia" w:ascii="Times New Roman" w:hAnsi="Times New Roman" w:cs="Times New Roman"/>
                <w:color w:val="auto"/>
                <w:sz w:val="24"/>
                <w:szCs w:val="24"/>
                <w:u w:val="none" w:color="auto"/>
                <w:lang w:val="en-US" w:eastAsia="zh-CN"/>
              </w:rPr>
              <w:t>项目废水满足湘阴县第三污水处理厂接管水质要求和《污水综合排放标准》（</w:t>
            </w:r>
            <w:r>
              <w:rPr>
                <w:rFonts w:hint="default" w:ascii="Times New Roman" w:hAnsi="Times New Roman" w:cs="Times New Roman"/>
                <w:color w:val="auto"/>
                <w:sz w:val="24"/>
                <w:szCs w:val="24"/>
                <w:u w:val="none" w:color="auto"/>
                <w:lang w:val="en-US" w:eastAsia="zh-CN"/>
              </w:rPr>
              <w:t>GB8978-1996</w:t>
            </w:r>
            <w:r>
              <w:rPr>
                <w:rFonts w:hint="eastAsia" w:ascii="Times New Roman" w:hAnsi="Times New Roman" w:cs="Times New Roman"/>
                <w:color w:val="auto"/>
                <w:sz w:val="24"/>
                <w:szCs w:val="24"/>
                <w:u w:val="none" w:color="auto"/>
                <w:lang w:val="en-US" w:eastAsia="zh-CN"/>
              </w:rPr>
              <w:t>）表</w:t>
            </w:r>
            <w:r>
              <w:rPr>
                <w:rFonts w:hint="default" w:ascii="Times New Roman" w:hAnsi="Times New Roman" w:cs="Times New Roman"/>
                <w:color w:val="auto"/>
                <w:sz w:val="24"/>
                <w:szCs w:val="24"/>
                <w:u w:val="none" w:color="auto"/>
                <w:lang w:val="en-US" w:eastAsia="zh-CN"/>
              </w:rPr>
              <w:t>4</w:t>
            </w:r>
            <w:r>
              <w:rPr>
                <w:rFonts w:hint="eastAsia" w:ascii="Times New Roman" w:hAnsi="Times New Roman" w:cs="Times New Roman"/>
                <w:color w:val="auto"/>
                <w:sz w:val="24"/>
                <w:szCs w:val="24"/>
                <w:u w:val="none" w:color="auto"/>
                <w:lang w:val="en-US" w:eastAsia="zh-CN"/>
              </w:rPr>
              <w:t>三级标准；详见表</w:t>
            </w:r>
            <w:r>
              <w:rPr>
                <w:rFonts w:hint="default" w:ascii="Times New Roman" w:hAnsi="Times New Roman" w:cs="Times New Roman"/>
                <w:color w:val="auto"/>
                <w:sz w:val="24"/>
                <w:szCs w:val="24"/>
                <w:u w:val="none" w:color="auto"/>
                <w:lang w:val="en-US" w:eastAsia="zh-CN"/>
              </w:rPr>
              <w:t>3-</w:t>
            </w:r>
            <w:r>
              <w:rPr>
                <w:rFonts w:hint="eastAsia" w:ascii="Times New Roman" w:hAnsi="Times New Roman" w:cs="Times New Roman"/>
                <w:color w:val="auto"/>
                <w:sz w:val="24"/>
                <w:szCs w:val="24"/>
                <w:u w:val="none" w:color="auto"/>
                <w:lang w:val="en-US" w:eastAsia="zh-CN"/>
              </w:rPr>
              <w:t>10；</w:t>
            </w:r>
          </w:p>
          <w:p>
            <w:pPr>
              <w:pStyle w:val="99"/>
              <w:spacing w:line="240" w:lineRule="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表3</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10  废水排放标准</w:t>
            </w:r>
            <w:r>
              <w:rPr>
                <w:rFonts w:hint="default" w:ascii="Times New Roman" w:hAnsi="Times New Roman" w:eastAsia="宋体" w:cs="Times New Roman"/>
                <w:b/>
                <w:bCs/>
                <w:color w:val="auto"/>
                <w:sz w:val="21"/>
                <w:szCs w:val="21"/>
                <w:u w:val="none" w:color="auto"/>
              </w:rPr>
              <w:t>（</w:t>
            </w:r>
            <w:r>
              <w:rPr>
                <w:rFonts w:hint="eastAsia" w:ascii="Times New Roman" w:hAnsi="Times New Roman" w:eastAsia="宋体" w:cs="Times New Roman"/>
                <w:b/>
                <w:bCs/>
                <w:color w:val="auto"/>
                <w:sz w:val="21"/>
                <w:szCs w:val="21"/>
                <w:u w:val="none" w:color="auto"/>
                <w:lang w:val="en-US" w:eastAsia="zh-CN"/>
              </w:rPr>
              <w:t>单位：mg/L，除pH外</w:t>
            </w:r>
            <w:r>
              <w:rPr>
                <w:rFonts w:hint="default" w:ascii="Times New Roman" w:hAnsi="Times New Roman" w:eastAsia="宋体" w:cs="Times New Roman"/>
                <w:b/>
                <w:bCs/>
                <w:color w:val="auto"/>
                <w:sz w:val="21"/>
                <w:szCs w:val="21"/>
                <w:u w:val="none" w:color="auto"/>
              </w:rPr>
              <w:t>）</w:t>
            </w:r>
          </w:p>
          <w:tbl>
            <w:tblPr>
              <w:tblStyle w:val="30"/>
              <w:tblW w:w="8064"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26"/>
              <w:gridCol w:w="1611"/>
              <w:gridCol w:w="1609"/>
              <w:gridCol w:w="1609"/>
              <w:gridCol w:w="160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2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污染源</w:t>
                  </w:r>
                </w:p>
              </w:tc>
              <w:tc>
                <w:tcPr>
                  <w:tcW w:w="16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污染因子</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综合三级标准</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污水厂接管标准</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执行标准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26" w:type="dxa"/>
                  <w:vMerge w:val="restart"/>
                  <w:tcBorders>
                    <w:top w:val="single" w:color="auto" w:sz="4" w:space="0"/>
                    <w:left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生活废水</w:t>
                  </w:r>
                </w:p>
              </w:tc>
              <w:tc>
                <w:tcPr>
                  <w:tcW w:w="16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lang w:val="en-US" w:eastAsia="zh-CN"/>
                    </w:rPr>
                  </w:pPr>
                  <w:r>
                    <w:rPr>
                      <w:rFonts w:hint="eastAsia" w:ascii="Times New Roman" w:hAnsi="Times New Roman" w:cs="Times New Roman"/>
                      <w:color w:val="auto"/>
                      <w:kern w:val="0"/>
                      <w:szCs w:val="21"/>
                      <w:u w:val="none" w:color="auto"/>
                      <w:lang w:val="en-US" w:eastAsia="zh-CN"/>
                    </w:rPr>
                    <w:t>pH</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6-9</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6-9</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26" w:type="dxa"/>
                  <w:vMerge w:val="continue"/>
                  <w:tcBorders>
                    <w:left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6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COD</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500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500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26" w:type="dxa"/>
                  <w:vMerge w:val="continue"/>
                  <w:tcBorders>
                    <w:left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6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BOD</w:t>
                  </w:r>
                  <w:r>
                    <w:rPr>
                      <w:rFonts w:hint="eastAsia" w:ascii="Times New Roman" w:hAnsi="Times New Roman" w:cs="Times New Roman"/>
                      <w:color w:val="auto"/>
                      <w:kern w:val="0"/>
                      <w:szCs w:val="21"/>
                      <w:u w:val="none" w:color="auto"/>
                      <w:vertAlign w:val="subscript"/>
                      <w:lang w:val="en-US" w:eastAsia="zh-CN"/>
                    </w:rPr>
                    <w:t>5</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300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180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180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26" w:type="dxa"/>
                  <w:vMerge w:val="continue"/>
                  <w:tcBorders>
                    <w:left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6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氨氮</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30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26" w:type="dxa"/>
                  <w:vMerge w:val="continue"/>
                  <w:tcBorders>
                    <w:left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6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动植物油</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100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100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26" w:type="dxa"/>
                  <w:vMerge w:val="continue"/>
                  <w:tcBorders>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eastAsia="zh-CN"/>
                    </w:rPr>
                  </w:pPr>
                </w:p>
              </w:tc>
              <w:tc>
                <w:tcPr>
                  <w:tcW w:w="16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SS</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400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220</w:t>
                  </w:r>
                </w:p>
              </w:tc>
              <w:tc>
                <w:tcPr>
                  <w:tcW w:w="160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220</w:t>
                  </w:r>
                </w:p>
              </w:tc>
            </w:tr>
          </w:tbl>
          <w:p>
            <w:pPr>
              <w:numPr>
                <w:ilvl w:val="0"/>
                <w:numId w:val="0"/>
              </w:numPr>
              <w:spacing w:line="360" w:lineRule="auto"/>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2、废气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u w:val="none" w:color="auto"/>
                <w:lang w:val="en-US" w:eastAsia="zh-CN"/>
              </w:rPr>
            </w:pPr>
            <w:r>
              <w:rPr>
                <w:rFonts w:hint="eastAsia" w:ascii="Times New Roman" w:hAnsi="Times New Roman" w:cs="Times New Roman"/>
                <w:color w:val="auto"/>
                <w:sz w:val="24"/>
                <w:szCs w:val="24"/>
                <w:u w:val="none" w:color="auto"/>
                <w:lang w:val="en-US" w:eastAsia="zh-CN"/>
              </w:rPr>
              <w:t>施工期废气执行《大气污染物综合排放标准》（GB16297-1996）中的无组织标准。</w:t>
            </w:r>
          </w:p>
          <w:p>
            <w:pPr>
              <w:pStyle w:val="99"/>
              <w:spacing w:line="240" w:lineRule="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表3</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11  大气污染物综合排放标准</w:t>
            </w:r>
            <w:r>
              <w:rPr>
                <w:rFonts w:hint="default" w:ascii="Times New Roman" w:hAnsi="Times New Roman" w:eastAsia="宋体" w:cs="Times New Roman"/>
                <w:b/>
                <w:bCs/>
                <w:color w:val="auto"/>
                <w:sz w:val="21"/>
                <w:szCs w:val="21"/>
                <w:u w:val="none" w:color="auto"/>
              </w:rPr>
              <w:t>（</w:t>
            </w:r>
            <w:r>
              <w:rPr>
                <w:rFonts w:hint="eastAsia" w:ascii="Times New Roman" w:hAnsi="Times New Roman" w:eastAsia="宋体" w:cs="Times New Roman"/>
                <w:b/>
                <w:bCs/>
                <w:color w:val="auto"/>
                <w:sz w:val="21"/>
                <w:szCs w:val="21"/>
                <w:u w:val="none" w:color="auto"/>
                <w:lang w:val="en-US" w:eastAsia="zh-CN"/>
              </w:rPr>
              <w:t>单位：mg/m</w:t>
            </w:r>
            <w:r>
              <w:rPr>
                <w:rFonts w:hint="eastAsia" w:ascii="Times New Roman" w:hAnsi="Times New Roman" w:eastAsia="宋体" w:cs="Times New Roman"/>
                <w:b/>
                <w:bCs/>
                <w:color w:val="auto"/>
                <w:sz w:val="21"/>
                <w:szCs w:val="21"/>
                <w:u w:val="none" w:color="auto"/>
                <w:vertAlign w:val="superscript"/>
                <w:lang w:val="en-US" w:eastAsia="zh-CN"/>
              </w:rPr>
              <w:t>3</w:t>
            </w:r>
            <w:r>
              <w:rPr>
                <w:rFonts w:hint="default" w:ascii="Times New Roman" w:hAnsi="Times New Roman" w:eastAsia="宋体" w:cs="Times New Roman"/>
                <w:b/>
                <w:bCs/>
                <w:color w:val="auto"/>
                <w:sz w:val="21"/>
                <w:szCs w:val="21"/>
                <w:u w:val="none" w:color="auto"/>
              </w:rPr>
              <w:t>）</w:t>
            </w:r>
          </w:p>
          <w:tbl>
            <w:tblPr>
              <w:tblStyle w:val="30"/>
              <w:tblW w:w="798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24"/>
              <w:gridCol w:w="2499"/>
              <w:gridCol w:w="405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2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序号</w:t>
                  </w:r>
                </w:p>
              </w:tc>
              <w:tc>
                <w:tcPr>
                  <w:tcW w:w="249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污染物</w:t>
                  </w:r>
                </w:p>
              </w:tc>
              <w:tc>
                <w:tcPr>
                  <w:tcW w:w="405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default" w:ascii="Times New Roman" w:hAnsi="Times New Roman" w:eastAsia="宋体" w:cs="Times New Roman"/>
                      <w:color w:val="auto"/>
                      <w:kern w:val="0"/>
                      <w:szCs w:val="21"/>
                      <w:u w:val="none" w:color="auto"/>
                      <w:lang w:val="en-US" w:eastAsia="zh-CN"/>
                    </w:rPr>
                    <w:t>无组织排放监控浓度限值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2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lang w:val="en-US" w:eastAsia="zh-CN"/>
                    </w:rPr>
                  </w:pPr>
                  <w:r>
                    <w:rPr>
                      <w:rFonts w:hint="eastAsia"/>
                      <w:lang w:val="en-US" w:eastAsia="zh-CN"/>
                    </w:rPr>
                    <w:t>1</w:t>
                  </w:r>
                </w:p>
              </w:tc>
              <w:tc>
                <w:tcPr>
                  <w:tcW w:w="249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lang w:val="en-US" w:eastAsia="zh-CN"/>
                    </w:rPr>
                  </w:pPr>
                  <w:r>
                    <w:rPr>
                      <w:rFonts w:hint="eastAsia" w:ascii="Times New Roman" w:hAnsi="Times New Roman" w:cs="Times New Roman"/>
                      <w:color w:val="auto"/>
                      <w:kern w:val="0"/>
                      <w:szCs w:val="21"/>
                      <w:u w:val="none" w:color="auto"/>
                      <w:lang w:val="en-US" w:eastAsia="zh-CN"/>
                    </w:rPr>
                    <w:t>SO</w:t>
                  </w:r>
                  <w:r>
                    <w:rPr>
                      <w:rFonts w:hint="eastAsia" w:ascii="Times New Roman" w:hAnsi="Times New Roman" w:cs="Times New Roman"/>
                      <w:color w:val="auto"/>
                      <w:kern w:val="0"/>
                      <w:szCs w:val="21"/>
                      <w:u w:val="none" w:color="auto"/>
                      <w:vertAlign w:val="subscript"/>
                      <w:lang w:val="en-US" w:eastAsia="zh-CN"/>
                    </w:rPr>
                    <w:t>2</w:t>
                  </w:r>
                </w:p>
              </w:tc>
              <w:tc>
                <w:tcPr>
                  <w:tcW w:w="405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2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2</w:t>
                  </w:r>
                </w:p>
              </w:tc>
              <w:tc>
                <w:tcPr>
                  <w:tcW w:w="249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NOx</w:t>
                  </w:r>
                </w:p>
              </w:tc>
              <w:tc>
                <w:tcPr>
                  <w:tcW w:w="405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0.12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42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3</w:t>
                  </w:r>
                </w:p>
              </w:tc>
              <w:tc>
                <w:tcPr>
                  <w:tcW w:w="249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颗粒物</w:t>
                  </w:r>
                </w:p>
              </w:tc>
              <w:tc>
                <w:tcPr>
                  <w:tcW w:w="4059"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1.0</w:t>
                  </w:r>
                </w:p>
              </w:tc>
            </w:tr>
          </w:tbl>
          <w:p>
            <w:pPr>
              <w:numPr>
                <w:ilvl w:val="0"/>
                <w:numId w:val="0"/>
              </w:numPr>
              <w:spacing w:line="360" w:lineRule="auto"/>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3、噪声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施工期噪声执行《建筑施工场界环境噪声排放标准》（GB12523-2011）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中标准（昼间≤70 dB（A），夜间≤55 dB（A））；营运期执行《工业企业厂界环境噪声排放标准》（GB12348-2008）3 类</w:t>
            </w:r>
            <w:r>
              <w:rPr>
                <w:rFonts w:hint="eastAsia" w:ascii="Times New Roman" w:hAnsi="Times New Roman" w:cs="Times New Roman"/>
                <w:color w:val="auto"/>
                <w:sz w:val="24"/>
                <w:szCs w:val="24"/>
                <w:u w:val="none" w:color="auto"/>
                <w:lang w:val="en-US" w:eastAsia="zh-CN"/>
              </w:rPr>
              <w:t>标准，临马路一侧执行4类</w:t>
            </w:r>
            <w:r>
              <w:rPr>
                <w:rFonts w:hint="default" w:ascii="Times New Roman" w:hAnsi="Times New Roman" w:cs="Times New Roman"/>
                <w:color w:val="auto"/>
                <w:sz w:val="24"/>
                <w:szCs w:val="24"/>
                <w:u w:val="none" w:color="auto"/>
                <w:lang w:val="en-US" w:eastAsia="zh-CN"/>
              </w:rPr>
              <w:t>标准</w:t>
            </w:r>
            <w:r>
              <w:rPr>
                <w:rFonts w:hint="eastAsia"/>
                <w:lang w:eastAsia="zh-CN"/>
              </w:rPr>
              <w:t>。</w:t>
            </w:r>
          </w:p>
          <w:p>
            <w:pPr>
              <w:pStyle w:val="99"/>
              <w:spacing w:line="240" w:lineRule="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表3</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12  噪声排放标准</w:t>
            </w:r>
            <w:r>
              <w:rPr>
                <w:rFonts w:hint="default" w:ascii="Times New Roman" w:hAnsi="Times New Roman" w:eastAsia="宋体" w:cs="Times New Roman"/>
                <w:b/>
                <w:bCs/>
                <w:color w:val="auto"/>
                <w:sz w:val="21"/>
                <w:szCs w:val="21"/>
                <w:u w:val="none" w:color="auto"/>
              </w:rPr>
              <w:t>（Leq dB(A)）</w:t>
            </w:r>
          </w:p>
          <w:tbl>
            <w:tblPr>
              <w:tblStyle w:val="30"/>
              <w:tblW w:w="806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11"/>
              <w:gridCol w:w="1507"/>
              <w:gridCol w:w="1430"/>
              <w:gridCol w:w="35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11" w:type="dxa"/>
                  <w:vMerge w:val="restart"/>
                  <w:tcBorders>
                    <w:top w:val="single" w:color="auto" w:sz="4" w:space="0"/>
                    <w:left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类别</w:t>
                  </w:r>
                </w:p>
              </w:tc>
              <w:tc>
                <w:tcPr>
                  <w:tcW w:w="2937"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标准限制dB（A）</w:t>
                  </w:r>
                </w:p>
              </w:tc>
              <w:tc>
                <w:tcPr>
                  <w:tcW w:w="3518" w:type="dxa"/>
                  <w:vMerge w:val="restart"/>
                  <w:tcBorders>
                    <w:top w:val="single" w:color="auto" w:sz="4" w:space="0"/>
                    <w:left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标准限值来源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11" w:type="dxa"/>
                  <w:vMerge w:val="continue"/>
                  <w:tcBorders>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lang w:val="en-US" w:eastAsia="zh-CN"/>
                    </w:rPr>
                  </w:pPr>
                  <w:r>
                    <w:rPr>
                      <w:rFonts w:hint="eastAsia"/>
                      <w:lang w:val="en-US" w:eastAsia="zh-CN"/>
                    </w:rPr>
                    <w:t>昼间</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夜间</w:t>
                  </w:r>
                </w:p>
              </w:tc>
              <w:tc>
                <w:tcPr>
                  <w:tcW w:w="3518" w:type="dxa"/>
                  <w:vMerge w:val="continue"/>
                  <w:tcBorders>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eastAsia" w:ascii="Times New Roman" w:hAnsi="Times New Roman" w:cs="Times New Roman"/>
                      <w:color w:val="auto"/>
                      <w:kern w:val="0"/>
                      <w:szCs w:val="21"/>
                      <w:u w:val="none" w:color="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1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lang w:val="en-US" w:eastAsia="zh-CN"/>
                    </w:rPr>
                  </w:pPr>
                  <w:r>
                    <w:rPr>
                      <w:rFonts w:hint="eastAsia"/>
                      <w:lang w:val="en-US" w:eastAsia="zh-CN"/>
                    </w:rPr>
                    <w:t>施工期噪声</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70</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55</w:t>
                  </w:r>
                </w:p>
              </w:tc>
              <w:tc>
                <w:tcPr>
                  <w:tcW w:w="35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eastAsia"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《建筑施工场界环境噪声排放标准》（GB12523-2011）表1标准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11" w:type="dxa"/>
                  <w:vMerge w:val="restart"/>
                  <w:tcBorders>
                    <w:top w:val="single" w:color="auto" w:sz="4" w:space="0"/>
                    <w:left w:val="single" w:color="auto" w:sz="4" w:space="0"/>
                    <w:right w:val="single" w:color="auto" w:sz="4" w:space="0"/>
                  </w:tcBorders>
                  <w:noWrap w:val="0"/>
                  <w:vAlign w:val="center"/>
                </w:tcPr>
                <w:p>
                  <w:pPr>
                    <w:widowControl/>
                    <w:spacing w:line="240" w:lineRule="exact"/>
                    <w:jc w:val="center"/>
                    <w:textAlignment w:val="center"/>
                    <w:rPr>
                      <w:rFonts w:hint="default"/>
                      <w:lang w:val="en-US" w:eastAsia="zh-CN"/>
                    </w:rPr>
                  </w:pPr>
                  <w:r>
                    <w:rPr>
                      <w:rFonts w:hint="eastAsia"/>
                      <w:lang w:val="en-US" w:eastAsia="zh-CN"/>
                    </w:rPr>
                    <w:t>营运期噪声</w:t>
                  </w:r>
                </w:p>
              </w:tc>
              <w:tc>
                <w:tcPr>
                  <w:tcW w:w="150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65</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55</w:t>
                  </w:r>
                </w:p>
              </w:tc>
              <w:tc>
                <w:tcPr>
                  <w:tcW w:w="35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eastAsia"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《工业企业厂界环境噪声排放标准》（GB12348-2008）3类标准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1611" w:type="dxa"/>
                  <w:vMerge w:val="continue"/>
                  <w:tcBorders>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eastAsia"/>
                      <w:lang w:val="en-US" w:eastAsia="zh-CN"/>
                    </w:rPr>
                  </w:pPr>
                </w:p>
              </w:tc>
              <w:tc>
                <w:tcPr>
                  <w:tcW w:w="150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70</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default"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55</w:t>
                  </w:r>
                </w:p>
              </w:tc>
              <w:tc>
                <w:tcPr>
                  <w:tcW w:w="35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textAlignment w:val="center"/>
                    <w:rPr>
                      <w:rFonts w:hint="eastAsia" w:ascii="Times New Roman" w:hAnsi="Times New Roman" w:cs="Times New Roman"/>
                      <w:color w:val="auto"/>
                      <w:kern w:val="0"/>
                      <w:szCs w:val="21"/>
                      <w:u w:val="none" w:color="auto"/>
                      <w:lang w:val="en-US" w:eastAsia="zh-CN"/>
                    </w:rPr>
                  </w:pPr>
                  <w:r>
                    <w:rPr>
                      <w:rFonts w:hint="eastAsia" w:ascii="Times New Roman" w:hAnsi="Times New Roman" w:cs="Times New Roman"/>
                      <w:color w:val="auto"/>
                      <w:kern w:val="0"/>
                      <w:szCs w:val="21"/>
                      <w:u w:val="none" w:color="auto"/>
                      <w:lang w:val="en-US" w:eastAsia="zh-CN"/>
                    </w:rPr>
                    <w:t>《工业企业厂界环境噪声排放标准》（GB12348-2008）4类标准</w:t>
                  </w:r>
                </w:p>
              </w:tc>
            </w:tr>
          </w:tbl>
          <w:p>
            <w:pPr>
              <w:spacing w:line="360" w:lineRule="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FF0000"/>
                <w:kern w:val="0"/>
                <w:szCs w:val="21"/>
                <w:u w:val="none" w:color="auto"/>
              </w:rPr>
            </w:pPr>
            <w:r>
              <w:rPr>
                <w:rFonts w:hint="default" w:ascii="Times New Roman" w:hAnsi="Times New Roman" w:cs="Times New Roman"/>
                <w:color w:val="auto"/>
                <w:sz w:val="24"/>
                <w:szCs w:val="24"/>
                <w:u w:val="single" w:color="auto"/>
              </w:rPr>
              <w:t>固体废物污染控制标准：一般固体废物执行《一般工业固体废物贮存和填埋污染控制标准》（GB18599-2020）</w:t>
            </w:r>
            <w:r>
              <w:rPr>
                <w:rFonts w:hint="eastAsia" w:ascii="Times New Roman" w:hAnsi="Times New Roman" w:cs="Times New Roman"/>
                <w:color w:val="auto"/>
                <w:sz w:val="24"/>
                <w:szCs w:val="24"/>
                <w:u w:val="single" w:color="auto"/>
                <w:lang w:eastAsia="zh-CN"/>
              </w:rPr>
              <w:t>；危险废物贮存执行《危险废物贮存污染控制标准》（GB18597-2023）</w:t>
            </w:r>
            <w:r>
              <w:rPr>
                <w:rFonts w:hint="default" w:ascii="Times New Roman" w:hAnsi="Times New Roman" w:cs="Times New Roman"/>
                <w:color w:val="auto"/>
                <w:sz w:val="24"/>
                <w:szCs w:val="24"/>
                <w:u w:val="single" w:color="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3" w:hRule="atLeast"/>
          <w:jc w:val="center"/>
        </w:trPr>
        <w:tc>
          <w:tcPr>
            <w:tcW w:w="842" w:type="dxa"/>
            <w:noWrap w:val="0"/>
            <w:vAlign w:val="center"/>
          </w:tcPr>
          <w:p>
            <w:pPr>
              <w:adjustRightInd w:val="0"/>
              <w:snapToGrid w:val="0"/>
              <w:jc w:val="center"/>
              <w:rPr>
                <w:rFonts w:hint="default" w:ascii="Times New Roman" w:hAnsi="Times New Roman" w:cs="Times New Roman"/>
                <w:color w:val="auto"/>
                <w:kern w:val="0"/>
                <w:sz w:val="24"/>
                <w:szCs w:val="24"/>
                <w:u w:val="none" w:color="auto"/>
              </w:rPr>
            </w:pPr>
            <w:r>
              <w:rPr>
                <w:rFonts w:hint="default" w:ascii="Times New Roman" w:hAnsi="Times New Roman" w:cs="Times New Roman"/>
                <w:color w:val="auto"/>
                <w:kern w:val="0"/>
                <w:sz w:val="21"/>
                <w:szCs w:val="21"/>
                <w:u w:val="none" w:color="auto"/>
              </w:rPr>
              <w:t>其他</w:t>
            </w:r>
          </w:p>
        </w:tc>
        <w:tc>
          <w:tcPr>
            <w:tcW w:w="8315" w:type="dxa"/>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u w:val="none" w:color="auto"/>
              </w:rPr>
            </w:pPr>
            <w:r>
              <w:rPr>
                <w:rFonts w:hint="default" w:ascii="Times New Roman" w:hAnsi="Times New Roman" w:cs="Times New Roman"/>
                <w:color w:val="auto"/>
                <w:sz w:val="24"/>
                <w:szCs w:val="24"/>
                <w:u w:val="none" w:color="auto"/>
              </w:rPr>
              <w:t>本项目不涉及运营期生产。营运期生活污水经化粪池预处理达到湘阴县第三污水处理厂接管水质要求和《污水综合排放标准》（GB8978-1996）标准后，进入湘阴县第三污水处理厂处理，项目无需购买总量。</w:t>
            </w:r>
          </w:p>
        </w:tc>
      </w:tr>
    </w:tbl>
    <w:p>
      <w:pPr>
        <w:pStyle w:val="27"/>
        <w:adjustRightInd w:val="0"/>
        <w:snapToGrid w:val="0"/>
        <w:spacing w:before="0" w:beforeAutospacing="0" w:after="0" w:afterAutospacing="0" w:line="14" w:lineRule="auto"/>
        <w:jc w:val="center"/>
        <w:outlineLvl w:val="9"/>
        <w:rPr>
          <w:rFonts w:ascii="Times New Roman" w:hAnsi="Times New Roman" w:eastAsia="黑体"/>
          <w:snapToGrid w:val="0"/>
          <w:color w:val="FF0000"/>
          <w:kern w:val="2"/>
          <w:sz w:val="36"/>
          <w:szCs w:val="36"/>
          <w:u w:val="none" w:color="auto"/>
        </w:rPr>
      </w:pPr>
    </w:p>
    <w:p>
      <w:pPr>
        <w:pStyle w:val="27"/>
        <w:jc w:val="center"/>
        <w:outlineLvl w:val="9"/>
        <w:rPr>
          <w:rFonts w:ascii="Times New Roman" w:hAnsi="Times New Roman" w:eastAsia="黑体"/>
          <w:snapToGrid w:val="0"/>
          <w:color w:val="FF0000"/>
          <w:kern w:val="2"/>
          <w:sz w:val="36"/>
          <w:szCs w:val="36"/>
          <w:u w:val="none" w:color="auto"/>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7"/>
        <w:jc w:val="center"/>
        <w:outlineLvl w:val="0"/>
        <w:rPr>
          <w:rFonts w:hint="eastAsia" w:ascii="宋体" w:hAnsi="宋体" w:eastAsia="宋体" w:cs="宋体"/>
          <w:b/>
          <w:bCs/>
          <w:snapToGrid w:val="0"/>
          <w:color w:val="auto"/>
          <w:sz w:val="30"/>
          <w:szCs w:val="30"/>
          <w:u w:val="none" w:color="auto"/>
        </w:rPr>
      </w:pPr>
      <w:bookmarkStart w:id="16" w:name="_Toc22769"/>
      <w:bookmarkStart w:id="17" w:name="_Toc4429"/>
      <w:r>
        <w:rPr>
          <w:rFonts w:hint="eastAsia" w:ascii="宋体" w:hAnsi="宋体" w:eastAsia="宋体" w:cs="宋体"/>
          <w:b/>
          <w:bCs/>
          <w:snapToGrid w:val="0"/>
          <w:color w:val="auto"/>
          <w:sz w:val="30"/>
          <w:szCs w:val="30"/>
          <w:u w:val="none" w:color="auto"/>
        </w:rPr>
        <w:t>四、生态环境影响分析</w:t>
      </w:r>
      <w:bookmarkEnd w:id="16"/>
      <w:bookmarkEnd w:id="17"/>
    </w:p>
    <w:tbl>
      <w:tblPr>
        <w:tblStyle w:val="30"/>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9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tcMar>
              <w:left w:w="28" w:type="dxa"/>
              <w:right w:w="28" w:type="dxa"/>
            </w:tcMar>
            <w:vAlign w:val="center"/>
          </w:tcPr>
          <w:p>
            <w:pPr>
              <w:pStyle w:val="27"/>
              <w:adjustRightInd w:val="0"/>
              <w:snapToGrid w:val="0"/>
              <w:spacing w:before="0" w:beforeAutospacing="0" w:after="0" w:afterAutospacing="0"/>
              <w:jc w:val="center"/>
              <w:rPr>
                <w:rFonts w:ascii="Times New Roman" w:hAnsi="Times New Roman"/>
                <w:bCs/>
                <w:color w:val="FF0000"/>
                <w:kern w:val="2"/>
                <w:sz w:val="21"/>
                <w:szCs w:val="21"/>
                <w:u w:val="none" w:color="auto"/>
              </w:rPr>
            </w:pPr>
            <w:bookmarkStart w:id="18" w:name="_Hlk49796138"/>
            <w:r>
              <w:rPr>
                <w:rFonts w:hint="default" w:ascii="Times New Roman" w:hAnsi="Times New Roman" w:eastAsia="宋体" w:cs="Times New Roman"/>
                <w:color w:val="auto"/>
                <w:kern w:val="0"/>
                <w:sz w:val="21"/>
                <w:szCs w:val="21"/>
                <w:u w:val="none" w:color="auto"/>
                <w:lang w:val="en-US" w:eastAsia="zh-CN" w:bidi="ar-SA"/>
              </w:rPr>
              <w:t>施工期生态环境影响分析</w:t>
            </w:r>
            <w:bookmarkEnd w:id="18"/>
          </w:p>
        </w:tc>
        <w:tc>
          <w:tcPr>
            <w:tcW w:w="7988" w:type="dxa"/>
          </w:tcPr>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本项目的生态环境影响主要集中在施工期间，施工过程中将进行土石方的填挖，包括土方开挖、土方回填。施工期还包括基础工程与主体工程、屋面工程、装饰工程、地块总平工程，清理收尾等，施工过程不仅要动用土石方，而且有大量的施工机械及人员活动。施工期对区域生态环境的影响主要表现为土壤扰动后，可能造成土壤的侵蚀及水土流失；施工噪声对周边野生动物及鸟类栖息环境的影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textAlignment w:val="auto"/>
              <w:outlineLvl w:val="9"/>
              <w:rPr>
                <w:rFonts w:hint="eastAsia" w:ascii="Times New Roman" w:hAnsi="Times New Roman" w:cs="Times New Roman"/>
                <w:b/>
                <w:bCs/>
                <w:color w:val="auto"/>
                <w:sz w:val="24"/>
                <w:u w:val="none" w:color="auto"/>
                <w:lang w:val="en-US" w:eastAsia="zh-CN"/>
              </w:rPr>
            </w:pPr>
            <w:r>
              <w:rPr>
                <w:rFonts w:hint="eastAsia" w:ascii="Times New Roman" w:hAnsi="Times New Roman" w:cs="Times New Roman"/>
                <w:b/>
                <w:bCs/>
                <w:color w:val="auto"/>
                <w:sz w:val="24"/>
                <w:u w:val="none" w:color="auto"/>
                <w:lang w:val="en-US" w:eastAsia="zh-CN"/>
              </w:rPr>
              <w:t>1、工程占地影响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textAlignment w:val="auto"/>
              <w:outlineLvl w:val="9"/>
              <w:rPr>
                <w:rFonts w:hint="eastAsia"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u w:val="none" w:color="auto"/>
              </w:rPr>
              <w:t>本项目占地主要为施工场地、</w:t>
            </w:r>
            <w:r>
              <w:rPr>
                <w:rFonts w:hint="eastAsia" w:ascii="Times New Roman" w:hAnsi="Times New Roman" w:cs="Times New Roman"/>
                <w:color w:val="auto"/>
                <w:sz w:val="24"/>
                <w:u w:val="none" w:color="auto"/>
                <w:lang w:val="en-US" w:eastAsia="zh-CN"/>
              </w:rPr>
              <w:t>临时生活营地</w:t>
            </w:r>
            <w:r>
              <w:rPr>
                <w:rFonts w:hint="default" w:ascii="Times New Roman" w:hAnsi="Times New Roman" w:eastAsia="宋体" w:cs="Times New Roman"/>
                <w:color w:val="auto"/>
                <w:sz w:val="24"/>
                <w:u w:val="none" w:color="auto"/>
              </w:rPr>
              <w:t>，主要占地类型现状为</w:t>
            </w:r>
            <w:r>
              <w:rPr>
                <w:rFonts w:hint="eastAsia" w:ascii="Times New Roman" w:hAnsi="Times New Roman" w:cs="Times New Roman"/>
                <w:color w:val="auto"/>
                <w:sz w:val="24"/>
                <w:u w:val="none" w:color="auto"/>
                <w:lang w:val="en-US" w:eastAsia="zh-CN"/>
              </w:rPr>
              <w:t>城市建设用地</w:t>
            </w:r>
            <w:r>
              <w:rPr>
                <w:rFonts w:hint="default" w:ascii="Times New Roman" w:hAnsi="Times New Roman" w:eastAsia="宋体" w:cs="Times New Roman"/>
                <w:color w:val="auto"/>
                <w:sz w:val="24"/>
                <w:u w:val="none" w:color="auto"/>
              </w:rPr>
              <w:t>。待项目完工后，建设单位应尽快实施生态恢复，进行绿化，重建生态系统。</w:t>
            </w:r>
          </w:p>
          <w:p>
            <w:pPr>
              <w:keepNext w:val="0"/>
              <w:keepLines w:val="0"/>
              <w:pageBreakBefore w:val="0"/>
              <w:numPr>
                <w:ilvl w:val="0"/>
                <w:numId w:val="0"/>
              </w:numPr>
              <w:tabs>
                <w:tab w:val="left" w:pos="3930"/>
              </w:tabs>
              <w:kinsoku/>
              <w:wordWrap/>
              <w:overflowPunct/>
              <w:topLinePunct w:val="0"/>
              <w:autoSpaceDE/>
              <w:autoSpaceDN/>
              <w:bidi w:val="0"/>
              <w:adjustRightInd/>
              <w:snapToGrid/>
              <w:spacing w:line="360" w:lineRule="auto"/>
              <w:ind w:right="0" w:rightChars="0"/>
              <w:textAlignment w:val="auto"/>
              <w:rPr>
                <w:rFonts w:hint="eastAsia"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2、施工期对生物多样性的影响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val="en-US" w:eastAsia="zh-CN"/>
              </w:rPr>
            </w:pPr>
            <w:r>
              <w:rPr>
                <w:rFonts w:hint="eastAsia" w:ascii="Times New Roman" w:hAnsi="Times New Roman" w:eastAsia="宋体" w:cs="Times New Roman"/>
                <w:color w:val="auto"/>
                <w:sz w:val="24"/>
                <w:u w:val="none" w:color="auto"/>
                <w:lang w:val="en-US" w:eastAsia="zh-CN"/>
              </w:rPr>
              <w:t>建设用地的施工往往伴随着原有自然植被的破坏，导致栖息地丧失，生物多样性减少</w:t>
            </w:r>
          </w:p>
          <w:p>
            <w:pPr>
              <w:keepNext w:val="0"/>
              <w:keepLines w:val="0"/>
              <w:pageBreakBefore w:val="0"/>
              <w:numPr>
                <w:ilvl w:val="0"/>
                <w:numId w:val="0"/>
              </w:numPr>
              <w:tabs>
                <w:tab w:val="left" w:pos="3930"/>
              </w:tabs>
              <w:kinsoku/>
              <w:wordWrap/>
              <w:overflowPunct/>
              <w:topLinePunct w:val="0"/>
              <w:autoSpaceDE/>
              <w:autoSpaceDN/>
              <w:bidi w:val="0"/>
              <w:adjustRightInd/>
              <w:snapToGrid/>
              <w:spacing w:line="360" w:lineRule="auto"/>
              <w:ind w:leftChars="0" w:right="0" w:rightChars="0"/>
              <w:textAlignment w:val="auto"/>
              <w:rPr>
                <w:sz w:val="21"/>
                <w:szCs w:val="21"/>
              </w:rPr>
            </w:pPr>
            <w:r>
              <w:rPr>
                <w:rFonts w:hint="eastAsia" w:ascii="Times New Roman" w:hAnsi="Times New Roman" w:cs="Times New Roman"/>
                <w:b/>
                <w:bCs/>
                <w:color w:val="auto"/>
                <w:sz w:val="24"/>
                <w:szCs w:val="24"/>
                <w:u w:val="none" w:color="auto"/>
                <w:lang w:val="en-US" w:eastAsia="zh-CN"/>
              </w:rPr>
              <w:t>3、施工期对生态类型的影响分析</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textAlignment w:val="auto"/>
              <w:outlineLvl w:val="9"/>
              <w:rPr>
                <w:sz w:val="21"/>
                <w:szCs w:val="21"/>
              </w:rPr>
            </w:pPr>
            <w:r>
              <w:rPr>
                <w:rFonts w:hint="eastAsia" w:ascii="Times New Roman" w:hAnsi="Times New Roman" w:eastAsia="宋体" w:cs="Times New Roman"/>
                <w:color w:val="auto"/>
                <w:sz w:val="24"/>
                <w:u w:val="none" w:color="auto"/>
                <w:lang w:val="en-US" w:eastAsia="zh-CN"/>
              </w:rPr>
              <w:t>土壤质量下降</w:t>
            </w:r>
            <w:r>
              <w:rPr>
                <w:rFonts w:hint="default" w:ascii="Times New Roman" w:hAnsi="Times New Roman" w:eastAsia="宋体" w:cs="Times New Roman"/>
                <w:color w:val="auto"/>
                <w:sz w:val="24"/>
                <w:u w:val="none" w:color="auto"/>
                <w:lang w:val="en-US" w:eastAsia="zh-CN"/>
              </w:rPr>
              <w:t>：建筑施工过程中，重型机械和设备的移动会对土壤造成压实，降低土壤孔隙度和渗透性，影响土壤水分和空气流通。建筑材料、化学品和废弃物的堆放和处理不当，可能导致土壤污染，影响土壤质量和生态功能。</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textAlignment w:val="auto"/>
              <w:outlineLvl w:val="9"/>
              <w:rPr>
                <w:rFonts w:hint="eastAsia"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植被破坏：建筑施工会破坏地表植被覆盖，降低土壤抗侵蚀能力，加剧水土流失和土壤侵蚀。清理场地、挖掘和填埋等活动会破坏地表植被，减少绿色植被覆盖面积。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textAlignment w:val="auto"/>
              <w:outlineLvl w:val="9"/>
              <w:rPr>
                <w:rFonts w:hint="eastAsia"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水文循环干扰：建筑施工会改变地表覆盖和土壤性质，影响地表水和地下水的循环过程，可能导致水资源短缺或洪涝灾害。建筑施工过程中产生的废水、废渣和化学品等污染物，可能通过地表径流或渗透进入水体，造成水质污染。</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生物栖息地破坏：建筑施工会破坏野生动植物的栖息地，导致生物种群数量减少或灭绝，降低生物多样性。建筑施工可能切断生物之间的食物链和生态链，影响生态系统的稳定性和功能。</w:t>
            </w:r>
          </w:p>
          <w:p>
            <w:pPr>
              <w:keepNext w:val="0"/>
              <w:keepLines w:val="0"/>
              <w:pageBreakBefore w:val="0"/>
              <w:numPr>
                <w:ilvl w:val="0"/>
                <w:numId w:val="0"/>
              </w:numPr>
              <w:tabs>
                <w:tab w:val="left" w:pos="3930"/>
              </w:tabs>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bCs/>
                <w:color w:val="auto"/>
                <w:sz w:val="24"/>
                <w:szCs w:val="24"/>
                <w:u w:val="none" w:color="auto"/>
              </w:rPr>
            </w:pPr>
            <w:r>
              <w:rPr>
                <w:rFonts w:hint="eastAsia" w:ascii="Times New Roman" w:hAnsi="Times New Roman" w:cs="Times New Roman"/>
                <w:b/>
                <w:bCs/>
                <w:color w:val="auto"/>
                <w:sz w:val="24"/>
                <w:szCs w:val="24"/>
                <w:u w:val="none" w:color="auto"/>
                <w:lang w:val="en-US" w:eastAsia="zh-CN"/>
              </w:rPr>
              <w:t>4、施工期对陆生植物的影响分析</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项目用地范围内有部分荒草地、灌木丛，在施工过程中，施工区范围内的植被都被去除，表面植被遭到短期破坏，还可能产生局部水土流失问题。但后续经过统一规划建成乔、灌、草错落有致的绿地系统，新增防护绿地建设，可在一定程度上可以缓解区域开发对生态环境的压力，对陆生植物物种多样性的影响不明显。</w:t>
            </w:r>
          </w:p>
          <w:p>
            <w:pPr>
              <w:keepNext w:val="0"/>
              <w:keepLines w:val="0"/>
              <w:widowControl/>
              <w:suppressLineNumbers w:val="0"/>
              <w:spacing w:line="360" w:lineRule="auto"/>
              <w:jc w:val="left"/>
            </w:pPr>
            <w:r>
              <w:rPr>
                <w:rFonts w:hint="eastAsia" w:ascii="Times New Roman" w:hAnsi="Times New Roman"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、施工期对野生动物的影响分析</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pPr>
            <w:r>
              <w:rPr>
                <w:rFonts w:hint="eastAsia" w:ascii="Times New Roman" w:hAnsi="Times New Roman" w:eastAsia="宋体" w:cs="Times New Roman"/>
                <w:color w:val="auto"/>
                <w:sz w:val="24"/>
                <w:highlight w:val="none"/>
                <w:u w:val="none" w:color="auto"/>
                <w:lang w:val="en-US" w:eastAsia="zh-CN"/>
              </w:rPr>
              <w:t>施工机械噪声和人类活动噪声是影响野生动物的主要因素，各种施工机械如运输车辆、推土机、混凝土搅拌机、振捣棒等均可能产生较强的噪声，虽然这些施工机械属非连续性间歇排放，但由于噪声源相对集中，且多为裸露声源，故其辐射范围和影响程度较大。预计在施工期，本区的野生动物都将产生规避反应，远离这一地区，特别是鸟类，其栖息和繁殖环境需要相对的安静，因此，本区的鸟类将受到一定影响。项目场区周围植被以低矮灌丛为主，动物主要为常见的鼠、麻雀、蝉、蚯蚓、蛇、鸟类等，无珍稀濒危等需要特殊保护动植物分布。因此，本项目的建设不涉及对保护和珍稀野生动物栖息环境的影响。</w:t>
            </w:r>
          </w:p>
          <w:p>
            <w:pPr>
              <w:keepNext w:val="0"/>
              <w:keepLines w:val="0"/>
              <w:widowControl/>
              <w:suppressLineNumbers w:val="0"/>
              <w:spacing w:line="360" w:lineRule="auto"/>
              <w:jc w:val="left"/>
            </w:pPr>
            <w:r>
              <w:rPr>
                <w:rFonts w:hint="eastAsia" w:ascii="Times New Roman" w:hAnsi="Times New Roman" w:cs="Times New Roman"/>
                <w:b/>
                <w:bCs/>
                <w:color w:val="000000"/>
                <w:kern w:val="0"/>
                <w:sz w:val="24"/>
                <w:szCs w:val="24"/>
                <w:lang w:val="en-US" w:eastAsia="zh-CN" w:bidi="ar"/>
              </w:rPr>
              <w:t>6</w:t>
            </w:r>
            <w:r>
              <w:rPr>
                <w:rFonts w:hint="eastAsia" w:ascii="宋体" w:hAnsi="宋体" w:eastAsia="宋体" w:cs="宋体"/>
                <w:b/>
                <w:bCs/>
                <w:color w:val="000000"/>
                <w:kern w:val="0"/>
                <w:sz w:val="24"/>
                <w:szCs w:val="24"/>
                <w:lang w:val="en-US" w:eastAsia="zh-CN" w:bidi="ar"/>
              </w:rPr>
              <w:t>、施工期对水土流失影响分析</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在工程建设期，由于扰动、开挖原地貌，从而使原地表土壤、植被遭到破坏，增加了裸露面积，表土的抗蚀能力减弱，加剧了区域内的水土流失，其主要危害表现在：</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（1）扩大侵蚀面积，加剧洪涝灾害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工程扰动地表面积较大，扩大和增加了原本侵蚀严重的水土流失面积。如果在施工过程中不加以治理和防护，势必加剧这一区域水土流失，并可能会给主体工程的安全带来不稳定因素。如建设过程中乱挖乱填，不采取有效防治措施，将给地区经济发展及生态环境建设造成一定影响。</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（2）破坏地表植被，促发土壤侵蚀</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当地表植被遭到破坏后，土壤结构亦受到不同程度的损害，土壤抗侵蚀能力减弱。当遇高强度、短历时暴雨时，大量泥沙将被冲入市政管网，在一定地段堵塞市政管网。</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（3）对周边区域的影响</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项目周边区域建设项目、道路密集，若不采取水土保持措施会造成新的水土流失，将影响周边道路正常运行、周边建设项目正常建设。</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rPr>
              <w:t>考虑到项目所在地环境建设目标和水土流失所产生的一系列次生环境影响，须采取有力措施控制水土流失，并消除其不利环境影响。</w:t>
            </w:r>
          </w:p>
          <w:p>
            <w:pPr>
              <w:keepNext w:val="0"/>
              <w:keepLines w:val="0"/>
              <w:pageBreakBefore w:val="0"/>
              <w:widowControl w:val="0"/>
              <w:kinsoku/>
              <w:wordWrap/>
              <w:overflowPunct/>
              <w:topLinePunct w:val="0"/>
              <w:autoSpaceDE/>
              <w:autoSpaceDN/>
              <w:bidi w:val="0"/>
              <w:snapToGrid w:val="0"/>
              <w:spacing w:line="360" w:lineRule="auto"/>
              <w:ind w:right="0" w:rightChars="0"/>
              <w:textAlignment w:val="auto"/>
              <w:outlineLvl w:val="9"/>
              <w:rPr>
                <w:rFonts w:hint="eastAsia" w:ascii="Times New Roman" w:hAnsi="Times New Roman" w:eastAsia="宋体" w:cs="Times New Roman"/>
                <w:color w:val="auto"/>
                <w:sz w:val="24"/>
                <w:u w:val="none" w:color="auto"/>
                <w:lang w:val="en-US" w:eastAsia="zh-CN"/>
              </w:rPr>
            </w:pPr>
            <w:r>
              <w:rPr>
                <w:rFonts w:hint="eastAsia" w:ascii="Times New Roman" w:hAnsi="Times New Roman" w:cs="Times New Roman"/>
                <w:b/>
                <w:bCs/>
                <w:color w:val="auto"/>
                <w:sz w:val="24"/>
                <w:u w:val="none" w:color="auto"/>
                <w:lang w:val="en-US" w:eastAsia="zh-CN"/>
              </w:rPr>
              <w:t>7、施工期对周边敏感区的影响分析</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b w:val="0"/>
                <w:bCs w:val="0"/>
                <w:color w:val="auto"/>
                <w:sz w:val="24"/>
                <w:u w:val="none" w:color="auto"/>
              </w:rPr>
            </w:pPr>
            <w:r>
              <w:rPr>
                <w:rFonts w:hint="default" w:ascii="Times New Roman" w:hAnsi="Times New Roman" w:eastAsia="宋体" w:cs="Times New Roman"/>
                <w:b w:val="0"/>
                <w:bCs w:val="0"/>
                <w:color w:val="auto"/>
                <w:sz w:val="24"/>
                <w:u w:val="none" w:color="auto"/>
              </w:rPr>
              <w:t>（1）大气污染源影响分析</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施工期大气污染物主要包括施工扬尘、机械废气以及装修废气。</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①施工扬尘</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项目施工期间产生的地面扬尘主要来自两方面：一是各类运输车辆运行引起的扬尘；二是土方开挖、道路铺浇等产生的扬尘。扬尘量的大小与施工现场条件、管理水平、机械化程度及施工季节、土质及天气条件等诸多因素有关。一般情况，根据监测经验，建筑施工扬尘均比较严重。</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在整个施工期间，产生扬尘的作业主要有土地平整、打桩、开挖、回填、道路浇注、建材运输、露天堆放、装卸和搅拌等过程，如遇干旱无雨季节，在大风时，施工扬尘将更严重。</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在同样路面清洁情况下，车速越快，扬尘量越大；而在同样车速情况下，路面清洁度越差，则扬尘量越大。一般情况下，施工场地、施工道路在自然风作用下产生的扬尘所影响的范围在100m以内。</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根据现场调查，项目周边100m范围有金龙</w:t>
            </w:r>
            <w:r>
              <w:rPr>
                <w:rFonts w:hint="eastAsia" w:ascii="Times New Roman" w:hAnsi="Times New Roman" w:cs="Times New Roman"/>
                <w:color w:val="auto"/>
                <w:sz w:val="24"/>
                <w:u w:val="none" w:color="auto"/>
                <w:lang w:val="en-US" w:eastAsia="zh-CN"/>
              </w:rPr>
              <w:t>雅苑</w:t>
            </w:r>
            <w:r>
              <w:rPr>
                <w:rFonts w:hint="default" w:ascii="Times New Roman" w:hAnsi="Times New Roman" w:eastAsia="宋体" w:cs="Times New Roman"/>
                <w:color w:val="auto"/>
                <w:sz w:val="24"/>
                <w:u w:val="none" w:color="auto"/>
              </w:rPr>
              <w:t>小区，若不加强扬尘管理，本项目施工期施工扬尘对这些敏感目标会产生一定的影响，本项目施工期进出口设立在</w:t>
            </w:r>
            <w:r>
              <w:rPr>
                <w:rFonts w:hint="eastAsia" w:ascii="Times New Roman" w:hAnsi="Times New Roman" w:cs="Times New Roman"/>
                <w:color w:val="auto"/>
                <w:sz w:val="24"/>
                <w:u w:val="none" w:color="auto"/>
                <w:lang w:val="en-US" w:eastAsia="zh-CN"/>
              </w:rPr>
              <w:t>东</w:t>
            </w:r>
            <w:r>
              <w:rPr>
                <w:rFonts w:hint="default" w:ascii="Times New Roman" w:hAnsi="Times New Roman" w:eastAsia="宋体" w:cs="Times New Roman"/>
                <w:color w:val="auto"/>
                <w:sz w:val="24"/>
                <w:u w:val="none" w:color="auto"/>
              </w:rPr>
              <w:t>南侧尽量远离居民点。</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抑制扬尘的一个简洁有效的措施是洒水。如果在施工期内对车辆行驶的路面实施洒水抑尘，每天洒水4～5次，可使扬尘减少70%左右。下表为施工场地洒水抑尘的试验结果。由该表数据可看出对施工场地实施每天洒水4-5次进行抑尘，可有效地控制施工扬尘，并可将TSP污染距离缩小到 20-50m范围。</w:t>
            </w:r>
          </w:p>
          <w:p>
            <w:pPr>
              <w:keepNext w:val="0"/>
              <w:keepLines w:val="0"/>
              <w:pageBreakBefore w:val="0"/>
              <w:widowControl w:val="0"/>
              <w:kinsoku/>
              <w:wordWrap/>
              <w:overflowPunct/>
              <w:topLinePunct w:val="0"/>
              <w:autoSpaceDE/>
              <w:autoSpaceDN/>
              <w:bidi w:val="0"/>
              <w:snapToGrid w:val="0"/>
              <w:spacing w:line="240" w:lineRule="auto"/>
              <w:ind w:right="0" w:rightChars="0" w:firstLine="422" w:firstLineChars="200"/>
              <w:jc w:val="center"/>
              <w:textAlignment w:val="auto"/>
              <w:outlineLvl w:val="9"/>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cs="Times New Roman"/>
                <w:b/>
                <w:bCs/>
                <w:color w:val="auto"/>
                <w:sz w:val="21"/>
                <w:szCs w:val="21"/>
                <w:u w:val="none" w:color="auto"/>
                <w:lang w:val="en-US" w:eastAsia="zh-CN"/>
              </w:rPr>
              <w:t>表4-1  施工场地洒水抑尘试验结果  单位：mg/m</w:t>
            </w:r>
            <w:r>
              <w:rPr>
                <w:rFonts w:hint="eastAsia" w:ascii="Times New Roman" w:hAnsi="Times New Roman" w:cs="Times New Roman"/>
                <w:b/>
                <w:bCs/>
                <w:color w:val="auto"/>
                <w:sz w:val="21"/>
                <w:szCs w:val="21"/>
                <w:u w:val="none" w:color="auto"/>
                <w:vertAlign w:val="superscript"/>
                <w:lang w:val="en-US" w:eastAsia="zh-CN"/>
              </w:rPr>
              <w:t>3</w:t>
            </w:r>
          </w:p>
          <w:tbl>
            <w:tblPr>
              <w:tblStyle w:val="31"/>
              <w:tblW w:w="7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8"/>
              <w:gridCol w:w="1242"/>
              <w:gridCol w:w="1006"/>
              <w:gridCol w:w="863"/>
              <w:gridCol w:w="863"/>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010" w:type="dxa"/>
                  <w:gridSpan w:val="2"/>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default" w:ascii="Times New Roman" w:hAnsi="Times New Roman" w:cs="Times New Roman" w:eastAsiaTheme="minorEastAsia"/>
                      <w:color w:val="auto"/>
                      <w:sz w:val="21"/>
                      <w:szCs w:val="21"/>
                      <w:u w:val="none" w:color="auto"/>
                      <w:vertAlign w:val="baseline"/>
                      <w:lang w:val="en-US" w:eastAsia="zh-CN"/>
                    </w:rPr>
                    <w:t>距离</w:t>
                  </w:r>
                </w:p>
              </w:tc>
              <w:tc>
                <w:tcPr>
                  <w:tcW w:w="100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default" w:ascii="Times New Roman" w:hAnsi="Times New Roman" w:cs="Times New Roman" w:eastAsiaTheme="minorEastAsia"/>
                      <w:color w:val="auto"/>
                      <w:sz w:val="21"/>
                      <w:szCs w:val="21"/>
                      <w:u w:val="none" w:color="auto"/>
                      <w:vertAlign w:val="baseline"/>
                      <w:lang w:val="en-US" w:eastAsia="zh-CN"/>
                    </w:rPr>
                    <w:t>5m</w:t>
                  </w:r>
                </w:p>
              </w:tc>
              <w:tc>
                <w:tcPr>
                  <w:tcW w:w="863"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default" w:ascii="Times New Roman" w:hAnsi="Times New Roman" w:cs="Times New Roman" w:eastAsiaTheme="minorEastAsia"/>
                      <w:color w:val="auto"/>
                      <w:sz w:val="21"/>
                      <w:szCs w:val="21"/>
                      <w:u w:val="none" w:color="auto"/>
                      <w:vertAlign w:val="baseline"/>
                      <w:lang w:val="en-US" w:eastAsia="zh-CN"/>
                    </w:rPr>
                    <w:t>20m</w:t>
                  </w:r>
                </w:p>
              </w:tc>
              <w:tc>
                <w:tcPr>
                  <w:tcW w:w="863"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default" w:ascii="Times New Roman" w:hAnsi="Times New Roman" w:cs="Times New Roman" w:eastAsiaTheme="minorEastAsia"/>
                      <w:color w:val="auto"/>
                      <w:sz w:val="21"/>
                      <w:szCs w:val="21"/>
                      <w:u w:val="none" w:color="auto"/>
                      <w:vertAlign w:val="baseline"/>
                      <w:lang w:val="en-US" w:eastAsia="zh-CN"/>
                    </w:rPr>
                    <w:t>50m</w:t>
                  </w:r>
                </w:p>
              </w:tc>
              <w:tc>
                <w:tcPr>
                  <w:tcW w:w="1017"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default" w:ascii="Times New Roman" w:hAnsi="Times New Roman" w:cs="Times New Roman" w:eastAsiaTheme="minorEastAsia"/>
                      <w:color w:val="auto"/>
                      <w:sz w:val="21"/>
                      <w:szCs w:val="21"/>
                      <w:u w:val="none" w:color="auto"/>
                      <w:vertAlign w:val="baseline"/>
                      <w:lang w:val="en-US" w:eastAsia="zh-CN"/>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TSP小时平均浓度</w:t>
                  </w:r>
                </w:p>
              </w:tc>
              <w:tc>
                <w:tcPr>
                  <w:tcW w:w="1242"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不洒水</w:t>
                  </w:r>
                </w:p>
              </w:tc>
              <w:tc>
                <w:tcPr>
                  <w:tcW w:w="100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10.14</w:t>
                  </w:r>
                </w:p>
              </w:tc>
              <w:tc>
                <w:tcPr>
                  <w:tcW w:w="863"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2.89</w:t>
                  </w:r>
                </w:p>
              </w:tc>
              <w:tc>
                <w:tcPr>
                  <w:tcW w:w="863"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1.15</w:t>
                  </w:r>
                </w:p>
              </w:tc>
              <w:tc>
                <w:tcPr>
                  <w:tcW w:w="1017"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p>
              </w:tc>
              <w:tc>
                <w:tcPr>
                  <w:tcW w:w="1242"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洒水</w:t>
                  </w:r>
                </w:p>
              </w:tc>
              <w:tc>
                <w:tcPr>
                  <w:tcW w:w="100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2.01</w:t>
                  </w:r>
                </w:p>
              </w:tc>
              <w:tc>
                <w:tcPr>
                  <w:tcW w:w="863"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1.40</w:t>
                  </w:r>
                </w:p>
              </w:tc>
              <w:tc>
                <w:tcPr>
                  <w:tcW w:w="863"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0.67</w:t>
                  </w:r>
                </w:p>
              </w:tc>
              <w:tc>
                <w:tcPr>
                  <w:tcW w:w="1017"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eastAsiaTheme="minorEastAsia"/>
                      <w:color w:val="auto"/>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color="auto"/>
                      <w:vertAlign w:val="baseline"/>
                      <w:lang w:val="en-US" w:eastAsia="zh-CN"/>
                    </w:rPr>
                    <w:t>0.60</w:t>
                  </w:r>
                </w:p>
              </w:tc>
            </w:tr>
          </w:tbl>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eastAsia" w:ascii="Times New Roman" w:hAnsi="Times New Roman" w:eastAsia="宋体" w:cs="Times New Roman"/>
                <w:color w:val="auto"/>
                <w:sz w:val="24"/>
                <w:u w:val="none" w:color="auto"/>
                <w:lang w:val="en-US" w:eastAsia="zh-CN"/>
              </w:rPr>
              <w:t>施工扬尘的另一种重要产生方式是建筑材料的露天堆放和搅拌作业，这类扬尘的主要特点是受作业时风速大小的影响显著。因此，禁止在大风天气时进行此类作业以及减少建筑材料的露天堆放是抑制这类扬尘的一种很有效的手段。因此必须采取合理可行的控制措施，以便最大程度减少扬尘对周围大气环境的影响。</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②施工机械及运输车辆尾气</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施工期间，机械废气主要是因为机动车运送原材料、设备和建筑机械设备的运转，会排放一定量的 CO、NOx 以及未完全燃烧的HC等，产生情况主要决定因素为燃料油种类、机械性能、作业方式和风力等。其特点是排放量小，且属间断性无组织排放。</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施工期间需使用少量燃油施工机械，燃油施工机械工作时会产生燃油废气，排放量小，且属间断性无组织排放，经大气稀释扩散后很快消逝，不会对周边环境造成较大影响。</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FF0000"/>
                <w:sz w:val="24"/>
                <w:u w:val="none" w:color="auto"/>
                <w:lang w:eastAsia="zh-CN"/>
              </w:rPr>
            </w:pPr>
            <w:r>
              <w:rPr>
                <w:rFonts w:hint="default" w:ascii="Times New Roman" w:hAnsi="Times New Roman" w:eastAsia="宋体" w:cs="Times New Roman"/>
                <w:color w:val="auto"/>
                <w:sz w:val="24"/>
                <w:u w:val="none" w:color="auto"/>
                <w:lang w:eastAsia="zh-CN"/>
              </w:rPr>
              <w:t>本项目施工期间车辆主要负责运输建筑原材料，其产生的汽车尾气呈无组织排放，经大气扩散稀释后预计对环境影响较小。</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③装修废气</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装修期间产生的废气主要为有机废气，该废气的排放属无组织排放，其主要污染因子为甲醛、二甲苯、甲苯等，此外还有少量的汽油、丁醇和丙醇等。装修废气排放时间和位置不明确，且作业分散。因此，在装修期间和正式使用后一段时间内应加强室内通风换气。建设单位应按照国家有关规定委托有资质的单位进行项目设计、施工、检测，选用符合国家相关标准的绿色建筑、装修材料，确保建筑物室内空气中有害物质含量符合《室内空气质量标准》（GB/T18883-2002）中表 1 标准。</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Chars="200" w:right="0" w:rightChars="0"/>
              <w:textAlignment w:val="auto"/>
              <w:outlineLvl w:val="9"/>
              <w:rPr>
                <w:rFonts w:hint="default" w:ascii="Times New Roman" w:hAnsi="Times New Roman" w:eastAsia="宋体" w:cs="Times New Roman"/>
                <w:color w:val="auto"/>
                <w:sz w:val="24"/>
                <w:u w:val="none" w:color="auto"/>
                <w:lang w:eastAsia="zh-CN"/>
              </w:rPr>
            </w:pP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2</w:t>
            </w:r>
            <w:r>
              <w:rPr>
                <w:rFonts w:hint="eastAsia" w:ascii="Times New Roman" w:hAnsi="Times New Roman" w:cs="Times New Roman"/>
                <w:color w:val="auto"/>
                <w:sz w:val="24"/>
                <w:u w:val="none" w:color="auto"/>
                <w:lang w:eastAsia="zh-CN"/>
              </w:rPr>
              <w:t>）</w:t>
            </w:r>
            <w:r>
              <w:rPr>
                <w:rFonts w:hint="default" w:ascii="Times New Roman" w:hAnsi="Times New Roman" w:eastAsia="宋体" w:cs="Times New Roman"/>
                <w:color w:val="auto"/>
                <w:sz w:val="24"/>
                <w:u w:val="none" w:color="auto"/>
                <w:lang w:eastAsia="zh-CN"/>
              </w:rPr>
              <w:t>废水污染源影响分析</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Chars="200" w:right="0" w:rightChars="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本项目施工期废水主要是建筑施工人员的生活污水和施工废水。</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Chars="200" w:right="0" w:rightChars="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①生活污水</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single" w:color="auto"/>
                <w:lang w:val="en-US" w:eastAsia="zh-CN"/>
              </w:rPr>
            </w:pPr>
            <w:r>
              <w:rPr>
                <w:rFonts w:hint="default" w:ascii="Times New Roman" w:hAnsi="Times New Roman" w:eastAsia="宋体" w:cs="Times New Roman"/>
                <w:color w:val="auto"/>
                <w:sz w:val="24"/>
                <w:u w:val="single" w:color="auto"/>
                <w:lang w:eastAsia="zh-CN"/>
              </w:rPr>
              <w:t>本项目在项目用地范围内设施工营地，并设置有化粪池及临时排污管，生活污水</w:t>
            </w:r>
            <w:r>
              <w:rPr>
                <w:rFonts w:hint="eastAsia" w:ascii="Times New Roman" w:hAnsi="Times New Roman" w:cs="Times New Roman"/>
                <w:color w:val="auto"/>
                <w:sz w:val="24"/>
                <w:u w:val="single" w:color="auto"/>
                <w:lang w:val="en-US" w:eastAsia="zh-CN"/>
              </w:rPr>
              <w:t>接入一期生活污水管网</w:t>
            </w:r>
            <w:r>
              <w:rPr>
                <w:rFonts w:hint="eastAsia" w:ascii="Times New Roman" w:hAnsi="Times New Roman"/>
                <w:color w:val="auto"/>
                <w:sz w:val="24"/>
                <w:u w:val="single" w:color="auto"/>
                <w:lang w:val="en-US" w:eastAsia="zh-CN"/>
              </w:rPr>
              <w:t>排至东侧芙蓉北路市政污水管网</w:t>
            </w:r>
            <w:r>
              <w:rPr>
                <w:rFonts w:hint="default" w:ascii="Times New Roman" w:hAnsi="Times New Roman" w:eastAsia="宋体" w:cs="Times New Roman"/>
                <w:color w:val="auto"/>
                <w:sz w:val="24"/>
                <w:u w:val="single" w:color="auto"/>
                <w:lang w:eastAsia="zh-CN"/>
              </w:rPr>
              <w:t>最终排入湘阴县第三污水处理厂</w:t>
            </w:r>
            <w:r>
              <w:rPr>
                <w:rFonts w:hint="eastAsia" w:ascii="Times New Roman" w:hAnsi="Times New Roman" w:cs="Times New Roman"/>
                <w:color w:val="auto"/>
                <w:sz w:val="24"/>
                <w:u w:val="single" w:color="auto"/>
                <w:lang w:val="en-US" w:eastAsia="zh-CN"/>
              </w:rPr>
              <w:t>处理</w:t>
            </w:r>
            <w:r>
              <w:rPr>
                <w:rFonts w:hint="default" w:ascii="Times New Roman" w:hAnsi="Times New Roman" w:eastAsia="宋体" w:cs="Times New Roman"/>
                <w:color w:val="auto"/>
                <w:sz w:val="24"/>
                <w:u w:val="single" w:color="auto"/>
                <w:lang w:eastAsia="zh-CN"/>
              </w:rPr>
              <w:t>，经污水处理厂处理达标后排入洋沙河。</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项目施工高峰期人数约为50人。根据《建筑给水排水设计规范》，施工人员生活用水量按平均每天145L/人计，施工期为1</w:t>
            </w:r>
            <w:r>
              <w:rPr>
                <w:rFonts w:hint="eastAsia" w:ascii="Times New Roman" w:hAnsi="Times New Roman" w:cs="Times New Roman"/>
                <w:color w:val="auto"/>
                <w:sz w:val="24"/>
                <w:u w:val="none" w:color="auto"/>
                <w:lang w:val="en-US" w:eastAsia="zh-CN"/>
              </w:rPr>
              <w:t>2</w:t>
            </w:r>
            <w:r>
              <w:rPr>
                <w:rFonts w:hint="default" w:ascii="Times New Roman" w:hAnsi="Times New Roman" w:eastAsia="宋体" w:cs="Times New Roman"/>
                <w:color w:val="auto"/>
                <w:sz w:val="24"/>
                <w:u w:val="none" w:color="auto"/>
                <w:lang w:eastAsia="zh-CN"/>
              </w:rPr>
              <w:t>个月，则日生活用水量为7.25m</w:t>
            </w:r>
            <w:r>
              <w:rPr>
                <w:rFonts w:hint="default" w:ascii="Times New Roman" w:hAnsi="Times New Roman" w:eastAsia="宋体" w:cs="Times New Roman"/>
                <w:color w:val="auto"/>
                <w:sz w:val="24"/>
                <w:u w:val="none" w:color="auto"/>
                <w:vertAlign w:val="superscript"/>
                <w:lang w:eastAsia="zh-CN"/>
              </w:rPr>
              <w:t>3</w:t>
            </w:r>
            <w:r>
              <w:rPr>
                <w:rFonts w:hint="default" w:ascii="Times New Roman" w:hAnsi="Times New Roman" w:eastAsia="宋体" w:cs="Times New Roman"/>
                <w:color w:val="auto"/>
                <w:sz w:val="24"/>
                <w:u w:val="none" w:color="auto"/>
                <w:lang w:eastAsia="zh-CN"/>
              </w:rPr>
              <w:t>/d、施工期生活用水量为</w:t>
            </w:r>
            <w:r>
              <w:rPr>
                <w:rFonts w:hint="eastAsia" w:ascii="Times New Roman" w:hAnsi="Times New Roman" w:cs="Times New Roman"/>
                <w:color w:val="auto"/>
                <w:sz w:val="24"/>
                <w:u w:val="none" w:color="auto"/>
                <w:lang w:val="en-US" w:eastAsia="zh-CN"/>
              </w:rPr>
              <w:t>2646.25</w:t>
            </w:r>
            <w:r>
              <w:rPr>
                <w:rFonts w:hint="default" w:ascii="Times New Roman" w:hAnsi="Times New Roman" w:eastAsia="宋体" w:cs="Times New Roman"/>
                <w:color w:val="auto"/>
                <w:sz w:val="24"/>
                <w:u w:val="none" w:color="auto"/>
                <w:lang w:eastAsia="zh-CN"/>
              </w:rPr>
              <w:t>m</w:t>
            </w:r>
            <w:r>
              <w:rPr>
                <w:rFonts w:hint="default" w:ascii="Times New Roman" w:hAnsi="Times New Roman" w:eastAsia="宋体" w:cs="Times New Roman"/>
                <w:color w:val="auto"/>
                <w:sz w:val="24"/>
                <w:u w:val="none" w:color="auto"/>
                <w:vertAlign w:val="superscript"/>
                <w:lang w:eastAsia="zh-CN"/>
              </w:rPr>
              <w:t>3</w:t>
            </w:r>
            <w:r>
              <w:rPr>
                <w:rFonts w:hint="default" w:ascii="Times New Roman" w:hAnsi="Times New Roman" w:eastAsia="宋体" w:cs="Times New Roman"/>
                <w:color w:val="auto"/>
                <w:sz w:val="24"/>
                <w:u w:val="none" w:color="auto"/>
                <w:lang w:eastAsia="zh-CN"/>
              </w:rPr>
              <w:t>。生活污水的排放量按用水量的80%计算，则生活污水的排放量为5.8m</w:t>
            </w:r>
            <w:r>
              <w:rPr>
                <w:rFonts w:hint="default" w:ascii="Times New Roman" w:hAnsi="Times New Roman" w:eastAsia="宋体" w:cs="Times New Roman"/>
                <w:color w:val="auto"/>
                <w:sz w:val="24"/>
                <w:u w:val="none" w:color="auto"/>
                <w:vertAlign w:val="superscript"/>
                <w:lang w:eastAsia="zh-CN"/>
              </w:rPr>
              <w:t>3</w:t>
            </w:r>
            <w:r>
              <w:rPr>
                <w:rFonts w:hint="default" w:ascii="Times New Roman" w:hAnsi="Times New Roman" w:eastAsia="宋体" w:cs="Times New Roman"/>
                <w:color w:val="auto"/>
                <w:sz w:val="24"/>
                <w:u w:val="none" w:color="auto"/>
                <w:lang w:eastAsia="zh-CN"/>
              </w:rPr>
              <w:t>/d、施工期生活废水量为</w:t>
            </w:r>
            <w:r>
              <w:rPr>
                <w:rFonts w:hint="eastAsia" w:ascii="Times New Roman" w:hAnsi="Times New Roman" w:cs="Times New Roman"/>
                <w:color w:val="auto"/>
                <w:sz w:val="24"/>
                <w:u w:val="none" w:color="auto"/>
                <w:lang w:val="en-US" w:eastAsia="zh-CN"/>
              </w:rPr>
              <w:t>2117</w:t>
            </w:r>
            <w:r>
              <w:rPr>
                <w:rFonts w:hint="default" w:ascii="Times New Roman" w:hAnsi="Times New Roman" w:eastAsia="宋体" w:cs="Times New Roman"/>
                <w:color w:val="auto"/>
                <w:sz w:val="24"/>
                <w:u w:val="none" w:color="auto"/>
                <w:lang w:eastAsia="zh-CN"/>
              </w:rPr>
              <w:t>m</w:t>
            </w:r>
            <w:r>
              <w:rPr>
                <w:rFonts w:hint="default" w:ascii="Times New Roman" w:hAnsi="Times New Roman" w:eastAsia="宋体" w:cs="Times New Roman"/>
                <w:color w:val="auto"/>
                <w:sz w:val="24"/>
                <w:u w:val="none" w:color="auto"/>
                <w:vertAlign w:val="superscript"/>
                <w:lang w:eastAsia="zh-CN"/>
              </w:rPr>
              <w:t>3</w:t>
            </w:r>
            <w:r>
              <w:rPr>
                <w:rFonts w:hint="default" w:ascii="Times New Roman" w:hAnsi="Times New Roman" w:eastAsia="宋体" w:cs="Times New Roman"/>
                <w:color w:val="auto"/>
                <w:sz w:val="24"/>
                <w:u w:val="none" w:color="auto"/>
                <w:lang w:eastAsia="zh-CN"/>
              </w:rPr>
              <w:t>。生活污水主要污染物及浓度如下表。</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lang w:val="en-US" w:eastAsia="zh-CN"/>
              </w:rPr>
              <w:t>表4-2  项目施工期生活污水污染物产生排放情况一览表（pH为无量纲）</w:t>
            </w:r>
          </w:p>
          <w:tbl>
            <w:tblPr>
              <w:tblStyle w:val="31"/>
              <w:tblW w:w="7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536"/>
              <w:gridCol w:w="532"/>
              <w:gridCol w:w="892"/>
              <w:gridCol w:w="829"/>
              <w:gridCol w:w="794"/>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0"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类别</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污染物</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pH</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CODcr</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BOD</w:t>
                  </w:r>
                  <w:r>
                    <w:rPr>
                      <w:rFonts w:hint="eastAsia" w:ascii="Times New Roman" w:hAnsi="Times New Roman" w:eastAsia="宋体" w:cs="Times New Roman"/>
                      <w:b w:val="0"/>
                      <w:bCs w:val="0"/>
                      <w:color w:val="auto"/>
                      <w:sz w:val="21"/>
                      <w:szCs w:val="21"/>
                      <w:u w:val="none" w:color="auto"/>
                      <w:vertAlign w:val="subscript"/>
                      <w:lang w:val="en-US" w:eastAsia="zh-CN"/>
                    </w:rPr>
                    <w:t>5</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氨氮</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restart"/>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生活污水</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产生浓度（mg/L）</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6-9</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350</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200</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25</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产生量（t/a）</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0.741</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0.4234</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0.0529</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dxa"/>
                  <w:gridSpan w:val="2"/>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处理效率</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30</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20</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restart"/>
                  <w:vAlign w:val="center"/>
                </w:tcPr>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排放情况</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排放浓度（mg/L）</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6-9</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245</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160</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24.25</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产生量（t/a）</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0.518</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0.338</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0.0513</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0.3704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dxa"/>
                  <w:gridSpan w:val="2"/>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（GB8078-1996）三级标准（mg/L）</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6-9</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500</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300</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dxa"/>
                  <w:gridSpan w:val="2"/>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湘阴县第三污水处理厂进水水质指标</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6-9</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500</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180</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30</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dxa"/>
                  <w:gridSpan w:val="2"/>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（GB18918-2002）一级 A 标准</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6-9</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50</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10</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dxa"/>
                  <w:gridSpan w:val="2"/>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b w:val="0"/>
                      <w:bCs w:val="0"/>
                      <w:color w:val="auto"/>
                      <w:sz w:val="21"/>
                      <w:szCs w:val="21"/>
                      <w:u w:val="none" w:color="auto"/>
                      <w:vertAlign w:val="baseline"/>
                      <w:lang w:val="en-US" w:eastAsia="zh-CN"/>
                    </w:rPr>
                    <w:t>间接排放量（t/a）</w:t>
                  </w:r>
                </w:p>
              </w:tc>
              <w:tc>
                <w:tcPr>
                  <w:tcW w:w="53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w:t>
                  </w:r>
                </w:p>
              </w:tc>
              <w:tc>
                <w:tcPr>
                  <w:tcW w:w="89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0.105</w:t>
                  </w:r>
                </w:p>
              </w:tc>
              <w:tc>
                <w:tcPr>
                  <w:tcW w:w="8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0.0211</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0.0105</w:t>
                  </w:r>
                </w:p>
              </w:tc>
              <w:tc>
                <w:tcPr>
                  <w:tcW w:w="794"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0.0211</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施工期生活污水进入化粪池处理后，可满足湘阴县第三污水处理厂接管水质要求和《污水综合排放标准》（GB8978-1996）表4标准，经市政污水管网排入湘阴县第三污水处理厂处理，达到《城镇污水处理厂污染物排放标准》（GB18918－2002）一级A标准。</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②施工废水</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val="en-US" w:eastAsia="zh-CN"/>
              </w:rPr>
              <w:t>施工过程中产生的废水主要是来自多雨季节的地表径流和施工工地废水，其中施工工地废水包括地基开挖产生的泥浆水、机械设备运转的冲洗水。施工废水主要来源于工程施工砼浇筑和机械、车辆的冲洗等，砼浇筑废水主要污染物为悬浮物，冲洗废水主要为含有油污的废水。根据本工程特点，一般施工车辆冲洗废水约500L/辆，每天按5辆计，则车辆冲洗废水产生量约2.5m</w:t>
            </w:r>
            <w:r>
              <w:rPr>
                <w:rFonts w:hint="default" w:ascii="Times New Roman" w:hAnsi="Times New Roman" w:eastAsia="宋体" w:cs="Times New Roman"/>
                <w:color w:val="auto"/>
                <w:sz w:val="24"/>
                <w:u w:val="none" w:color="auto"/>
                <w:vertAlign w:val="superscript"/>
                <w:lang w:val="en-US" w:eastAsia="zh-CN"/>
              </w:rPr>
              <w:t>3</w:t>
            </w:r>
            <w:r>
              <w:rPr>
                <w:rFonts w:hint="default" w:ascii="Times New Roman" w:hAnsi="Times New Roman" w:eastAsia="宋体" w:cs="Times New Roman"/>
                <w:color w:val="auto"/>
                <w:sz w:val="24"/>
                <w:u w:val="none" w:color="auto"/>
                <w:lang w:val="en-US" w:eastAsia="zh-CN"/>
              </w:rPr>
              <w:t xml:space="preserve"> /d，施工期为1</w:t>
            </w:r>
            <w:r>
              <w:rPr>
                <w:rFonts w:hint="eastAsia" w:ascii="Times New Roman" w:hAnsi="Times New Roman" w:cs="Times New Roman"/>
                <w:color w:val="auto"/>
                <w:sz w:val="24"/>
                <w:u w:val="none" w:color="auto"/>
                <w:lang w:val="en-US" w:eastAsia="zh-CN"/>
              </w:rPr>
              <w:t>2</w:t>
            </w:r>
            <w:r>
              <w:rPr>
                <w:rFonts w:hint="default" w:ascii="Times New Roman" w:hAnsi="Times New Roman" w:eastAsia="宋体" w:cs="Times New Roman"/>
                <w:color w:val="auto"/>
                <w:sz w:val="24"/>
                <w:u w:val="none" w:color="auto"/>
                <w:lang w:val="en-US" w:eastAsia="zh-CN"/>
              </w:rPr>
              <w:t>个月，则车辆冲洗废水量为</w:t>
            </w:r>
            <w:r>
              <w:rPr>
                <w:rFonts w:hint="eastAsia" w:ascii="Times New Roman" w:hAnsi="Times New Roman" w:cs="Times New Roman"/>
                <w:color w:val="auto"/>
                <w:sz w:val="24"/>
                <w:u w:val="none" w:color="auto"/>
                <w:lang w:val="en-US" w:eastAsia="zh-CN"/>
              </w:rPr>
              <w:t>912.5</w:t>
            </w:r>
            <w:r>
              <w:rPr>
                <w:rFonts w:hint="default" w:ascii="Times New Roman" w:hAnsi="Times New Roman" w:eastAsia="宋体" w:cs="Times New Roman"/>
                <w:color w:val="auto"/>
                <w:sz w:val="24"/>
                <w:u w:val="none" w:color="auto"/>
                <w:lang w:val="en-US" w:eastAsia="zh-CN"/>
              </w:rPr>
              <w:t>m</w:t>
            </w:r>
            <w:r>
              <w:rPr>
                <w:rFonts w:hint="default" w:ascii="Times New Roman" w:hAnsi="Times New Roman" w:eastAsia="宋体" w:cs="Times New Roman"/>
                <w:color w:val="auto"/>
                <w:sz w:val="24"/>
                <w:u w:val="none" w:color="auto"/>
                <w:vertAlign w:val="superscript"/>
                <w:lang w:val="en-US" w:eastAsia="zh-CN"/>
              </w:rPr>
              <w:t>3</w:t>
            </w:r>
            <w:r>
              <w:rPr>
                <w:rFonts w:hint="default" w:ascii="Times New Roman" w:hAnsi="Times New Roman" w:eastAsia="宋体" w:cs="Times New Roman"/>
                <w:color w:val="auto"/>
                <w:sz w:val="24"/>
                <w:u w:val="none" w:color="auto"/>
                <w:lang w:val="en-US" w:eastAsia="zh-CN"/>
              </w:rPr>
              <w:t xml:space="preserve"> /d，冲洗废水主要含有COD、石油类、SS 等，浓度约为25～200mg/L、10～30mg/L、500～4000mg/L，则COD取200mg/L、石油类取30mg/L、SS取4000mg/L计，则COD、石油类、SS产生量分别为</w:t>
            </w:r>
            <w:r>
              <w:rPr>
                <w:rFonts w:hint="eastAsia" w:ascii="Times New Roman" w:hAnsi="Times New Roman" w:cs="Times New Roman"/>
                <w:color w:val="auto"/>
                <w:sz w:val="24"/>
                <w:u w:val="none" w:color="auto"/>
                <w:lang w:val="en-US" w:eastAsia="zh-CN"/>
              </w:rPr>
              <w:t>0.1825</w:t>
            </w:r>
            <w:r>
              <w:rPr>
                <w:rFonts w:hint="default" w:ascii="Times New Roman" w:hAnsi="Times New Roman" w:eastAsia="宋体" w:cs="Times New Roman"/>
                <w:color w:val="auto"/>
                <w:sz w:val="24"/>
                <w:u w:val="none" w:color="auto"/>
                <w:lang w:val="en-US" w:eastAsia="zh-CN"/>
              </w:rPr>
              <w:t>t/a、0.</w:t>
            </w:r>
            <w:r>
              <w:rPr>
                <w:rFonts w:hint="eastAsia" w:ascii="Times New Roman" w:hAnsi="Times New Roman" w:cs="Times New Roman"/>
                <w:color w:val="auto"/>
                <w:sz w:val="24"/>
                <w:u w:val="none" w:color="auto"/>
                <w:lang w:val="en-US" w:eastAsia="zh-CN"/>
              </w:rPr>
              <w:t>27375</w:t>
            </w:r>
            <w:r>
              <w:rPr>
                <w:rFonts w:hint="default" w:ascii="Times New Roman" w:hAnsi="Times New Roman" w:eastAsia="宋体" w:cs="Times New Roman"/>
                <w:color w:val="auto"/>
                <w:sz w:val="24"/>
                <w:u w:val="none" w:color="auto"/>
                <w:lang w:val="en-US" w:eastAsia="zh-CN"/>
              </w:rPr>
              <w:t>t/a、3</w:t>
            </w:r>
            <w:r>
              <w:rPr>
                <w:rFonts w:hint="eastAsia" w:ascii="Times New Roman" w:hAnsi="Times New Roman" w:cs="Times New Roman"/>
                <w:color w:val="auto"/>
                <w:sz w:val="24"/>
                <w:u w:val="none" w:color="auto"/>
                <w:lang w:val="en-US" w:eastAsia="zh-CN"/>
              </w:rPr>
              <w:t>.65</w:t>
            </w:r>
            <w:r>
              <w:rPr>
                <w:rFonts w:hint="default" w:ascii="Times New Roman" w:hAnsi="Times New Roman" w:eastAsia="宋体" w:cs="Times New Roman"/>
                <w:color w:val="auto"/>
                <w:sz w:val="24"/>
                <w:u w:val="none" w:color="auto"/>
                <w:lang w:val="en-US" w:eastAsia="zh-CN"/>
              </w:rPr>
              <w:t>t/a。多雨季节的持续和高强度降雨会冲刷浮土、建筑砂石、垃圾、填土等，产生明显的地表径流，其中会夹带大量泥沙、水泥和油类等各种污染物，废水量与降雨强度有关，不做定量计算。施工作业废水经隔油沉淀池处理后回用场内洒水降尘，不会对周边环境造成影响。</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3</w:t>
            </w:r>
            <w:r>
              <w:rPr>
                <w:rFonts w:hint="eastAsia" w:ascii="Times New Roman" w:hAnsi="Times New Roman" w:cs="Times New Roman"/>
                <w:color w:val="auto"/>
                <w:sz w:val="24"/>
                <w:u w:val="none" w:color="auto"/>
                <w:lang w:eastAsia="zh-CN"/>
              </w:rPr>
              <w:t>）噪声污染源影响分析</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val="en-US" w:eastAsia="zh-CN"/>
              </w:rPr>
            </w:pPr>
            <w:r>
              <w:rPr>
                <w:rFonts w:hint="eastAsia" w:ascii="宋体" w:hAnsi="宋体" w:eastAsia="宋体" w:cs="宋体"/>
                <w:color w:val="auto"/>
                <w:kern w:val="0"/>
                <w:sz w:val="24"/>
                <w:szCs w:val="24"/>
                <w:lang w:val="en-US" w:eastAsia="zh-CN" w:bidi="ar"/>
              </w:rPr>
              <w:t>建</w:t>
            </w:r>
            <w:r>
              <w:rPr>
                <w:rFonts w:hint="eastAsia" w:ascii="Times New Roman" w:hAnsi="Times New Roman" w:eastAsia="宋体" w:cs="Times New Roman"/>
                <w:color w:val="auto"/>
                <w:sz w:val="24"/>
                <w:u w:val="none" w:color="auto"/>
                <w:lang w:val="en-US" w:eastAsia="zh-CN"/>
              </w:rPr>
              <w:t>筑施工期噪声源主要来自施工机械运转，设备动力噪声和运输车辆的交通噪声。施工机械和设备动力噪声具有声级大、声源强、连续性等特点，运输车辆的交通噪声具有声源面广、流动性强等特点。而这些施工设备又多位于室外，施工机械噪声和运输车辆的交通噪声会给周围的居民的生活造成干扰。根据类比调查，施工现场挖掘、混凝土现场浇注、装卸、运输等施工机械及运输车辆同时作业时，各类施工机械及运输车辆产生的噪声源强见下表：</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u w:val="none" w:color="auto"/>
                <w:vertAlign w:val="baseline"/>
                <w:lang w:val="en-US" w:eastAsia="zh-CN"/>
              </w:rPr>
            </w:pPr>
            <w:r>
              <w:rPr>
                <w:rFonts w:hint="default" w:ascii="Times New Roman" w:hAnsi="Times New Roman" w:cs="Times New Roman"/>
                <w:b/>
                <w:bCs/>
                <w:color w:val="auto"/>
                <w:sz w:val="21"/>
                <w:szCs w:val="21"/>
                <w:u w:val="none" w:color="auto"/>
                <w:lang w:val="en-US" w:eastAsia="zh-CN"/>
              </w:rPr>
              <w:t>表4-</w:t>
            </w:r>
            <w:r>
              <w:rPr>
                <w:rFonts w:hint="eastAsia" w:ascii="Times New Roman" w:hAnsi="Times New Roman" w:cs="Times New Roman"/>
                <w:b/>
                <w:bCs/>
                <w:color w:val="auto"/>
                <w:sz w:val="21"/>
                <w:szCs w:val="21"/>
                <w:u w:val="none" w:color="auto"/>
                <w:lang w:val="en-US" w:eastAsia="zh-CN"/>
              </w:rPr>
              <w:t>3</w:t>
            </w:r>
            <w:r>
              <w:rPr>
                <w:rFonts w:hint="default" w:ascii="Times New Roman" w:hAnsi="Times New Roman" w:cs="Times New Roman"/>
                <w:b/>
                <w:bCs/>
                <w:color w:val="auto"/>
                <w:sz w:val="21"/>
                <w:szCs w:val="21"/>
                <w:u w:val="none" w:color="auto"/>
                <w:lang w:val="en-US" w:eastAsia="zh-CN"/>
              </w:rPr>
              <w:t xml:space="preserve">  </w:t>
            </w:r>
            <w:r>
              <w:rPr>
                <w:rFonts w:hint="eastAsia" w:ascii="Times New Roman" w:hAnsi="Times New Roman" w:cs="Times New Roman"/>
                <w:b/>
                <w:bCs/>
                <w:color w:val="auto"/>
                <w:sz w:val="21"/>
                <w:szCs w:val="21"/>
                <w:u w:val="none" w:color="auto"/>
                <w:lang w:val="en-US" w:eastAsia="zh-CN"/>
              </w:rPr>
              <w:t>主要施工设备的噪声值    单位：dB（A）</w:t>
            </w:r>
          </w:p>
          <w:tbl>
            <w:tblPr>
              <w:tblStyle w:val="31"/>
              <w:tblW w:w="7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305"/>
              <w:gridCol w:w="2142"/>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3"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设备</w:t>
                  </w:r>
                </w:p>
              </w:tc>
              <w:tc>
                <w:tcPr>
                  <w:tcW w:w="2305"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噪声值</w:t>
                  </w:r>
                </w:p>
              </w:tc>
              <w:tc>
                <w:tcPr>
                  <w:tcW w:w="214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设备</w:t>
                  </w:r>
                </w:p>
              </w:tc>
              <w:tc>
                <w:tcPr>
                  <w:tcW w:w="19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挖掘机</w:t>
                  </w:r>
                </w:p>
              </w:tc>
              <w:tc>
                <w:tcPr>
                  <w:tcW w:w="2305"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75-85</w:t>
                  </w:r>
                </w:p>
              </w:tc>
              <w:tc>
                <w:tcPr>
                  <w:tcW w:w="214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推土机</w:t>
                  </w:r>
                </w:p>
              </w:tc>
              <w:tc>
                <w:tcPr>
                  <w:tcW w:w="19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打桩机</w:t>
                  </w:r>
                </w:p>
              </w:tc>
              <w:tc>
                <w:tcPr>
                  <w:tcW w:w="2305"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95-110</w:t>
                  </w:r>
                </w:p>
              </w:tc>
              <w:tc>
                <w:tcPr>
                  <w:tcW w:w="214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装卸机</w:t>
                  </w:r>
                </w:p>
              </w:tc>
              <w:tc>
                <w:tcPr>
                  <w:tcW w:w="19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振捣器</w:t>
                  </w:r>
                </w:p>
              </w:tc>
              <w:tc>
                <w:tcPr>
                  <w:tcW w:w="2305"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80-90</w:t>
                  </w:r>
                </w:p>
              </w:tc>
              <w:tc>
                <w:tcPr>
                  <w:tcW w:w="214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载重汽车</w:t>
                  </w:r>
                </w:p>
              </w:tc>
              <w:tc>
                <w:tcPr>
                  <w:tcW w:w="19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翻斗机</w:t>
                  </w:r>
                </w:p>
              </w:tc>
              <w:tc>
                <w:tcPr>
                  <w:tcW w:w="2305"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80-85</w:t>
                  </w:r>
                </w:p>
              </w:tc>
              <w:tc>
                <w:tcPr>
                  <w:tcW w:w="2142"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p>
              </w:tc>
              <w:tc>
                <w:tcPr>
                  <w:tcW w:w="1929" w:type="dxa"/>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p>
              </w:tc>
            </w:tr>
          </w:tbl>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项目施工期噪声主要为施工阶段各施工机械和运输车辆噪声。施工机械主要包括挖掘机、装载机、铲土机、卡机、振捣机等，噪声源强为85~105 dB（A）之间。在多台机械设施同时施工时，叠加后增加值一般不超过10dB（A）。</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施工机械噪声源基本是在半自由场中的点声源传播，且声源基本均为裸露声源，采用点声源的几何发散衰减公式，预测施工场不同距离处的等效声级，即：</w:t>
            </w:r>
          </w:p>
          <w:p>
            <w:pPr>
              <w:keepNext w:val="0"/>
              <w:keepLines w:val="0"/>
              <w:pageBreakBefore w:val="0"/>
              <w:widowControl w:val="0"/>
              <w:kinsoku/>
              <w:wordWrap/>
              <w:overflowPunct/>
              <w:topLinePunct w:val="0"/>
              <w:autoSpaceDE/>
              <w:autoSpaceDN/>
              <w:bidi w:val="0"/>
              <w:snapToGrid w:val="0"/>
              <w:spacing w:line="360" w:lineRule="auto"/>
              <w:ind w:right="0" w:rightChars="0"/>
              <w:jc w:val="center"/>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Lp（r）=Lp（r0）-20lg（r/r0）</w:t>
            </w:r>
          </w:p>
          <w:p>
            <w:pPr>
              <w:keepNext w:val="0"/>
              <w:keepLines w:val="0"/>
              <w:pageBreakBefore w:val="0"/>
              <w:widowControl w:val="0"/>
              <w:kinsoku/>
              <w:wordWrap/>
              <w:overflowPunct/>
              <w:topLinePunct w:val="0"/>
              <w:autoSpaceDE/>
              <w:autoSpaceDN/>
              <w:bidi w:val="0"/>
              <w:snapToGrid w:val="0"/>
              <w:spacing w:line="360" w:lineRule="auto"/>
              <w:ind w:right="0" w:rightChars="0"/>
              <w:jc w:val="center"/>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式中：Lp（r）—预测点处声压级，dB；</w:t>
            </w:r>
          </w:p>
          <w:p>
            <w:pPr>
              <w:keepNext w:val="0"/>
              <w:keepLines w:val="0"/>
              <w:pageBreakBefore w:val="0"/>
              <w:widowControl w:val="0"/>
              <w:kinsoku/>
              <w:wordWrap/>
              <w:overflowPunct/>
              <w:topLinePunct w:val="0"/>
              <w:autoSpaceDE/>
              <w:autoSpaceDN/>
              <w:bidi w:val="0"/>
              <w:snapToGrid w:val="0"/>
              <w:spacing w:line="360" w:lineRule="auto"/>
              <w:ind w:right="0" w:rightChars="0"/>
              <w:jc w:val="center"/>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Lp（r0）—参考位置 r0处的声压级，dB；</w:t>
            </w:r>
          </w:p>
          <w:p>
            <w:pPr>
              <w:keepNext w:val="0"/>
              <w:keepLines w:val="0"/>
              <w:pageBreakBefore w:val="0"/>
              <w:widowControl w:val="0"/>
              <w:kinsoku/>
              <w:wordWrap/>
              <w:overflowPunct/>
              <w:topLinePunct w:val="0"/>
              <w:autoSpaceDE/>
              <w:autoSpaceDN/>
              <w:bidi w:val="0"/>
              <w:snapToGrid w:val="0"/>
              <w:spacing w:line="360" w:lineRule="auto"/>
              <w:ind w:right="0" w:rightChars="0"/>
              <w:jc w:val="center"/>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r—预测点距声源的距离，m；</w:t>
            </w:r>
          </w:p>
          <w:p>
            <w:pPr>
              <w:keepNext w:val="0"/>
              <w:keepLines w:val="0"/>
              <w:pageBreakBefore w:val="0"/>
              <w:widowControl w:val="0"/>
              <w:kinsoku/>
              <w:wordWrap/>
              <w:overflowPunct/>
              <w:topLinePunct w:val="0"/>
              <w:autoSpaceDE/>
              <w:autoSpaceDN/>
              <w:bidi w:val="0"/>
              <w:snapToGrid w:val="0"/>
              <w:spacing w:line="360" w:lineRule="auto"/>
              <w:ind w:right="0" w:rightChars="0"/>
              <w:jc w:val="center"/>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r0—参考位置距声源的距离，m；</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根据以上噪声预测模式，各主要施工机械噪声随距离衰减情况见表4-4。</w:t>
            </w:r>
          </w:p>
          <w:p>
            <w:pPr>
              <w:keepNext w:val="0"/>
              <w:keepLines w:val="0"/>
              <w:pageBreakBefore w:val="0"/>
              <w:widowControl w:val="0"/>
              <w:kinsoku/>
              <w:wordWrap/>
              <w:overflowPunct/>
              <w:topLinePunct w:val="0"/>
              <w:autoSpaceDE/>
              <w:autoSpaceDN/>
              <w:bidi w:val="0"/>
              <w:snapToGrid w:val="0"/>
              <w:spacing w:line="240" w:lineRule="auto"/>
              <w:ind w:right="0" w:rightChars="0" w:firstLine="422" w:firstLineChars="200"/>
              <w:jc w:val="center"/>
              <w:textAlignment w:val="auto"/>
              <w:outlineLvl w:val="9"/>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cs="Times New Roman"/>
                <w:b/>
                <w:bCs/>
                <w:color w:val="auto"/>
                <w:sz w:val="21"/>
                <w:szCs w:val="21"/>
                <w:u w:val="none" w:color="auto"/>
                <w:lang w:val="en-US" w:eastAsia="zh-CN"/>
              </w:rPr>
              <w:t>表4-4  主要施工机械噪声随距离衰减情况</w:t>
            </w:r>
          </w:p>
          <w:tbl>
            <w:tblPr>
              <w:tblStyle w:val="31"/>
              <w:tblW w:w="7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5"/>
              <w:gridCol w:w="775"/>
              <w:gridCol w:w="775"/>
              <w:gridCol w:w="776"/>
              <w:gridCol w:w="776"/>
              <w:gridCol w:w="776"/>
              <w:gridCol w:w="776"/>
              <w:gridCol w:w="776"/>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声源</w:t>
                  </w:r>
                </w:p>
              </w:tc>
              <w:tc>
                <w:tcPr>
                  <w:tcW w:w="775"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声级</w:t>
                  </w:r>
                </w:p>
              </w:tc>
              <w:tc>
                <w:tcPr>
                  <w:tcW w:w="6206" w:type="dxa"/>
                  <w:gridSpan w:val="8"/>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p>
              </w:tc>
              <w:tc>
                <w:tcPr>
                  <w:tcW w:w="775"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100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150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推土机</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86</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66.0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60.0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56.5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52.0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47.9</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46.0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42.5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装卸机</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90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70.0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64.0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60.5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56.0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51.9</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50.0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46.5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挖掘机</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84</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64.0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58.0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54.5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50.0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45.9</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44.0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40.5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打桩机</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110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90.0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84.0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80.5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76.0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71.9</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70.0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66.5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振捣机</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90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70.0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64.0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60.5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56.0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51.9</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50.0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46.5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翻斗机</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85</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65.0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59.0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55.5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51.0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46.9</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45.0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41.5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载重汽车</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80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60.0</w:t>
                  </w:r>
                </w:p>
              </w:tc>
              <w:tc>
                <w:tcPr>
                  <w:tcW w:w="7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54.0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50.5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46.0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41.9</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40.0</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36.5</w:t>
                  </w:r>
                </w:p>
              </w:tc>
              <w:tc>
                <w:tcPr>
                  <w:tcW w:w="776"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34.0</w:t>
                  </w:r>
                </w:p>
              </w:tc>
            </w:tr>
          </w:tbl>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从上表可以看出，当大部分施工机械的施工点距离场界大于100m 时，场界噪声综合限值可以达到《建筑施工场界环境噪声排放标准》（GB12523-2011）昼间标准；若夜间施工，施工点周围80米的范围内噪声基本能满足《建筑施工场界环境噪声排放标准》（GB12523-2011）夜间标准。</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根据现场环境调查，</w:t>
            </w:r>
            <w:r>
              <w:rPr>
                <w:rFonts w:hint="default" w:ascii="Times New Roman" w:hAnsi="Times New Roman" w:cs="Times New Roman"/>
                <w:color w:val="auto"/>
                <w:kern w:val="0"/>
                <w:sz w:val="24"/>
                <w:u w:val="none" w:color="auto"/>
                <w:lang w:val="en-US" w:eastAsia="zh-CN"/>
              </w:rPr>
              <w:t>项目100m范围内有金龙</w:t>
            </w:r>
            <w:r>
              <w:rPr>
                <w:rFonts w:hint="eastAsia" w:ascii="Times New Roman" w:hAnsi="Times New Roman" w:cs="Times New Roman"/>
                <w:color w:val="auto"/>
                <w:kern w:val="0"/>
                <w:sz w:val="24"/>
                <w:u w:val="none" w:color="auto"/>
                <w:lang w:val="en-US" w:eastAsia="zh-CN"/>
              </w:rPr>
              <w:t>雅苑</w:t>
            </w:r>
            <w:r>
              <w:rPr>
                <w:rFonts w:hint="default" w:ascii="Times New Roman" w:hAnsi="Times New Roman" w:cs="Times New Roman"/>
                <w:color w:val="auto"/>
                <w:kern w:val="0"/>
                <w:sz w:val="24"/>
                <w:u w:val="none" w:color="auto"/>
                <w:lang w:val="en-US" w:eastAsia="zh-CN"/>
              </w:rPr>
              <w:t>小区</w:t>
            </w:r>
            <w:r>
              <w:rPr>
                <w:rFonts w:hint="default" w:ascii="Times New Roman" w:hAnsi="Times New Roman" w:eastAsia="宋体" w:cs="Times New Roman"/>
                <w:color w:val="auto"/>
                <w:sz w:val="24"/>
                <w:u w:val="none" w:color="auto"/>
                <w:lang w:val="en-US" w:eastAsia="zh-CN"/>
              </w:rPr>
              <w:t>。项目施工期应加强管理，合理安排施工时间，采取一定的降噪措施，减少噪声对附近声环境敏感目标的影响。</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4</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固废环境</w:t>
            </w:r>
            <w:r>
              <w:rPr>
                <w:rFonts w:hint="eastAsia" w:ascii="Times New Roman" w:hAnsi="Times New Roman" w:cs="Times New Roman"/>
                <w:color w:val="auto"/>
                <w:sz w:val="24"/>
                <w:u w:val="none" w:color="auto"/>
                <w:lang w:eastAsia="zh-CN"/>
              </w:rPr>
              <w:t>影响分析</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①建筑垃圾</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房屋建筑工程施工过程产生的建筑垃圾按0.05t/m</w:t>
            </w:r>
            <w:r>
              <w:rPr>
                <w:rFonts w:hint="default" w:ascii="Times New Roman" w:hAnsi="Times New Roman" w:eastAsia="宋体" w:cs="Times New Roman"/>
                <w:color w:val="auto"/>
                <w:sz w:val="24"/>
                <w:u w:val="none" w:color="auto"/>
                <w:vertAlign w:val="superscript"/>
                <w:lang w:eastAsia="zh-CN"/>
              </w:rPr>
              <w:t>2</w:t>
            </w:r>
            <w:r>
              <w:rPr>
                <w:rFonts w:hint="default" w:ascii="Times New Roman" w:hAnsi="Times New Roman" w:eastAsia="宋体" w:cs="Times New Roman"/>
                <w:color w:val="auto"/>
                <w:sz w:val="24"/>
                <w:u w:val="none" w:color="auto"/>
                <w:lang w:eastAsia="zh-CN"/>
              </w:rPr>
              <w:t>计，本项目建筑面积为</w:t>
            </w:r>
            <w:r>
              <w:rPr>
                <w:rFonts w:hint="eastAsia" w:ascii="Times New Roman" w:hAnsi="Times New Roman" w:cs="Times New Roman"/>
                <w:color w:val="auto"/>
                <w:sz w:val="24"/>
                <w:u w:val="none" w:color="auto"/>
                <w:lang w:val="en-US" w:eastAsia="zh-CN"/>
              </w:rPr>
              <w:t>21103.54</w:t>
            </w:r>
            <w:r>
              <w:rPr>
                <w:rFonts w:hint="default" w:ascii="Times New Roman" w:hAnsi="Times New Roman" w:eastAsia="宋体" w:cs="Times New Roman"/>
                <w:color w:val="auto"/>
                <w:sz w:val="24"/>
                <w:u w:val="none" w:color="auto"/>
                <w:lang w:eastAsia="zh-CN"/>
              </w:rPr>
              <w:t>m</w:t>
            </w:r>
            <w:r>
              <w:rPr>
                <w:rFonts w:hint="default" w:ascii="Times New Roman" w:hAnsi="Times New Roman" w:eastAsia="宋体" w:cs="Times New Roman"/>
                <w:color w:val="auto"/>
                <w:sz w:val="24"/>
                <w:u w:val="none" w:color="auto"/>
                <w:vertAlign w:val="superscript"/>
                <w:lang w:eastAsia="zh-CN"/>
              </w:rPr>
              <w:t>2</w:t>
            </w:r>
            <w:r>
              <w:rPr>
                <w:rFonts w:hint="default" w:ascii="Times New Roman" w:hAnsi="Times New Roman" w:eastAsia="宋体" w:cs="Times New Roman"/>
                <w:color w:val="auto"/>
                <w:sz w:val="24"/>
                <w:u w:val="none" w:color="auto"/>
                <w:lang w:eastAsia="zh-CN"/>
              </w:rPr>
              <w:t>，则将产生建筑垃圾约</w:t>
            </w:r>
            <w:r>
              <w:rPr>
                <w:rFonts w:hint="eastAsia" w:ascii="Times New Roman" w:hAnsi="Times New Roman" w:cs="Times New Roman"/>
                <w:color w:val="auto"/>
                <w:sz w:val="24"/>
                <w:u w:val="none" w:color="auto"/>
                <w:lang w:val="en-US" w:eastAsia="zh-CN"/>
              </w:rPr>
              <w:t>1055.177</w:t>
            </w:r>
            <w:r>
              <w:rPr>
                <w:rFonts w:hint="default" w:ascii="Times New Roman" w:hAnsi="Times New Roman" w:eastAsia="宋体" w:cs="Times New Roman"/>
                <w:color w:val="auto"/>
                <w:sz w:val="24"/>
                <w:u w:val="none" w:color="auto"/>
                <w:lang w:eastAsia="zh-CN"/>
              </w:rPr>
              <w:t>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本项目施工期产生的建筑垃圾总量为</w:t>
            </w:r>
            <w:r>
              <w:rPr>
                <w:rFonts w:hint="eastAsia" w:ascii="Times New Roman" w:hAnsi="Times New Roman" w:cs="Times New Roman"/>
                <w:color w:val="auto"/>
                <w:sz w:val="24"/>
                <w:u w:val="none" w:color="auto"/>
                <w:lang w:val="en-US" w:eastAsia="zh-CN"/>
              </w:rPr>
              <w:t>1055.177</w:t>
            </w:r>
            <w:r>
              <w:rPr>
                <w:rFonts w:hint="default" w:ascii="Times New Roman" w:hAnsi="Times New Roman" w:eastAsia="宋体" w:cs="Times New Roman"/>
                <w:color w:val="auto"/>
                <w:sz w:val="24"/>
                <w:u w:val="none" w:color="auto"/>
                <w:lang w:eastAsia="zh-CN"/>
              </w:rPr>
              <w:t>t，其中建筑材料和装修废料等建筑垃圾分拣后可回收利用的进行回收利用，不可回收利用的交由专业渣土公司处置，不会对周边环境造成影响。</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②生活垃圾</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val="en-US" w:eastAsia="zh-CN"/>
              </w:rPr>
              <w:t>施工期施工人员约50人，生活垃圾产生量按1.0kg/人·d计，则每天产生生活垃圾0.05t。项目施工期约</w:t>
            </w:r>
            <w:r>
              <w:rPr>
                <w:rFonts w:hint="eastAsia" w:ascii="Times New Roman" w:hAnsi="Times New Roman" w:cs="Times New Roman"/>
                <w:color w:val="auto"/>
                <w:sz w:val="24"/>
                <w:u w:val="none" w:color="auto"/>
                <w:lang w:val="en-US" w:eastAsia="zh-CN"/>
              </w:rPr>
              <w:t>12</w:t>
            </w:r>
            <w:r>
              <w:rPr>
                <w:rFonts w:hint="default" w:ascii="Times New Roman" w:hAnsi="Times New Roman" w:eastAsia="宋体" w:cs="Times New Roman"/>
                <w:color w:val="auto"/>
                <w:sz w:val="24"/>
                <w:u w:val="none" w:color="auto"/>
                <w:lang w:val="en-US" w:eastAsia="zh-CN"/>
              </w:rPr>
              <w:t>个月，则项目施工阶段产生的生活垃圾量约为1</w:t>
            </w:r>
            <w:r>
              <w:rPr>
                <w:rFonts w:hint="eastAsia" w:ascii="Times New Roman" w:hAnsi="Times New Roman" w:cs="Times New Roman"/>
                <w:color w:val="auto"/>
                <w:sz w:val="24"/>
                <w:u w:val="none" w:color="auto"/>
                <w:lang w:val="en-US" w:eastAsia="zh-CN"/>
              </w:rPr>
              <w:t>8.25</w:t>
            </w:r>
            <w:r>
              <w:rPr>
                <w:rFonts w:hint="default" w:ascii="Times New Roman" w:hAnsi="Times New Roman" w:eastAsia="宋体" w:cs="Times New Roman"/>
                <w:color w:val="auto"/>
                <w:sz w:val="24"/>
                <w:u w:val="none" w:color="auto"/>
                <w:lang w:val="en-US" w:eastAsia="zh-CN"/>
              </w:rPr>
              <w:t>t，拟集中收集后交由环卫部门定期清运处理，不会对周边环境造成影响。</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default"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lang w:eastAsia="zh-CN"/>
              </w:rPr>
              <w:t>③废油漆桶</w:t>
            </w:r>
          </w:p>
          <w:p>
            <w:pPr>
              <w:keepNext w:val="0"/>
              <w:keepLines w:val="0"/>
              <w:pageBreakBefore w:val="0"/>
              <w:widowControl w:val="0"/>
              <w:kinsoku/>
              <w:wordWrap/>
              <w:overflowPunct/>
              <w:topLinePunct w:val="0"/>
              <w:autoSpaceDE/>
              <w:autoSpaceDN/>
              <w:bidi w:val="0"/>
              <w:snapToGrid w:val="0"/>
              <w:spacing w:line="360" w:lineRule="auto"/>
              <w:ind w:right="0" w:rightChars="0" w:firstLine="480" w:firstLineChars="200"/>
              <w:textAlignment w:val="auto"/>
              <w:outlineLvl w:val="9"/>
              <w:rPr>
                <w:rFonts w:hint="eastAsia" w:eastAsia="宋体"/>
                <w:color w:val="FF0000"/>
                <w:u w:val="none" w:color="auto"/>
                <w:lang w:val="en-US" w:eastAsia="zh-CN"/>
              </w:rPr>
            </w:pPr>
            <w:r>
              <w:rPr>
                <w:rFonts w:hint="default" w:ascii="Times New Roman" w:hAnsi="Times New Roman" w:eastAsia="宋体" w:cs="Times New Roman"/>
                <w:color w:val="auto"/>
                <w:sz w:val="24"/>
                <w:u w:val="none" w:color="auto"/>
                <w:lang w:eastAsia="zh-CN"/>
              </w:rPr>
              <w:t>项目建筑装修阶段会产生少量废油漆桶，属危险废物，施工方应妥善收集后交有资质单位处理处置。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tcMar>
              <w:left w:w="28" w:type="dxa"/>
              <w:right w:w="28" w:type="dxa"/>
            </w:tcMar>
            <w:vAlign w:val="center"/>
          </w:tcPr>
          <w:p>
            <w:pPr>
              <w:pStyle w:val="27"/>
              <w:adjustRightInd w:val="0"/>
              <w:snapToGrid w:val="0"/>
              <w:spacing w:before="0" w:beforeAutospacing="0" w:after="0" w:afterAutospacing="0"/>
              <w:jc w:val="center"/>
              <w:rPr>
                <w:rFonts w:ascii="Times New Roman" w:hAnsi="Times New Roman"/>
                <w:bCs/>
                <w:color w:val="FF0000"/>
                <w:kern w:val="2"/>
                <w:sz w:val="21"/>
                <w:szCs w:val="21"/>
                <w:u w:val="none" w:color="auto"/>
              </w:rPr>
            </w:pPr>
            <w:r>
              <w:rPr>
                <w:rFonts w:hint="default" w:ascii="Times New Roman" w:hAnsi="Times New Roman" w:eastAsia="宋体" w:cs="Times New Roman"/>
                <w:color w:val="auto"/>
                <w:kern w:val="0"/>
                <w:sz w:val="21"/>
                <w:szCs w:val="21"/>
                <w:u w:val="none" w:color="auto"/>
                <w:lang w:val="en-US" w:eastAsia="zh-CN" w:bidi="ar-SA"/>
              </w:rPr>
              <w:t>运营期生态环境影响分析</w:t>
            </w:r>
          </w:p>
        </w:tc>
        <w:tc>
          <w:tcPr>
            <w:tcW w:w="7988" w:type="dxa"/>
          </w:tcPr>
          <w:p>
            <w:pPr>
              <w:pStyle w:val="71"/>
              <w:keepNext w:val="0"/>
              <w:keepLines w:val="0"/>
              <w:pageBreakBefore w:val="0"/>
              <w:numPr>
                <w:ilvl w:val="0"/>
                <w:numId w:val="7"/>
              </w:numPr>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none" w:color="auto"/>
                <w:lang w:val="en-US" w:eastAsia="zh-CN"/>
              </w:rPr>
            </w:pPr>
            <w:r>
              <w:rPr>
                <w:rFonts w:hint="eastAsia" w:ascii="Times New Roman" w:hAnsi="Times New Roman"/>
                <w:color w:val="auto"/>
                <w:sz w:val="24"/>
                <w:u w:val="none" w:color="auto"/>
                <w:lang w:val="en-US" w:eastAsia="zh-CN"/>
              </w:rPr>
              <w:t>运营期生态环境影响分析</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本项目建成后，将使区域原有植被被覆盖，绿地率将达到</w:t>
            </w:r>
            <w:r>
              <w:rPr>
                <w:rFonts w:hint="eastAsia" w:ascii="Times New Roman" w:hAnsi="Times New Roman"/>
                <w:color w:val="auto"/>
                <w:sz w:val="24"/>
                <w:u w:val="none" w:color="auto"/>
                <w:lang w:val="en-US" w:eastAsia="zh-CN"/>
              </w:rPr>
              <w:t>5.23</w:t>
            </w:r>
            <w:r>
              <w:rPr>
                <w:rFonts w:hint="default" w:ascii="Times New Roman" w:hAnsi="Times New Roman"/>
                <w:color w:val="auto"/>
                <w:sz w:val="24"/>
                <w:u w:val="none" w:color="auto"/>
              </w:rPr>
              <w:t>%，同时区域人口密度将较原有的人口密度有较大的增加，区域的通透性加大，人类活动对区域影响较大，项目区内的植被将形成以观赏性植被为主体的植被类型，这些植被的存在将提供一个良好的休闲活动场所，形成一种新的人工生态环境，相比原先的植被状况有较大改善。</w:t>
            </w:r>
          </w:p>
          <w:p>
            <w:pPr>
              <w:pStyle w:val="71"/>
              <w:keepNext w:val="0"/>
              <w:keepLines w:val="0"/>
              <w:pageBreakBefore w:val="0"/>
              <w:numPr>
                <w:ilvl w:val="0"/>
                <w:numId w:val="7"/>
              </w:numPr>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运营期对周边敏感区的影响分析</w:t>
            </w:r>
          </w:p>
          <w:p>
            <w:pPr>
              <w:pStyle w:val="71"/>
              <w:keepNext w:val="0"/>
              <w:keepLines w:val="0"/>
              <w:pageBreakBefore w:val="0"/>
              <w:numPr>
                <w:ilvl w:val="0"/>
                <w:numId w:val="0"/>
              </w:numPr>
              <w:kinsoku/>
              <w:wordWrap/>
              <w:overflowPunct/>
              <w:topLinePunct w:val="0"/>
              <w:bidi w:val="0"/>
              <w:spacing w:line="360" w:lineRule="auto"/>
              <w:ind w:leftChars="200" w:right="0" w:rightChars="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（1）废气污染源影响分析</w:t>
            </w:r>
          </w:p>
          <w:p>
            <w:pPr>
              <w:pStyle w:val="71"/>
              <w:keepNext w:val="0"/>
              <w:keepLines w:val="0"/>
              <w:pageBreakBefore w:val="0"/>
              <w:numPr>
                <w:ilvl w:val="0"/>
                <w:numId w:val="0"/>
              </w:numPr>
              <w:kinsoku/>
              <w:wordWrap/>
              <w:overflowPunct/>
              <w:topLinePunct w:val="0"/>
              <w:bidi w:val="0"/>
              <w:spacing w:line="360" w:lineRule="auto"/>
              <w:ind w:leftChars="200" w:right="0" w:rightChars="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①生产废气</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本项目建成后，对拟引进企业、生产项目要进行严格控制，严禁高污染企业、生产项目入驻园区。项目拟建厂区引进的企业应当优先引进科技含量高、轻污染或无污染的企业。</w:t>
            </w:r>
            <w:r>
              <w:rPr>
                <w:rFonts w:hint="eastAsia"/>
                <w:color w:val="auto"/>
                <w:sz w:val="24"/>
                <w:szCs w:val="24"/>
              </w:rPr>
              <w:t>入驻企业根据自身具体生产情况及产排污特点，落实环评提出的各项环保措施，安装相应废气处理设施，同时废气</w:t>
            </w:r>
            <w:r>
              <w:rPr>
                <w:rFonts w:hint="eastAsia"/>
                <w:color w:val="auto"/>
                <w:sz w:val="24"/>
                <w:szCs w:val="24"/>
                <w:lang w:val="en-US" w:eastAsia="zh-CN"/>
              </w:rPr>
              <w:t>排气筒</w:t>
            </w:r>
            <w:r>
              <w:rPr>
                <w:rFonts w:hint="eastAsia"/>
                <w:color w:val="auto"/>
                <w:sz w:val="24"/>
                <w:szCs w:val="24"/>
              </w:rPr>
              <w:t>应设置在远离北面居民区方向，并确保其产生的废气得到充分治理并达标排放。</w:t>
            </w:r>
            <w:r>
              <w:rPr>
                <w:rFonts w:hint="default" w:ascii="Times New Roman" w:hAnsi="Times New Roman"/>
                <w:color w:val="auto"/>
                <w:sz w:val="24"/>
                <w:u w:val="none" w:color="auto"/>
              </w:rPr>
              <w:t>确保引进项目不对周边居民及大气环境造成不良影响。同时，引进企业时应关注该企业废气的排放，做到达标排放，以减少对周围环境的影响</w:t>
            </w:r>
            <w:r>
              <w:rPr>
                <w:rFonts w:hint="eastAsia" w:ascii="Times New Roman" w:hAnsi="Times New Roman"/>
                <w:color w:val="auto"/>
                <w:sz w:val="24"/>
                <w:u w:val="none" w:color="auto"/>
                <w:lang w:eastAsia="zh-CN"/>
              </w:rPr>
              <w:t>，</w:t>
            </w:r>
            <w:r>
              <w:rPr>
                <w:rFonts w:hint="eastAsia" w:ascii="Times New Roman" w:hAnsi="Times New Roman" w:eastAsia="宋体" w:cs="Times New Roman"/>
                <w:color w:val="auto"/>
                <w:kern w:val="2"/>
                <w:sz w:val="24"/>
                <w:szCs w:val="24"/>
                <w:u w:val="none" w:color="auto"/>
                <w:lang w:val="en-US" w:eastAsia="zh-CN" w:bidi="ar-SA"/>
              </w:rPr>
              <w:t>引进企业应根据要求另行环评</w:t>
            </w:r>
            <w:r>
              <w:rPr>
                <w:rFonts w:hint="default" w:ascii="Times New Roman" w:hAnsi="Times New Roman"/>
                <w:color w:val="auto"/>
                <w:sz w:val="24"/>
                <w:u w:val="none" w:color="auto"/>
              </w:rPr>
              <w:t>。</w:t>
            </w:r>
          </w:p>
          <w:p>
            <w:pPr>
              <w:pStyle w:val="71"/>
              <w:keepNext w:val="0"/>
              <w:keepLines w:val="0"/>
              <w:pageBreakBefore w:val="0"/>
              <w:numPr>
                <w:ilvl w:val="0"/>
                <w:numId w:val="0"/>
              </w:numPr>
              <w:kinsoku/>
              <w:wordWrap/>
              <w:overflowPunct/>
              <w:topLinePunct w:val="0"/>
              <w:bidi w:val="0"/>
              <w:spacing w:line="360" w:lineRule="auto"/>
              <w:ind w:leftChars="200" w:right="0" w:rightChars="0"/>
              <w:jc w:val="both"/>
              <w:textAlignment w:val="auto"/>
              <w:rPr>
                <w:rFonts w:hint="default" w:ascii="Times New Roman" w:hAnsi="Times New Roman" w:eastAsia="宋体"/>
                <w:color w:val="auto"/>
                <w:sz w:val="24"/>
                <w:u w:val="none" w:color="auto"/>
                <w:lang w:val="en-US" w:eastAsia="zh-CN"/>
              </w:rPr>
            </w:pPr>
            <w:r>
              <w:rPr>
                <w:rFonts w:hint="eastAsia" w:ascii="Times New Roman" w:hAnsi="Times New Roman"/>
                <w:color w:val="auto"/>
                <w:sz w:val="24"/>
                <w:u w:val="none" w:color="auto"/>
                <w:lang w:val="en-US" w:eastAsia="zh-CN"/>
              </w:rPr>
              <w:t>②汽车尾气</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本项目进出厂区的汽车均会排放尾气，汽车尾气中主要污染物为 CO、THC等，地面停车场通风情况良好，不会造成尾气集结。通过合理布置线路尽量减少机动车在项目内的行驶距离，禁止使用含铅汽油等方式控制，加上大气稀释扩散作用，预计地上车位停放汽车产生的尾气不会对大气环境造成较大影响。</w:t>
            </w:r>
          </w:p>
          <w:p>
            <w:pPr>
              <w:pStyle w:val="71"/>
              <w:keepNext w:val="0"/>
              <w:keepLines w:val="0"/>
              <w:pageBreakBefore w:val="0"/>
              <w:numPr>
                <w:ilvl w:val="0"/>
                <w:numId w:val="0"/>
              </w:numPr>
              <w:kinsoku/>
              <w:wordWrap/>
              <w:overflowPunct/>
              <w:topLinePunct w:val="0"/>
              <w:bidi w:val="0"/>
              <w:spacing w:line="360" w:lineRule="auto"/>
              <w:ind w:leftChars="200" w:right="0" w:rightChars="0"/>
              <w:jc w:val="both"/>
              <w:textAlignment w:val="auto"/>
              <w:rPr>
                <w:rFonts w:hint="eastAsia" w:ascii="Times New Roman" w:hAnsi="Times New Roman" w:eastAsia="宋体"/>
                <w:color w:val="auto"/>
                <w:sz w:val="24"/>
                <w:u w:val="none" w:color="auto"/>
                <w:lang w:eastAsia="zh-CN"/>
              </w:rPr>
            </w:pPr>
            <w:r>
              <w:rPr>
                <w:rFonts w:hint="eastAsia" w:ascii="Times New Roman" w:hAnsi="Times New Roman"/>
                <w:color w:val="auto"/>
                <w:sz w:val="24"/>
                <w:u w:val="none" w:color="auto"/>
                <w:lang w:eastAsia="zh-CN"/>
              </w:rPr>
              <w:t>（</w:t>
            </w:r>
            <w:r>
              <w:rPr>
                <w:rFonts w:hint="eastAsia" w:ascii="Times New Roman" w:hAnsi="Times New Roman"/>
                <w:color w:val="auto"/>
                <w:sz w:val="24"/>
                <w:u w:val="none" w:color="auto"/>
                <w:lang w:val="en-US" w:eastAsia="zh-CN"/>
              </w:rPr>
              <w:t>2</w:t>
            </w:r>
            <w:r>
              <w:rPr>
                <w:rFonts w:hint="eastAsia" w:ascii="Times New Roman" w:hAnsi="Times New Roman"/>
                <w:color w:val="auto"/>
                <w:sz w:val="24"/>
                <w:u w:val="none" w:color="auto"/>
                <w:lang w:eastAsia="zh-CN"/>
              </w:rPr>
              <w:t>）废水污染源影响分析</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eastAsia" w:ascii="Times New Roman" w:hAnsi="Times New Roman"/>
                <w:color w:val="auto"/>
                <w:sz w:val="24"/>
                <w:u w:val="none" w:color="auto"/>
                <w:lang w:val="en-US" w:eastAsia="zh-CN"/>
              </w:rPr>
              <w:t>1）</w:t>
            </w:r>
            <w:r>
              <w:rPr>
                <w:rFonts w:hint="default" w:ascii="Times New Roman" w:hAnsi="Times New Roman"/>
                <w:color w:val="auto"/>
                <w:sz w:val="24"/>
                <w:u w:val="none" w:color="auto"/>
              </w:rPr>
              <w:t>本项目为标准化厂房建设项目。待项目建成后，企业入驻后，会有废水产生，废水类型可分为生产废水（可能存在）、生活污水。由于企业入驻规模以及生产定员无法确定，故本项目对废水只做定性分析，入驻企业环评需将今后产生的各类废水作为其定量评价内容，本环评废水分析内容如下：</w:t>
            </w:r>
          </w:p>
          <w:p>
            <w:pPr>
              <w:pStyle w:val="71"/>
              <w:keepNext w:val="0"/>
              <w:keepLines w:val="0"/>
              <w:pageBreakBefore w:val="0"/>
              <w:numPr>
                <w:ilvl w:val="0"/>
                <w:numId w:val="0"/>
              </w:numPr>
              <w:kinsoku/>
              <w:wordWrap/>
              <w:overflowPunct/>
              <w:topLinePunct w:val="0"/>
              <w:bidi w:val="0"/>
              <w:spacing w:line="360" w:lineRule="auto"/>
              <w:ind w:leftChars="200" w:right="0" w:rightChars="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①生产废水</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本项目营运期生产废水由各入驻企业自行单独处理，不在本次环评范围内。由于入驻企业无法确定，其废水排放源强难以确定，按建设项目环境管理要求，企业应另行办理环保审批手续。对拟引进企业、生产项目要进行严格控制，严禁高污染企业、生产项目入驻园区。项目拟建厂区引进的企业应当优先引进科技含量高、轻污染或无污染的企业。确保引进项目不对地表水环境造成不良影响。同时，引进企业时应关注该企业废水的排放，做到达标排放，以减少对水环境的影响。入驻企业产生的废水，按照国家达标排放的要求，应该在企业内部进行有效处置，其排放浓度必须达到国家相关标准及相关行业排放标准要求后，方能通过市政污水管网排入湘阴县第三污水处理厂。目前园区污水管网未通，项目园区污水管网相通前不得引入生产废水外排的企业。</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②生活污水</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本项目营运期生</w:t>
            </w:r>
            <w:r>
              <w:rPr>
                <w:rFonts w:hint="eastAsia" w:ascii="Times New Roman" w:hAnsi="Times New Roman"/>
                <w:color w:val="auto"/>
                <w:sz w:val="24"/>
                <w:u w:val="none" w:color="auto"/>
                <w:lang w:val="en-US" w:eastAsia="zh-CN"/>
              </w:rPr>
              <w:t>活</w:t>
            </w:r>
            <w:r>
              <w:rPr>
                <w:rFonts w:hint="default" w:ascii="Times New Roman" w:hAnsi="Times New Roman"/>
                <w:color w:val="auto"/>
                <w:sz w:val="24"/>
                <w:u w:val="none" w:color="auto"/>
              </w:rPr>
              <w:t>废水由各入驻企业自行单独处理，不在本次环评范围内。由于入驻企业无法确定，其废水排放源强难以确定，按建设项目环境管理要求，企业应另行办理环保审批手续</w:t>
            </w:r>
            <w:r>
              <w:rPr>
                <w:rFonts w:hint="eastAsia" w:ascii="Times New Roman" w:hAnsi="Times New Roman"/>
                <w:color w:val="auto"/>
                <w:sz w:val="24"/>
                <w:u w:val="none" w:color="auto"/>
                <w:lang w:val="en-US" w:eastAsia="zh-CN"/>
              </w:rPr>
              <w:t>。</w:t>
            </w:r>
            <w:r>
              <w:rPr>
                <w:rFonts w:hint="default" w:ascii="Times New Roman" w:hAnsi="Times New Roman"/>
                <w:color w:val="auto"/>
                <w:sz w:val="24"/>
                <w:u w:val="none" w:color="auto"/>
              </w:rPr>
              <w:t>生活污水</w:t>
            </w:r>
            <w:r>
              <w:rPr>
                <w:rFonts w:hint="eastAsia" w:ascii="Times New Roman" w:hAnsi="Times New Roman"/>
                <w:color w:val="auto"/>
                <w:sz w:val="24"/>
                <w:u w:val="none" w:color="auto"/>
                <w:lang w:val="en-US" w:eastAsia="zh-CN"/>
              </w:rPr>
              <w:t>经</w:t>
            </w:r>
            <w:r>
              <w:rPr>
                <w:rFonts w:hint="default" w:ascii="Times New Roman" w:hAnsi="Times New Roman"/>
                <w:color w:val="auto"/>
                <w:sz w:val="24"/>
                <w:u w:val="none" w:color="auto"/>
              </w:rPr>
              <w:t>化粪池进行预处理达到《污水综合排放标准》（GB8978-1996）中三级标准与湘阴县第三污水处理厂接管要求后，再经市政污水管网排入湘阴县第三污水处理厂，经处理达到《城镇污水处理厂污染物排放标准》（GB18918-2002）一级A标准后排入洋沙河，后流入湘江。</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olor w:val="auto"/>
                <w:sz w:val="24"/>
                <w:u w:val="none" w:color="auto"/>
                <w:lang w:val="en-US" w:eastAsia="zh-CN"/>
              </w:rPr>
            </w:pPr>
            <w:r>
              <w:rPr>
                <w:rFonts w:hint="eastAsia" w:ascii="Times New Roman" w:hAnsi="Times New Roman"/>
                <w:color w:val="auto"/>
                <w:sz w:val="24"/>
                <w:u w:val="none" w:color="auto"/>
                <w:lang w:val="en-US" w:eastAsia="zh-CN"/>
              </w:rPr>
              <w:t>2）水污染控制和水环境影响减缓措施有效性评价</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项目生活污水一并排入化粪池进行预处理达到《污水综合排放标准》（GB8978-1996）三级标准及湘阴县第三污水处理厂进水水质要求后，排入市政管网，最终进湘阴县第三污水处理厂深度处理，达《城镇污水处理厂污染物排放标准》（GB18918-2002）一级 A 标准后排入湘江。</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本项目位于</w:t>
            </w:r>
            <w:r>
              <w:rPr>
                <w:rFonts w:hint="default" w:ascii="Times New Roman" w:hAnsi="Times New Roman" w:cs="Times New Roman"/>
                <w:color w:val="auto"/>
                <w:kern w:val="0"/>
                <w:sz w:val="24"/>
                <w:u w:val="none" w:color="auto"/>
              </w:rPr>
              <w:t>长沙临港产业开发区</w:t>
            </w:r>
            <w:r>
              <w:rPr>
                <w:rFonts w:hint="default" w:ascii="Times New Roman" w:hAnsi="Times New Roman"/>
                <w:color w:val="auto"/>
                <w:sz w:val="24"/>
                <w:u w:val="none" w:color="auto"/>
              </w:rPr>
              <w:t>内，属于湘阴县第三污水处理厂纳污服务范围内；目前项目所在地管线已与湘阴县第三污水处理厂接通，项目废水排入园区污水管网最终进入湘阴县第三污水处理厂处理。</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single" w:color="auto"/>
              </w:rPr>
            </w:pPr>
            <w:r>
              <w:rPr>
                <w:rFonts w:hint="eastAsia" w:ascii="Times New Roman" w:hAnsi="Times New Roman"/>
                <w:color w:val="auto"/>
                <w:sz w:val="24"/>
                <w:u w:val="single" w:color="auto"/>
                <w:lang w:val="en-US" w:eastAsia="zh-CN"/>
              </w:rPr>
              <w:t>3）依托湘阴县第三污水处理厂的环境可行性分析</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single" w:color="auto"/>
              </w:rPr>
              <w:t>湘阴县第三污水处理厂位于湖南省岳阳市湘阴县金龙镇金华村，面积为34863.75m</w:t>
            </w:r>
            <w:r>
              <w:rPr>
                <w:rFonts w:hint="default" w:ascii="Times New Roman" w:hAnsi="Times New Roman"/>
                <w:color w:val="auto"/>
                <w:sz w:val="24"/>
                <w:u w:val="single" w:color="auto"/>
                <w:vertAlign w:val="superscript"/>
              </w:rPr>
              <w:t>2</w:t>
            </w:r>
            <w:r>
              <w:rPr>
                <w:rFonts w:hint="default" w:ascii="Times New Roman" w:hAnsi="Times New Roman"/>
                <w:color w:val="auto"/>
                <w:sz w:val="24"/>
                <w:u w:val="single" w:color="auto"/>
              </w:rPr>
              <w:t>。其工程服务范围为收集湘阴县金龙镇区域约20km</w:t>
            </w:r>
            <w:r>
              <w:rPr>
                <w:rFonts w:hint="default" w:ascii="Times New Roman" w:hAnsi="Times New Roman"/>
                <w:color w:val="auto"/>
                <w:sz w:val="24"/>
                <w:u w:val="single" w:color="auto"/>
                <w:vertAlign w:val="superscript"/>
              </w:rPr>
              <w:t>2</w:t>
            </w:r>
            <w:r>
              <w:rPr>
                <w:rFonts w:hint="default" w:ascii="Times New Roman" w:hAnsi="Times New Roman"/>
                <w:color w:val="auto"/>
                <w:sz w:val="24"/>
                <w:u w:val="single" w:color="auto"/>
              </w:rPr>
              <w:t>的生活污水和金龙工业小区的工业污水。污水处理厂分近、远期建设，其中：近期设计规模为Q=1×10</w:t>
            </w:r>
            <w:r>
              <w:rPr>
                <w:rFonts w:hint="default" w:ascii="Times New Roman" w:hAnsi="Times New Roman"/>
                <w:color w:val="auto"/>
                <w:sz w:val="24"/>
                <w:u w:val="single" w:color="auto"/>
                <w:vertAlign w:val="superscript"/>
              </w:rPr>
              <w:t>4</w:t>
            </w:r>
            <w:r>
              <w:rPr>
                <w:rFonts w:hint="default" w:ascii="Times New Roman" w:hAnsi="Times New Roman"/>
                <w:color w:val="auto"/>
                <w:sz w:val="24"/>
                <w:u w:val="single" w:color="auto"/>
              </w:rPr>
              <w:t>m</w:t>
            </w:r>
            <w:r>
              <w:rPr>
                <w:rFonts w:hint="eastAsia" w:ascii="Times New Roman" w:hAnsi="Times New Roman"/>
                <w:color w:val="auto"/>
                <w:sz w:val="24"/>
                <w:u w:val="single" w:color="auto"/>
                <w:vertAlign w:val="superscript"/>
                <w:lang w:val="en-US" w:eastAsia="zh-CN"/>
              </w:rPr>
              <w:t>3</w:t>
            </w:r>
            <w:r>
              <w:rPr>
                <w:rFonts w:hint="default" w:ascii="Times New Roman" w:hAnsi="Times New Roman"/>
                <w:color w:val="auto"/>
                <w:sz w:val="24"/>
                <w:u w:val="single" w:color="auto"/>
              </w:rPr>
              <w:t>/d，远期（2030年）设计规模为 Q=2.5×10</w:t>
            </w:r>
            <w:r>
              <w:rPr>
                <w:rFonts w:hint="default" w:ascii="Times New Roman" w:hAnsi="Times New Roman"/>
                <w:color w:val="auto"/>
                <w:sz w:val="24"/>
                <w:u w:val="single" w:color="auto"/>
                <w:vertAlign w:val="superscript"/>
              </w:rPr>
              <w:t>4</w:t>
            </w:r>
            <w:r>
              <w:rPr>
                <w:rFonts w:hint="default" w:ascii="Times New Roman" w:hAnsi="Times New Roman"/>
                <w:color w:val="auto"/>
                <w:sz w:val="24"/>
                <w:u w:val="single" w:color="auto"/>
              </w:rPr>
              <w:t>m</w:t>
            </w:r>
            <w:r>
              <w:rPr>
                <w:rFonts w:hint="eastAsia" w:ascii="Times New Roman" w:hAnsi="Times New Roman"/>
                <w:color w:val="auto"/>
                <w:sz w:val="24"/>
                <w:u w:val="single" w:color="auto"/>
                <w:vertAlign w:val="superscript"/>
                <w:lang w:val="en-US" w:eastAsia="zh-CN"/>
              </w:rPr>
              <w:t>3</w:t>
            </w:r>
            <w:r>
              <w:rPr>
                <w:rFonts w:hint="default" w:ascii="Times New Roman" w:hAnsi="Times New Roman"/>
                <w:color w:val="auto"/>
                <w:sz w:val="24"/>
                <w:u w:val="single" w:color="auto"/>
              </w:rPr>
              <w:t>/d，项目总用地面积为52.31亩。污水处理采用的工艺为：</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single" w:color="auto"/>
              </w:rPr>
            </w:pPr>
            <w:r>
              <w:rPr>
                <w:rFonts w:hint="default" w:ascii="Times New Roman" w:hAnsi="Times New Roman"/>
                <w:color w:val="auto"/>
                <w:sz w:val="24"/>
                <w:u w:val="single" w:color="auto"/>
              </w:rPr>
              <w:t>预处理：工业污水采用“粗格栅及提升泵站+调节池及事故池+混凝沉淀池+水解酸化”的预处理工艺；生活污水采用“粗格栅及提升泵+细格栅及旋流沉砂池”的预处理工艺。</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single" w:color="auto"/>
              </w:rPr>
            </w:pPr>
            <w:r>
              <w:rPr>
                <w:rFonts w:hint="default" w:ascii="Times New Roman" w:hAnsi="Times New Roman"/>
                <w:color w:val="auto"/>
                <w:sz w:val="24"/>
                <w:u w:val="single" w:color="auto"/>
              </w:rPr>
              <w:t>污水二级处理：A/A/O工艺。</w:t>
            </w:r>
          </w:p>
          <w:p>
            <w:pPr>
              <w:pStyle w:val="71"/>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olor w:val="auto"/>
                <w:sz w:val="24"/>
                <w:u w:val="single" w:color="auto"/>
              </w:rPr>
            </w:pPr>
            <w:r>
              <w:rPr>
                <w:rFonts w:hint="default" w:ascii="Times New Roman" w:hAnsi="Times New Roman"/>
                <w:color w:val="auto"/>
                <w:sz w:val="24"/>
                <w:u w:val="single" w:color="auto"/>
              </w:rPr>
              <w:t>深度处理：高密度沉淀池+转盘滤池（滤布滤池）。</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single" w:color="auto"/>
                <w:lang w:eastAsia="zh-CN"/>
              </w:rPr>
            </w:pPr>
            <w:r>
              <w:rPr>
                <w:rFonts w:hint="eastAsia" w:ascii="Times New Roman" w:hAnsi="Times New Roman"/>
                <w:color w:val="auto"/>
                <w:sz w:val="24"/>
                <w:u w:val="single" w:color="auto"/>
                <w:lang w:eastAsia="zh-CN"/>
              </w:rPr>
              <w:t>尾水消毒：采用紫外线消毒。</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single" w:color="auto"/>
                <w:lang w:eastAsia="zh-CN"/>
              </w:rPr>
            </w:pPr>
            <w:r>
              <w:rPr>
                <w:rFonts w:hint="eastAsia" w:ascii="Times New Roman" w:hAnsi="Times New Roman"/>
                <w:color w:val="auto"/>
                <w:sz w:val="24"/>
                <w:u w:val="single" w:color="auto"/>
                <w:lang w:eastAsia="zh-CN"/>
              </w:rPr>
              <w:t>污泥处理工艺：采用压滤机。</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single" w:color="auto"/>
                <w:lang w:eastAsia="zh-CN"/>
              </w:rPr>
            </w:pPr>
            <w:r>
              <w:rPr>
                <w:rFonts w:hint="eastAsia" w:ascii="Times New Roman" w:hAnsi="Times New Roman"/>
                <w:color w:val="auto"/>
                <w:sz w:val="24"/>
                <w:u w:val="single" w:color="auto"/>
                <w:lang w:eastAsia="zh-CN"/>
              </w:rPr>
              <w:t>除臭工艺：生物滤池工艺。</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single" w:color="auto"/>
                <w:lang w:eastAsia="zh-CN"/>
              </w:rPr>
            </w:pPr>
            <w:r>
              <w:rPr>
                <w:rFonts w:hint="eastAsia" w:ascii="Times New Roman" w:hAnsi="Times New Roman"/>
                <w:color w:val="auto"/>
                <w:sz w:val="24"/>
                <w:u w:val="single" w:color="auto"/>
                <w:lang w:eastAsia="zh-CN"/>
              </w:rPr>
              <w:t>经处理后的污水达到《城镇污水处理厂污染物排放标准》(GB18918-2002)一级 A 标准后排入洋沙河，经洋沙湖进入湘江。</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single" w:color="auto"/>
                <w:lang w:val="en-US" w:eastAsia="zh-CN"/>
              </w:rPr>
            </w:pPr>
            <w:r>
              <w:rPr>
                <w:rFonts w:hint="eastAsia" w:ascii="Times New Roman" w:hAnsi="Times New Roman"/>
                <w:color w:val="auto"/>
                <w:sz w:val="24"/>
                <w:u w:val="single" w:color="auto"/>
                <w:lang w:eastAsia="zh-CN"/>
              </w:rPr>
              <w:t>湘阴县第三污水处理厂已于2021年投入运行，规划金龙南区排水系统采用雨污分流制，其中生活污水和工业污水分类收集、分质处理</w:t>
            </w:r>
            <w:r>
              <w:rPr>
                <w:rFonts w:hint="eastAsia" w:ascii="Times New Roman" w:hAnsi="Times New Roman"/>
                <w:color w:val="auto"/>
                <w:sz w:val="24"/>
                <w:u w:val="single" w:color="auto"/>
                <w:lang w:val="en-US" w:eastAsia="zh-CN"/>
              </w:rPr>
              <w:t>。</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single" w:color="auto"/>
                <w:lang w:val="en-US" w:eastAsia="zh-CN"/>
              </w:rPr>
            </w:pPr>
            <w:r>
              <w:rPr>
                <w:rFonts w:hint="eastAsia" w:ascii="Times New Roman" w:hAnsi="Times New Roman"/>
                <w:color w:val="auto"/>
                <w:sz w:val="24"/>
                <w:u w:val="single" w:color="auto"/>
                <w:lang w:val="en-US" w:eastAsia="zh-CN"/>
              </w:rPr>
              <w:t>本项目生活污水依托一期化粪池处理后排至东侧芙蓉北路污水管网，经湘阴县第三污水处理厂处理；生产废水经工业污水管排入湘阴县第三污水处理厂处理，项目园区污水管网相通前不得引入生产废水外排的企业。</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single" w:color="auto"/>
                <w:lang w:val="en-US" w:eastAsia="zh-CN"/>
              </w:rPr>
            </w:pPr>
            <w:r>
              <w:rPr>
                <w:rFonts w:hint="eastAsia" w:ascii="Times New Roman" w:hAnsi="Times New Roman"/>
                <w:color w:val="auto"/>
                <w:sz w:val="24"/>
                <w:u w:val="single" w:color="auto"/>
                <w:lang w:eastAsia="zh-CN"/>
              </w:rPr>
              <w:t>项目处于湘阴县第三污水处理厂纳污范围内，可接纳本项目产生生活污水，项目废水主要污染物为COD、SS、NH</w:t>
            </w:r>
            <w:r>
              <w:rPr>
                <w:rFonts w:hint="eastAsia" w:ascii="Times New Roman" w:hAnsi="Times New Roman"/>
                <w:color w:val="auto"/>
                <w:sz w:val="24"/>
                <w:u w:val="single" w:color="auto"/>
                <w:vertAlign w:val="subscript"/>
                <w:lang w:eastAsia="zh-CN"/>
              </w:rPr>
              <w:t>3</w:t>
            </w:r>
            <w:r>
              <w:rPr>
                <w:rFonts w:hint="eastAsia" w:ascii="Times New Roman" w:hAnsi="Times New Roman"/>
                <w:color w:val="auto"/>
                <w:sz w:val="24"/>
                <w:u w:val="single" w:color="auto"/>
                <w:lang w:eastAsia="zh-CN"/>
              </w:rPr>
              <w:t>-N 均为污水处理厂常规处理项目，废水经处理达到《污水综合排放标准》（GB8978-1996）中三级标准和污水处理厂接纳水质标准后进入湘阴县第三污水处理厂集中处理，不会对该厂水质、水量造成冲击。故本项目废水通过上述措施处理后可达标排放，不会对周边环境造成明显的影响。本项目预处理达标后的废水依托湘阴县第三污水处理厂处理是可行的</w:t>
            </w:r>
            <w:r>
              <w:rPr>
                <w:rFonts w:hint="eastAsia" w:ascii="Times New Roman" w:hAnsi="Times New Roman"/>
                <w:color w:val="auto"/>
                <w:sz w:val="24"/>
                <w:u w:val="single" w:color="auto"/>
                <w:lang w:val="en-US" w:eastAsia="zh-CN"/>
              </w:rPr>
              <w:t>。</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FF0000"/>
                <w:sz w:val="24"/>
                <w:u w:val="none" w:color="auto"/>
                <w:lang w:eastAsia="zh-CN"/>
              </w:rPr>
            </w:pPr>
            <w:r>
              <w:rPr>
                <w:rFonts w:hint="eastAsia" w:ascii="Times New Roman" w:hAnsi="Times New Roman"/>
                <w:color w:val="auto"/>
                <w:sz w:val="24"/>
                <w:u w:val="none" w:color="auto"/>
                <w:lang w:val="en-US" w:eastAsia="zh-CN"/>
              </w:rPr>
              <w:t>4）废水污染物排放信息表</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none" w:color="auto"/>
                <w:lang w:eastAsia="zh-CN"/>
              </w:rPr>
            </w:pP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none" w:color="auto"/>
                <w:lang w:eastAsia="zh-CN"/>
              </w:rPr>
            </w:pPr>
            <w:r>
              <w:rPr>
                <w:rFonts w:hint="eastAsia" w:ascii="Times New Roman" w:hAnsi="Times New Roman"/>
                <w:color w:val="auto"/>
                <w:sz w:val="24"/>
                <w:u w:val="none" w:color="auto"/>
                <w:lang w:eastAsia="zh-CN"/>
              </w:rPr>
              <w:t>本项目废水类别、污染物及污染治理措施见表 4-</w:t>
            </w:r>
            <w:r>
              <w:rPr>
                <w:rFonts w:hint="eastAsia" w:ascii="Times New Roman" w:hAnsi="Times New Roman"/>
                <w:color w:val="auto"/>
                <w:sz w:val="24"/>
                <w:u w:val="none" w:color="auto"/>
                <w:lang w:val="en-US" w:eastAsia="zh-CN"/>
              </w:rPr>
              <w:t>5</w:t>
            </w:r>
            <w:r>
              <w:rPr>
                <w:rFonts w:hint="eastAsia" w:ascii="Times New Roman" w:hAnsi="Times New Roman"/>
                <w:color w:val="auto"/>
                <w:sz w:val="24"/>
                <w:u w:val="none" w:color="auto"/>
                <w:lang w:eastAsia="zh-CN"/>
              </w:rPr>
              <w:t>。</w:t>
            </w:r>
          </w:p>
          <w:p>
            <w:pPr>
              <w:keepNext w:val="0"/>
              <w:keepLines w:val="0"/>
              <w:pageBreakBefore w:val="0"/>
              <w:widowControl w:val="0"/>
              <w:kinsoku/>
              <w:wordWrap/>
              <w:overflowPunct/>
              <w:topLinePunct w:val="0"/>
              <w:autoSpaceDE/>
              <w:autoSpaceDN/>
              <w:bidi w:val="0"/>
              <w:snapToGrid w:val="0"/>
              <w:spacing w:line="240" w:lineRule="auto"/>
              <w:ind w:right="0" w:rightChars="0" w:firstLine="422" w:firstLineChars="200"/>
              <w:jc w:val="center"/>
              <w:textAlignment w:val="auto"/>
              <w:outlineLvl w:val="9"/>
              <w:rPr>
                <w:rFonts w:hint="default" w:ascii="Times New Roman" w:hAnsi="Times New Roman" w:eastAsia="宋体" w:cs="Times New Roman"/>
                <w:b/>
                <w:bCs/>
                <w:color w:val="auto"/>
                <w:sz w:val="21"/>
                <w:szCs w:val="21"/>
                <w:u w:val="none" w:color="auto"/>
                <w:vertAlign w:val="baseline"/>
                <w:lang w:val="en-US" w:eastAsia="zh-CN"/>
              </w:rPr>
            </w:pPr>
            <w:r>
              <w:rPr>
                <w:rFonts w:hint="eastAsia" w:ascii="Times New Roman" w:hAnsi="Times New Roman" w:cs="Times New Roman"/>
                <w:b/>
                <w:bCs/>
                <w:color w:val="auto"/>
                <w:sz w:val="21"/>
                <w:szCs w:val="21"/>
                <w:u w:val="none" w:color="auto"/>
                <w:lang w:val="en-US" w:eastAsia="zh-CN"/>
              </w:rPr>
              <w:t>表4-5  项目营运期生活污水污染物产生排放情况一览表（pH 为无量纲）</w:t>
            </w:r>
          </w:p>
          <w:tbl>
            <w:tblPr>
              <w:tblStyle w:val="31"/>
              <w:tblW w:w="7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575"/>
              <w:gridCol w:w="1138"/>
              <w:gridCol w:w="741"/>
              <w:gridCol w:w="665"/>
              <w:gridCol w:w="528"/>
              <w:gridCol w:w="757"/>
              <w:gridCol w:w="595"/>
              <w:gridCol w:w="520"/>
              <w:gridCol w:w="696"/>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39"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序号</w:t>
                  </w:r>
                </w:p>
              </w:tc>
              <w:tc>
                <w:tcPr>
                  <w:tcW w:w="575"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废水类别</w:t>
                  </w:r>
                </w:p>
              </w:tc>
              <w:tc>
                <w:tcPr>
                  <w:tcW w:w="1138"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污染物种类</w:t>
                  </w:r>
                </w:p>
              </w:tc>
              <w:tc>
                <w:tcPr>
                  <w:tcW w:w="741"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排放去向</w:t>
                  </w:r>
                </w:p>
              </w:tc>
              <w:tc>
                <w:tcPr>
                  <w:tcW w:w="665"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排放规律</w:t>
                  </w:r>
                </w:p>
              </w:tc>
              <w:tc>
                <w:tcPr>
                  <w:tcW w:w="1880" w:type="dxa"/>
                  <w:gridSpan w:val="3"/>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污染治理设施</w:t>
                  </w:r>
                </w:p>
              </w:tc>
              <w:tc>
                <w:tcPr>
                  <w:tcW w:w="520"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排放口编号</w:t>
                  </w:r>
                </w:p>
              </w:tc>
              <w:tc>
                <w:tcPr>
                  <w:tcW w:w="696"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排放口设置是否符合要求</w:t>
                  </w:r>
                </w:p>
              </w:tc>
              <w:tc>
                <w:tcPr>
                  <w:tcW w:w="1108"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39"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FF0000"/>
                      <w:sz w:val="21"/>
                      <w:szCs w:val="21"/>
                      <w:u w:val="none" w:color="auto"/>
                      <w:vertAlign w:val="baseline"/>
                      <w:lang w:val="en-US" w:eastAsia="zh-CN"/>
                    </w:rPr>
                  </w:pPr>
                </w:p>
              </w:tc>
              <w:tc>
                <w:tcPr>
                  <w:tcW w:w="575"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FF0000"/>
                      <w:sz w:val="21"/>
                      <w:szCs w:val="21"/>
                      <w:u w:val="none" w:color="auto"/>
                      <w:vertAlign w:val="baseline"/>
                      <w:lang w:val="en-US" w:eastAsia="zh-CN"/>
                    </w:rPr>
                  </w:pPr>
                </w:p>
              </w:tc>
              <w:tc>
                <w:tcPr>
                  <w:tcW w:w="1138"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FF0000"/>
                      <w:sz w:val="21"/>
                      <w:szCs w:val="21"/>
                      <w:u w:val="none" w:color="auto"/>
                      <w:vertAlign w:val="baseline"/>
                      <w:lang w:val="en-US" w:eastAsia="zh-CN"/>
                    </w:rPr>
                  </w:pPr>
                </w:p>
              </w:tc>
              <w:tc>
                <w:tcPr>
                  <w:tcW w:w="741"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FF0000"/>
                      <w:sz w:val="21"/>
                      <w:szCs w:val="21"/>
                      <w:u w:val="none" w:color="auto"/>
                      <w:vertAlign w:val="baseline"/>
                      <w:lang w:val="en-US" w:eastAsia="zh-CN"/>
                    </w:rPr>
                  </w:pPr>
                </w:p>
              </w:tc>
              <w:tc>
                <w:tcPr>
                  <w:tcW w:w="665"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FF0000"/>
                      <w:sz w:val="21"/>
                      <w:szCs w:val="21"/>
                      <w:u w:val="none" w:color="auto"/>
                      <w:vertAlign w:val="baseline"/>
                      <w:lang w:val="en-US" w:eastAsia="zh-CN"/>
                    </w:rPr>
                  </w:pPr>
                </w:p>
              </w:tc>
              <w:tc>
                <w:tcPr>
                  <w:tcW w:w="528"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污染治理设施编号</w:t>
                  </w:r>
                </w:p>
              </w:tc>
              <w:tc>
                <w:tcPr>
                  <w:tcW w:w="757"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污染治理设施名称</w:t>
                  </w:r>
                </w:p>
              </w:tc>
              <w:tc>
                <w:tcPr>
                  <w:tcW w:w="59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污染治理设施工艺</w:t>
                  </w:r>
                </w:p>
              </w:tc>
              <w:tc>
                <w:tcPr>
                  <w:tcW w:w="520"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696"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FF0000"/>
                      <w:sz w:val="21"/>
                      <w:szCs w:val="21"/>
                      <w:u w:val="none" w:color="auto"/>
                      <w:vertAlign w:val="baseline"/>
                      <w:lang w:val="en-US" w:eastAsia="zh-CN"/>
                    </w:rPr>
                  </w:pPr>
                </w:p>
              </w:tc>
              <w:tc>
                <w:tcPr>
                  <w:tcW w:w="1108"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w:t>
                  </w:r>
                </w:p>
              </w:tc>
              <w:tc>
                <w:tcPr>
                  <w:tcW w:w="57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生活污水</w:t>
                  </w:r>
                </w:p>
              </w:tc>
              <w:tc>
                <w:tcPr>
                  <w:tcW w:w="1138"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CODcr 、BOD</w:t>
                  </w:r>
                  <w:r>
                    <w:rPr>
                      <w:rFonts w:hint="eastAsia" w:ascii="Times New Roman" w:hAnsi="Times New Roman" w:cs="Times New Roman"/>
                      <w:b w:val="0"/>
                      <w:bCs w:val="0"/>
                      <w:color w:val="auto"/>
                      <w:sz w:val="21"/>
                      <w:szCs w:val="21"/>
                      <w:u w:val="none" w:color="auto"/>
                      <w:vertAlign w:val="subscript"/>
                      <w:lang w:val="en-US" w:eastAsia="zh-CN"/>
                    </w:rPr>
                    <w:t>5</w:t>
                  </w:r>
                  <w:r>
                    <w:rPr>
                      <w:rFonts w:hint="eastAsia" w:ascii="Times New Roman" w:hAnsi="Times New Roman" w:cs="Times New Roman"/>
                      <w:b w:val="0"/>
                      <w:bCs w:val="0"/>
                      <w:color w:val="auto"/>
                      <w:sz w:val="21"/>
                      <w:szCs w:val="21"/>
                      <w:u w:val="none" w:color="auto"/>
                      <w:vertAlign w:val="baseline"/>
                      <w:lang w:val="en-US" w:eastAsia="zh-CN"/>
                    </w:rPr>
                    <w:t>、</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SS、氨</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氮</w:t>
                  </w:r>
                </w:p>
              </w:tc>
              <w:tc>
                <w:tcPr>
                  <w:tcW w:w="741"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进入</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湘阴</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县第</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三污</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水处</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理厂</w:t>
                  </w:r>
                </w:p>
              </w:tc>
              <w:tc>
                <w:tcPr>
                  <w:tcW w:w="66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间断</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期间</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流量</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稳定</w:t>
                  </w:r>
                </w:p>
              </w:tc>
              <w:tc>
                <w:tcPr>
                  <w:tcW w:w="528"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D</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00</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W</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1</w:t>
                  </w:r>
                </w:p>
              </w:tc>
              <w:tc>
                <w:tcPr>
                  <w:tcW w:w="757"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化粪池</w:t>
                  </w:r>
                </w:p>
              </w:tc>
              <w:tc>
                <w:tcPr>
                  <w:tcW w:w="59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生化</w:t>
                  </w:r>
                </w:p>
              </w:tc>
              <w:tc>
                <w:tcPr>
                  <w:tcW w:w="520"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W1</w:t>
                  </w:r>
                </w:p>
              </w:tc>
              <w:tc>
                <w:tcPr>
                  <w:tcW w:w="696" w:type="dxa"/>
                  <w:vAlign w:val="center"/>
                </w:tcPr>
                <w:p>
                  <w:pPr>
                    <w:keepNext w:val="0"/>
                    <w:keepLines w:val="0"/>
                    <w:widowControl/>
                    <w:suppressLineNumbers w:val="0"/>
                    <w:jc w:val="left"/>
                  </w:pPr>
                  <w:r>
                    <w:rPr>
                      <w:rFonts w:ascii="Wingdings 2" w:hAnsi="Wingdings 2" w:eastAsia="Wingdings 2" w:cs="Wingdings 2"/>
                      <w:color w:val="000000"/>
                      <w:kern w:val="0"/>
                      <w:sz w:val="20"/>
                      <w:szCs w:val="20"/>
                      <w:lang w:val="en-US" w:eastAsia="zh-CN" w:bidi="ar"/>
                    </w:rPr>
                    <w:sym w:font="Wingdings 2" w:char="0052"/>
                  </w:r>
                  <w:r>
                    <w:rPr>
                      <w:rFonts w:hint="eastAsia" w:ascii="宋体" w:hAnsi="宋体" w:eastAsia="宋体" w:cs="宋体"/>
                      <w:color w:val="000000"/>
                      <w:kern w:val="0"/>
                      <w:sz w:val="20"/>
                      <w:szCs w:val="20"/>
                      <w:lang w:val="en-US" w:eastAsia="zh-CN" w:bidi="ar"/>
                    </w:rPr>
                    <w:t xml:space="preserve">是 </w:t>
                  </w:r>
                  <w:r>
                    <w:rPr>
                      <w:rFonts w:ascii="Wingdings 2" w:hAnsi="Wingdings 2" w:eastAsia="Wingdings 2" w:cs="Wingdings 2"/>
                      <w:color w:val="000000"/>
                      <w:kern w:val="0"/>
                      <w:sz w:val="20"/>
                      <w:szCs w:val="20"/>
                      <w:lang w:val="en-US" w:eastAsia="zh-CN" w:bidi="ar"/>
                    </w:rPr>
                    <w:sym w:font="Wingdings 2" w:char="00A3"/>
                  </w:r>
                  <w:r>
                    <w:rPr>
                      <w:rFonts w:hint="eastAsia" w:ascii="宋体" w:hAnsi="宋体" w:eastAsia="宋体" w:cs="宋体"/>
                      <w:color w:val="000000"/>
                      <w:kern w:val="0"/>
                      <w:sz w:val="20"/>
                      <w:szCs w:val="20"/>
                      <w:lang w:val="en-US" w:eastAsia="zh-CN" w:bidi="ar"/>
                    </w:rPr>
                    <w:t>否</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FF0000"/>
                      <w:sz w:val="21"/>
                      <w:szCs w:val="21"/>
                      <w:u w:val="none" w:color="auto"/>
                      <w:vertAlign w:val="baseline"/>
                      <w:lang w:val="en-US" w:eastAsia="zh-CN"/>
                    </w:rPr>
                  </w:pPr>
                </w:p>
              </w:tc>
              <w:tc>
                <w:tcPr>
                  <w:tcW w:w="1108" w:type="dxa"/>
                  <w:vAlign w:val="center"/>
                </w:tcPr>
                <w:p>
                  <w:pPr>
                    <w:keepNext w:val="0"/>
                    <w:keepLines w:val="0"/>
                    <w:widowControl/>
                    <w:suppressLineNumbers w:val="0"/>
                    <w:jc w:val="left"/>
                  </w:pPr>
                  <w:r>
                    <w:rPr>
                      <w:rFonts w:ascii="Wingdings 2" w:hAnsi="Wingdings 2" w:eastAsia="Wingdings 2" w:cs="Wingdings 2"/>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 xml:space="preserve">企业总排 </w:t>
                  </w:r>
                </w:p>
                <w:p>
                  <w:pPr>
                    <w:keepNext w:val="0"/>
                    <w:keepLines w:val="0"/>
                    <w:widowControl/>
                    <w:suppressLineNumbers w:val="0"/>
                    <w:jc w:val="left"/>
                    <w:rPr>
                      <w:rFonts w:hint="default" w:ascii="Wingdings 2" w:hAnsi="Wingdings 2" w:eastAsia="Wingdings 2" w:cs="Wingdings 2"/>
                      <w:color w:val="000000"/>
                      <w:kern w:val="0"/>
                      <w:sz w:val="20"/>
                      <w:szCs w:val="20"/>
                      <w:lang w:val="en-US" w:eastAsia="zh-CN" w:bidi="ar"/>
                    </w:rPr>
                  </w:pPr>
                  <w:r>
                    <w:rPr>
                      <w:rFonts w:hint="default" w:ascii="Wingdings 2" w:hAnsi="Wingdings 2" w:eastAsia="Wingdings 2" w:cs="Wingdings 2"/>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 xml:space="preserve">雨水排放 </w:t>
                  </w:r>
                </w:p>
                <w:p>
                  <w:pPr>
                    <w:keepNext w:val="0"/>
                    <w:keepLines w:val="0"/>
                    <w:widowControl/>
                    <w:suppressLineNumbers w:val="0"/>
                    <w:jc w:val="left"/>
                    <w:rPr>
                      <w:rFonts w:hint="eastAsia" w:ascii="宋体" w:hAnsi="宋体" w:eastAsia="宋体" w:cs="宋体"/>
                      <w:color w:val="000000"/>
                      <w:kern w:val="0"/>
                      <w:sz w:val="20"/>
                      <w:szCs w:val="20"/>
                      <w:lang w:val="en-US" w:eastAsia="zh-CN" w:bidi="ar"/>
                    </w:rPr>
                  </w:pPr>
                  <w:r>
                    <w:rPr>
                      <w:rFonts w:hint="default" w:ascii="Wingdings 2" w:hAnsi="Wingdings 2" w:eastAsia="Wingdings 2" w:cs="Wingdings 2"/>
                      <w:color w:val="000000"/>
                      <w:kern w:val="0"/>
                      <w:sz w:val="20"/>
                      <w:szCs w:val="20"/>
                      <w:lang w:val="en-US" w:eastAsia="zh-CN" w:bidi="ar"/>
                    </w:rPr>
                    <w:sym w:font="Wingdings 2" w:char="00A3"/>
                  </w:r>
                  <w:r>
                    <w:rPr>
                      <w:rFonts w:hint="eastAsia" w:ascii="宋体" w:hAnsi="宋体" w:eastAsia="宋体" w:cs="宋体"/>
                      <w:color w:val="000000"/>
                      <w:kern w:val="0"/>
                      <w:sz w:val="20"/>
                      <w:szCs w:val="20"/>
                      <w:lang w:val="en-US" w:eastAsia="zh-CN" w:bidi="ar"/>
                    </w:rPr>
                    <w:t>清净下水排放</w:t>
                  </w:r>
                </w:p>
                <w:p>
                  <w:pPr>
                    <w:keepNext w:val="0"/>
                    <w:keepLines w:val="0"/>
                    <w:widowControl/>
                    <w:suppressLineNumbers w:val="0"/>
                    <w:jc w:val="left"/>
                  </w:pPr>
                  <w:r>
                    <w:rPr>
                      <w:rFonts w:hint="default" w:ascii="Wingdings 2" w:hAnsi="Wingdings 2" w:eastAsia="Wingdings 2" w:cs="Wingdings 2"/>
                      <w:color w:val="000000"/>
                      <w:kern w:val="0"/>
                      <w:sz w:val="20"/>
                      <w:szCs w:val="20"/>
                      <w:lang w:val="en-US" w:eastAsia="zh-CN" w:bidi="ar"/>
                    </w:rPr>
                    <w:sym w:font="Wingdings 2" w:char="00A3"/>
                  </w:r>
                  <w:r>
                    <w:rPr>
                      <w:rFonts w:hint="eastAsia" w:ascii="Wingdings 2" w:hAnsi="Wingdings 2" w:eastAsia="Wingdings 2" w:cs="Wingdings 2"/>
                      <w:color w:val="000000"/>
                      <w:kern w:val="0"/>
                      <w:sz w:val="20"/>
                      <w:szCs w:val="20"/>
                      <w:lang w:val="en-US" w:eastAsia="zh-CN" w:bidi="ar"/>
                    </w:rPr>
                    <w:t>温排水</w:t>
                  </w:r>
                  <w:r>
                    <w:rPr>
                      <w:rFonts w:hint="eastAsia" w:ascii="宋体" w:hAnsi="宋体" w:eastAsia="宋体" w:cs="宋体"/>
                      <w:color w:val="000000"/>
                      <w:kern w:val="0"/>
                      <w:sz w:val="20"/>
                      <w:szCs w:val="20"/>
                      <w:lang w:val="en-US" w:eastAsia="zh-CN" w:bidi="ar"/>
                    </w:rPr>
                    <w:t xml:space="preserve">排放 </w:t>
                  </w:r>
                </w:p>
                <w:p>
                  <w:pPr>
                    <w:keepNext w:val="0"/>
                    <w:keepLines w:val="0"/>
                    <w:widowControl/>
                    <w:suppressLineNumbers w:val="0"/>
                    <w:jc w:val="left"/>
                  </w:pPr>
                  <w:r>
                    <w:rPr>
                      <w:rFonts w:hint="default" w:ascii="Wingdings 2" w:hAnsi="Wingdings 2" w:eastAsia="Wingdings 2" w:cs="Wingdings 2"/>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 xml:space="preserve">车间或车间处理 </w:t>
                  </w:r>
                </w:p>
                <w:p>
                  <w:pPr>
                    <w:keepNext w:val="0"/>
                    <w:keepLines w:val="0"/>
                    <w:widowControl/>
                    <w:suppressLineNumbers w:val="0"/>
                    <w:jc w:val="left"/>
                    <w:rPr>
                      <w:rFonts w:hint="eastAsia" w:ascii="Times New Roman" w:hAnsi="Times New Roman" w:cs="Times New Roman"/>
                      <w:b w:val="0"/>
                      <w:bCs w:val="0"/>
                      <w:color w:val="FF0000"/>
                      <w:sz w:val="21"/>
                      <w:szCs w:val="21"/>
                      <w:u w:val="none" w:color="auto"/>
                      <w:vertAlign w:val="baseline"/>
                      <w:lang w:val="en-US" w:eastAsia="zh-CN"/>
                    </w:rPr>
                  </w:pPr>
                  <w:r>
                    <w:rPr>
                      <w:rFonts w:hint="eastAsia" w:ascii="宋体" w:hAnsi="宋体" w:eastAsia="宋体" w:cs="宋体"/>
                      <w:color w:val="000000"/>
                      <w:kern w:val="0"/>
                      <w:sz w:val="20"/>
                      <w:szCs w:val="20"/>
                      <w:lang w:val="en-US" w:eastAsia="zh-CN" w:bidi="ar"/>
                    </w:rPr>
                    <w:t>口设施排放</w:t>
                  </w:r>
                </w:p>
              </w:tc>
            </w:tr>
          </w:tbl>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none" w:color="auto"/>
                <w:lang w:eastAsia="zh-CN"/>
              </w:rPr>
            </w:pPr>
            <w:r>
              <w:rPr>
                <w:rFonts w:hint="eastAsia" w:ascii="Times New Roman" w:hAnsi="Times New Roman"/>
                <w:color w:val="auto"/>
                <w:sz w:val="24"/>
                <w:u w:val="none" w:color="auto"/>
                <w:lang w:eastAsia="zh-CN"/>
              </w:rPr>
              <w:t>本项目废水排放口基本情况见表4-</w:t>
            </w:r>
            <w:r>
              <w:rPr>
                <w:rFonts w:hint="eastAsia" w:ascii="Times New Roman" w:hAnsi="Times New Roman"/>
                <w:color w:val="auto"/>
                <w:sz w:val="24"/>
                <w:u w:val="none" w:color="auto"/>
                <w:lang w:val="en-US" w:eastAsia="zh-CN"/>
              </w:rPr>
              <w:t>6</w:t>
            </w:r>
            <w:r>
              <w:rPr>
                <w:rFonts w:hint="eastAsia" w:ascii="Times New Roman" w:hAnsi="Times New Roman"/>
                <w:color w:val="auto"/>
                <w:sz w:val="24"/>
                <w:u w:val="none" w:color="auto"/>
                <w:lang w:eastAsia="zh-CN"/>
              </w:rPr>
              <w:t>。</w:t>
            </w:r>
          </w:p>
          <w:p>
            <w:pPr>
              <w:pStyle w:val="71"/>
              <w:keepNext w:val="0"/>
              <w:keepLines w:val="0"/>
              <w:pageBreakBefore w:val="0"/>
              <w:kinsoku/>
              <w:wordWrap/>
              <w:overflowPunct/>
              <w:topLinePunct w:val="0"/>
              <w:bidi w:val="0"/>
              <w:spacing w:line="240" w:lineRule="auto"/>
              <w:ind w:left="0" w:right="0" w:firstLine="422" w:firstLineChars="200"/>
              <w:jc w:val="center"/>
              <w:textAlignment w:val="auto"/>
              <w:rPr>
                <w:rFonts w:hint="eastAsia" w:ascii="Times New Roman" w:hAnsi="Times New Roman"/>
                <w:color w:val="FF0000"/>
                <w:sz w:val="24"/>
                <w:u w:val="none" w:color="auto"/>
                <w:vertAlign w:val="baseline"/>
                <w:lang w:eastAsia="zh-CN"/>
              </w:rPr>
            </w:pPr>
            <w:r>
              <w:rPr>
                <w:rFonts w:hint="eastAsia" w:ascii="Times New Roman" w:hAnsi="Times New Roman" w:cs="Times New Roman"/>
                <w:b/>
                <w:bCs/>
                <w:color w:val="auto"/>
                <w:sz w:val="21"/>
                <w:szCs w:val="21"/>
                <w:u w:val="none" w:color="auto"/>
                <w:lang w:val="en-US" w:eastAsia="zh-CN"/>
              </w:rPr>
              <w:t>表4-6  项目废水间接排放口基本情况表</w:t>
            </w:r>
          </w:p>
          <w:tbl>
            <w:tblPr>
              <w:tblStyle w:val="31"/>
              <w:tblW w:w="7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77"/>
              <w:gridCol w:w="1474"/>
              <w:gridCol w:w="1374"/>
              <w:gridCol w:w="640"/>
              <w:gridCol w:w="434"/>
              <w:gridCol w:w="642"/>
              <w:gridCol w:w="427"/>
              <w:gridCol w:w="432"/>
              <w:gridCol w:w="705"/>
              <w:gridCol w:w="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名称</w:t>
                  </w:r>
                </w:p>
              </w:tc>
              <w:tc>
                <w:tcPr>
                  <w:tcW w:w="777"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排放口编号</w:t>
                  </w:r>
                </w:p>
              </w:tc>
              <w:tc>
                <w:tcPr>
                  <w:tcW w:w="2848" w:type="dxa"/>
                  <w:gridSpan w:val="2"/>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default"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排放口地理坐标</w:t>
                  </w:r>
                </w:p>
              </w:tc>
              <w:tc>
                <w:tcPr>
                  <w:tcW w:w="640"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废水排放量/（万</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t/a）</w:t>
                  </w:r>
                </w:p>
              </w:tc>
              <w:tc>
                <w:tcPr>
                  <w:tcW w:w="434"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排放去向</w:t>
                  </w:r>
                </w:p>
              </w:tc>
              <w:tc>
                <w:tcPr>
                  <w:tcW w:w="642"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排放规律</w:t>
                  </w:r>
                </w:p>
              </w:tc>
              <w:tc>
                <w:tcPr>
                  <w:tcW w:w="427"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间歇</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排放</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时段</w:t>
                  </w:r>
                </w:p>
              </w:tc>
              <w:tc>
                <w:tcPr>
                  <w:tcW w:w="1567" w:type="dxa"/>
                  <w:gridSpan w:val="3"/>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受纳污水处理厂信息</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Merge w:val="continue"/>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777" w:type="dxa"/>
                  <w:vMerge w:val="continue"/>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14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经度</w:t>
                  </w:r>
                </w:p>
              </w:tc>
              <w:tc>
                <w:tcPr>
                  <w:tcW w:w="1374"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纬度</w:t>
                  </w:r>
                </w:p>
              </w:tc>
              <w:tc>
                <w:tcPr>
                  <w:tcW w:w="640"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434"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642"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427"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432"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名称</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705"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污染物种类</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p>
              </w:tc>
              <w:tc>
                <w:tcPr>
                  <w:tcW w:w="430" w:type="dxa"/>
                  <w:vAlign w:val="center"/>
                </w:tcPr>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国家或地方污</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染物排放标准</w:t>
                  </w:r>
                </w:p>
                <w:p>
                  <w:pPr>
                    <w:keepNext w:val="0"/>
                    <w:keepLines w:val="0"/>
                    <w:pageBreakBefore w:val="0"/>
                    <w:widowControl w:val="0"/>
                    <w:kinsoku/>
                    <w:wordWrap/>
                    <w:overflowPunct/>
                    <w:topLinePunct w:val="0"/>
                    <w:autoSpaceDE/>
                    <w:autoSpaceDN/>
                    <w:bidi w:val="0"/>
                    <w:snapToGrid w:val="0"/>
                    <w:spacing w:line="240" w:lineRule="auto"/>
                    <w:ind w:right="0" w:rightChars="0"/>
                    <w:jc w:val="center"/>
                    <w:textAlignment w:val="auto"/>
                    <w:outlineLvl w:val="9"/>
                    <w:rPr>
                      <w:rFonts w:hint="eastAsia" w:ascii="Times New Roman" w:hAnsi="Times New Roman" w:cs="Times New Roman"/>
                      <w:b w:val="0"/>
                      <w:bCs w:val="0"/>
                      <w:color w:val="auto"/>
                      <w:sz w:val="21"/>
                      <w:szCs w:val="21"/>
                      <w:u w:val="none" w:color="auto"/>
                      <w:vertAlign w:val="baseline"/>
                      <w:lang w:val="en-US" w:eastAsia="zh-CN"/>
                    </w:rPr>
                  </w:pPr>
                  <w:r>
                    <w:rPr>
                      <w:rFonts w:hint="eastAsia" w:ascii="Times New Roman" w:hAnsi="Times New Roman" w:cs="Times New Roman"/>
                      <w:b w:val="0"/>
                      <w:bCs w:val="0"/>
                      <w:color w:val="auto"/>
                      <w:sz w:val="21"/>
                      <w:szCs w:val="21"/>
                      <w:u w:val="none" w:color="auto"/>
                      <w:vertAlign w:val="baseline"/>
                      <w:lang w:val="en-US"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pStyle w:val="71"/>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生活污水</w:t>
                  </w:r>
                </w:p>
              </w:tc>
              <w:tc>
                <w:tcPr>
                  <w:tcW w:w="777" w:type="dxa"/>
                  <w:vMerge w:val="restart"/>
                  <w:vAlign w:val="center"/>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DW00</w:t>
                  </w:r>
                </w:p>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1</w:t>
                  </w:r>
                </w:p>
              </w:tc>
              <w:tc>
                <w:tcPr>
                  <w:tcW w:w="1474" w:type="dxa"/>
                  <w:vMerge w:val="restart"/>
                  <w:vAlign w:val="center"/>
                </w:tcPr>
                <w:p>
                  <w:pPr>
                    <w:keepNext w:val="0"/>
                    <w:keepLines w:val="0"/>
                    <w:widowControl/>
                    <w:suppressLineNumbers w:val="0"/>
                    <w:jc w:val="left"/>
                  </w:pPr>
                  <w:r>
                    <w:rPr>
                      <w:rFonts w:hint="default" w:ascii="Times New Roman" w:hAnsi="Times New Roman" w:eastAsia="宋体" w:cs="Times New Roman"/>
                      <w:color w:val="000000"/>
                      <w:kern w:val="0"/>
                      <w:sz w:val="20"/>
                      <w:szCs w:val="20"/>
                      <w:lang w:val="en-US" w:eastAsia="zh-CN" w:bidi="ar"/>
                    </w:rPr>
                    <w:t>112°55′53.359″</w:t>
                  </w:r>
                </w:p>
                <w:p>
                  <w:pPr>
                    <w:keepNext w:val="0"/>
                    <w:keepLines w:val="0"/>
                    <w:widowControl/>
                    <w:suppressLineNumbers w:val="0"/>
                    <w:jc w:val="left"/>
                    <w:rPr>
                      <w:rFonts w:hint="eastAsia" w:ascii="Times New Roman" w:hAnsi="Times New Roman" w:eastAsia="宋体" w:cs="Times New Roman"/>
                      <w:color w:val="000000"/>
                      <w:kern w:val="0"/>
                      <w:sz w:val="20"/>
                      <w:szCs w:val="20"/>
                      <w:lang w:val="en-US" w:eastAsia="zh-CN" w:bidi="ar"/>
                    </w:rPr>
                  </w:pPr>
                </w:p>
              </w:tc>
              <w:tc>
                <w:tcPr>
                  <w:tcW w:w="1374" w:type="dxa"/>
                  <w:vMerge w:val="restart"/>
                  <w:vAlign w:val="center"/>
                </w:tcPr>
                <w:p>
                  <w:pPr>
                    <w:keepNext w:val="0"/>
                    <w:keepLines w:val="0"/>
                    <w:widowControl/>
                    <w:suppressLineNumbers w:val="0"/>
                    <w:jc w:val="left"/>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28°32′42.365″</w:t>
                  </w:r>
                </w:p>
                <w:p>
                  <w:pPr>
                    <w:keepNext w:val="0"/>
                    <w:keepLines w:val="0"/>
                    <w:widowControl/>
                    <w:suppressLineNumbers w:val="0"/>
                    <w:jc w:val="left"/>
                    <w:rPr>
                      <w:rFonts w:hint="eastAsia" w:ascii="Times New Roman" w:hAnsi="Times New Roman" w:eastAsia="宋体" w:cs="Times New Roman"/>
                      <w:color w:val="000000"/>
                      <w:kern w:val="0"/>
                      <w:sz w:val="20"/>
                      <w:szCs w:val="20"/>
                      <w:lang w:val="en-US" w:eastAsia="zh-CN" w:bidi="ar"/>
                    </w:rPr>
                  </w:pPr>
                </w:p>
              </w:tc>
              <w:tc>
                <w:tcPr>
                  <w:tcW w:w="640" w:type="dxa"/>
                  <w:vMerge w:val="restart"/>
                  <w:vAlign w:val="center"/>
                </w:tcPr>
                <w:p>
                  <w:pPr>
                    <w:pStyle w:val="71"/>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w:t>
                  </w:r>
                </w:p>
              </w:tc>
              <w:tc>
                <w:tcPr>
                  <w:tcW w:w="434" w:type="dxa"/>
                  <w:vMerge w:val="restart"/>
                  <w:vAlign w:val="center"/>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进入湘阴县第三污水处理厂</w:t>
                  </w:r>
                </w:p>
              </w:tc>
              <w:tc>
                <w:tcPr>
                  <w:tcW w:w="642" w:type="dxa"/>
                  <w:vMerge w:val="restart"/>
                  <w:vAlign w:val="center"/>
                </w:tcPr>
                <w:p>
                  <w:pPr>
                    <w:keepNext w:val="0"/>
                    <w:keepLines w:val="0"/>
                    <w:widowControl/>
                    <w:suppressLineNumbers w:val="0"/>
                    <w:spacing w:line="240" w:lineRule="auto"/>
                    <w:jc w:val="both"/>
                    <w:rPr>
                      <w:rFonts w:hint="eastAsia"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连续排放，流量不稳定</w:t>
                  </w:r>
                </w:p>
              </w:tc>
              <w:tc>
                <w:tcPr>
                  <w:tcW w:w="427" w:type="dxa"/>
                  <w:vMerge w:val="restart"/>
                  <w:vAlign w:val="center"/>
                </w:tcPr>
                <w:p>
                  <w:pPr>
                    <w:pStyle w:val="71"/>
                    <w:keepNext w:val="0"/>
                    <w:keepLines w:val="0"/>
                    <w:pageBreakBefore w:val="0"/>
                    <w:kinsoku/>
                    <w:wordWrap/>
                    <w:overflowPunct/>
                    <w:topLinePunct w:val="0"/>
                    <w:bidi w:val="0"/>
                    <w:spacing w:line="240" w:lineRule="auto"/>
                    <w:ind w:right="0"/>
                    <w:jc w:val="center"/>
                    <w:textAlignment w:val="auto"/>
                    <w:rPr>
                      <w:rFonts w:hint="default" w:ascii="Times New Roman" w:hAnsi="Times New Roman"/>
                      <w:color w:val="auto"/>
                      <w:sz w:val="24"/>
                      <w:u w:val="none" w:color="auto"/>
                      <w:vertAlign w:val="baseline"/>
                      <w:lang w:val="en-US" w:eastAsia="zh-CN"/>
                    </w:rPr>
                  </w:pPr>
                  <w:r>
                    <w:rPr>
                      <w:rFonts w:hint="eastAsia" w:ascii="Times New Roman" w:hAnsi="Times New Roman"/>
                      <w:color w:val="auto"/>
                      <w:sz w:val="24"/>
                      <w:u w:val="none" w:color="auto"/>
                      <w:vertAlign w:val="baseline"/>
                      <w:lang w:val="en-US" w:eastAsia="zh-CN"/>
                    </w:rPr>
                    <w:t>/</w:t>
                  </w:r>
                </w:p>
              </w:tc>
              <w:tc>
                <w:tcPr>
                  <w:tcW w:w="432" w:type="dxa"/>
                  <w:vMerge w:val="restart"/>
                  <w:vAlign w:val="center"/>
                </w:tcPr>
                <w:p>
                  <w:pPr>
                    <w:keepNext w:val="0"/>
                    <w:keepLines w:val="0"/>
                    <w:widowControl/>
                    <w:suppressLineNumbers w:val="0"/>
                    <w:spacing w:line="240" w:lineRule="auto"/>
                    <w:jc w:val="center"/>
                    <w:rPr>
                      <w:rFonts w:hint="eastAsia" w:ascii="Times New Roman" w:hAnsi="Times New Roman"/>
                      <w:color w:val="auto"/>
                      <w:sz w:val="24"/>
                      <w:u w:val="none" w:color="auto"/>
                      <w:vertAlign w:val="baseline"/>
                      <w:lang w:eastAsia="zh-CN"/>
                    </w:rPr>
                  </w:pPr>
                  <w:r>
                    <w:rPr>
                      <w:rFonts w:hint="eastAsia" w:ascii="宋体" w:hAnsi="宋体" w:eastAsia="宋体" w:cs="宋体"/>
                      <w:color w:val="auto"/>
                      <w:kern w:val="0"/>
                      <w:sz w:val="20"/>
                      <w:szCs w:val="20"/>
                      <w:lang w:val="en-US" w:eastAsia="zh-CN" w:bidi="ar"/>
                    </w:rPr>
                    <w:t>湘阴县第三污水处理厂</w:t>
                  </w:r>
                </w:p>
              </w:tc>
              <w:tc>
                <w:tcPr>
                  <w:tcW w:w="705" w:type="dxa"/>
                  <w:vAlign w:val="center"/>
                </w:tcPr>
                <w:p>
                  <w:pPr>
                    <w:keepNext w:val="0"/>
                    <w:keepLines w:val="0"/>
                    <w:widowControl/>
                    <w:suppressLineNumbers w:val="0"/>
                    <w:spacing w:line="240" w:lineRule="auto"/>
                    <w:jc w:val="center"/>
                    <w:rPr>
                      <w:color w:val="auto"/>
                    </w:rPr>
                  </w:pPr>
                  <w:r>
                    <w:rPr>
                      <w:rFonts w:hint="default" w:ascii="Times New Roman" w:hAnsi="Times New Roman" w:eastAsia="宋体" w:cs="Times New Roman"/>
                      <w:color w:val="auto"/>
                      <w:kern w:val="0"/>
                      <w:sz w:val="20"/>
                      <w:szCs w:val="20"/>
                      <w:lang w:val="en-US" w:eastAsia="zh-CN" w:bidi="ar"/>
                    </w:rPr>
                    <w:t>COD</w:t>
                  </w:r>
                </w:p>
                <w:p>
                  <w:pPr>
                    <w:keepNext w:val="0"/>
                    <w:keepLines w:val="0"/>
                    <w:widowControl/>
                    <w:suppressLineNumbers w:val="0"/>
                    <w:spacing w:line="240" w:lineRule="auto"/>
                    <w:jc w:val="center"/>
                    <w:rPr>
                      <w:rFonts w:hint="eastAsia" w:ascii="Times New Roman" w:hAnsi="Times New Roman"/>
                      <w:color w:val="auto"/>
                      <w:sz w:val="24"/>
                      <w:u w:val="none" w:color="auto"/>
                      <w:vertAlign w:val="baseline"/>
                      <w:lang w:eastAsia="zh-CN"/>
                    </w:rPr>
                  </w:pPr>
                  <w:r>
                    <w:rPr>
                      <w:rFonts w:hint="default" w:ascii="Times New Roman" w:hAnsi="Times New Roman" w:eastAsia="宋体" w:cs="Times New Roman"/>
                      <w:color w:val="auto"/>
                      <w:kern w:val="0"/>
                      <w:sz w:val="13"/>
                      <w:szCs w:val="13"/>
                      <w:lang w:val="en-US" w:eastAsia="zh-CN" w:bidi="ar"/>
                    </w:rPr>
                    <w:t>cr</w:t>
                  </w:r>
                </w:p>
              </w:tc>
              <w:tc>
                <w:tcPr>
                  <w:tcW w:w="430" w:type="dxa"/>
                  <w:vAlign w:val="center"/>
                </w:tcPr>
                <w:p>
                  <w:pPr>
                    <w:pStyle w:val="71"/>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77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147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137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640"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3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642"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2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32"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705" w:type="dxa"/>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BOD</w:t>
                  </w:r>
                  <w:r>
                    <w:rPr>
                      <w:rFonts w:hint="default" w:ascii="Times New Roman" w:hAnsi="Times New Roman" w:eastAsia="宋体" w:cs="Times New Roman"/>
                      <w:color w:val="auto"/>
                      <w:kern w:val="0"/>
                      <w:sz w:val="20"/>
                      <w:szCs w:val="20"/>
                      <w:vertAlign w:val="subscript"/>
                      <w:lang w:val="en-US" w:eastAsia="zh-CN" w:bidi="ar"/>
                    </w:rPr>
                    <w:t>5</w:t>
                  </w:r>
                </w:p>
              </w:tc>
              <w:tc>
                <w:tcPr>
                  <w:tcW w:w="430" w:type="dxa"/>
                  <w:vAlign w:val="center"/>
                </w:tcPr>
                <w:p>
                  <w:pPr>
                    <w:pStyle w:val="71"/>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77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147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137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640"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3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642"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2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32"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705" w:type="dxa"/>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氨氮</w:t>
                  </w:r>
                </w:p>
              </w:tc>
              <w:tc>
                <w:tcPr>
                  <w:tcW w:w="430" w:type="dxa"/>
                  <w:vAlign w:val="center"/>
                </w:tcPr>
                <w:p>
                  <w:pPr>
                    <w:pStyle w:val="71"/>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77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147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137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640"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34"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642"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27"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432" w:type="dxa"/>
                  <w:vMerge w:val="continue"/>
                </w:tcPr>
                <w:p>
                  <w:pPr>
                    <w:pStyle w:val="71"/>
                    <w:keepNext w:val="0"/>
                    <w:keepLines w:val="0"/>
                    <w:pageBreakBefore w:val="0"/>
                    <w:kinsoku/>
                    <w:wordWrap/>
                    <w:overflowPunct/>
                    <w:topLinePunct w:val="0"/>
                    <w:bidi w:val="0"/>
                    <w:spacing w:line="240" w:lineRule="auto"/>
                    <w:ind w:right="0"/>
                    <w:jc w:val="center"/>
                    <w:textAlignment w:val="auto"/>
                    <w:rPr>
                      <w:rFonts w:hint="eastAsia" w:ascii="Times New Roman" w:hAnsi="Times New Roman"/>
                      <w:color w:val="auto"/>
                      <w:sz w:val="24"/>
                      <w:u w:val="none" w:color="auto"/>
                      <w:vertAlign w:val="baseline"/>
                      <w:lang w:eastAsia="zh-CN"/>
                    </w:rPr>
                  </w:pPr>
                </w:p>
              </w:tc>
              <w:tc>
                <w:tcPr>
                  <w:tcW w:w="705" w:type="dxa"/>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0"/>
                      <w:szCs w:val="20"/>
                      <w:lang w:val="en-US" w:eastAsia="zh-CN" w:bidi="ar"/>
                    </w:rPr>
                  </w:pPr>
                  <w:r>
                    <w:rPr>
                      <w:rFonts w:hint="default" w:ascii="Times New Roman" w:hAnsi="Times New Roman" w:eastAsia="宋体" w:cs="Times New Roman"/>
                      <w:color w:val="auto"/>
                      <w:kern w:val="0"/>
                      <w:sz w:val="20"/>
                      <w:szCs w:val="20"/>
                      <w:lang w:val="en-US" w:eastAsia="zh-CN" w:bidi="ar"/>
                    </w:rPr>
                    <w:t>SS</w:t>
                  </w:r>
                </w:p>
              </w:tc>
              <w:tc>
                <w:tcPr>
                  <w:tcW w:w="430" w:type="dxa"/>
                  <w:vAlign w:val="center"/>
                </w:tcPr>
                <w:p>
                  <w:pPr>
                    <w:pStyle w:val="71"/>
                    <w:keepNext w:val="0"/>
                    <w:keepLines w:val="0"/>
                    <w:pageBreakBefore w:val="0"/>
                    <w:kinsoku/>
                    <w:wordWrap/>
                    <w:overflowPunct/>
                    <w:topLinePunct w:val="0"/>
                    <w:bidi w:val="0"/>
                    <w:spacing w:line="240" w:lineRule="auto"/>
                    <w:ind w:right="0"/>
                    <w:jc w:val="center"/>
                    <w:textAlignment w:val="auto"/>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eastAsia="宋体" w:cs="Times New Roman"/>
                      <w:b w:val="0"/>
                      <w:bCs w:val="0"/>
                      <w:color w:val="auto"/>
                      <w:kern w:val="2"/>
                      <w:sz w:val="21"/>
                      <w:szCs w:val="21"/>
                      <w:u w:val="none" w:color="auto"/>
                      <w:vertAlign w:val="baseline"/>
                      <w:lang w:val="en-US" w:eastAsia="zh-CN" w:bidi="ar-SA"/>
                    </w:rPr>
                    <w:t>10</w:t>
                  </w:r>
                </w:p>
              </w:tc>
            </w:tr>
          </w:tbl>
          <w:p>
            <w:pPr>
              <w:pStyle w:val="71"/>
              <w:keepNext w:val="0"/>
              <w:keepLines w:val="0"/>
              <w:pageBreakBefore w:val="0"/>
              <w:numPr>
                <w:ilvl w:val="0"/>
                <w:numId w:val="0"/>
              </w:numPr>
              <w:kinsoku/>
              <w:wordWrap/>
              <w:overflowPunct/>
              <w:topLinePunct w:val="0"/>
              <w:bidi w:val="0"/>
              <w:spacing w:line="360" w:lineRule="auto"/>
              <w:ind w:leftChars="200" w:right="0" w:rightChars="0"/>
              <w:jc w:val="both"/>
              <w:textAlignment w:val="auto"/>
              <w:rPr>
                <w:rFonts w:hint="eastAsia" w:ascii="Times New Roman" w:hAnsi="Times New Roman" w:eastAsia="宋体"/>
                <w:color w:val="auto"/>
                <w:sz w:val="24"/>
                <w:u w:val="none" w:color="auto"/>
                <w:lang w:eastAsia="zh-CN"/>
              </w:rPr>
            </w:pPr>
            <w:r>
              <w:rPr>
                <w:rFonts w:hint="eastAsia" w:ascii="Times New Roman" w:hAnsi="Times New Roman"/>
                <w:color w:val="auto"/>
                <w:sz w:val="24"/>
                <w:u w:val="none" w:color="auto"/>
                <w:lang w:eastAsia="zh-CN"/>
              </w:rPr>
              <w:t>（</w:t>
            </w:r>
            <w:r>
              <w:rPr>
                <w:rFonts w:hint="eastAsia" w:ascii="Times New Roman" w:hAnsi="Times New Roman"/>
                <w:color w:val="auto"/>
                <w:sz w:val="24"/>
                <w:u w:val="none" w:color="auto"/>
                <w:lang w:val="en-US" w:eastAsia="zh-CN"/>
              </w:rPr>
              <w:t>3</w:t>
            </w:r>
            <w:r>
              <w:rPr>
                <w:rFonts w:hint="eastAsia" w:ascii="Times New Roman" w:hAnsi="Times New Roman"/>
                <w:color w:val="auto"/>
                <w:sz w:val="24"/>
                <w:u w:val="none" w:color="auto"/>
                <w:lang w:eastAsia="zh-CN"/>
              </w:rPr>
              <w:t>）噪声污染源影响分析</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none" w:color="auto"/>
                <w:lang w:eastAsia="zh-CN"/>
              </w:rPr>
            </w:pPr>
            <w:r>
              <w:rPr>
                <w:rFonts w:hint="eastAsia" w:ascii="Times New Roman" w:hAnsi="Times New Roman"/>
                <w:color w:val="auto"/>
                <w:sz w:val="24"/>
                <w:u w:val="none" w:color="auto"/>
                <w:lang w:eastAsia="zh-CN"/>
              </w:rPr>
              <w:t>①设备噪声</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lang w:val="en-US" w:eastAsia="zh-CN"/>
              </w:rPr>
            </w:pPr>
            <w:r>
              <w:rPr>
                <w:rFonts w:hint="eastAsia" w:ascii="Times New Roman" w:hAnsi="Times New Roman"/>
                <w:color w:val="auto"/>
                <w:sz w:val="24"/>
                <w:u w:val="none" w:color="auto"/>
                <w:lang w:eastAsia="zh-CN"/>
              </w:rPr>
              <w:t>本项目为工业厂房项目，项目本身不进行生产，运营期产生的噪声主要为入驻企业在生产过程中生产设备运行产生的噪声。噪声源强一般为65-85dB(A)，需通过选用低噪声设备，高噪声设备设置减震基座、隔声罩、消声器及建筑隔声等措施处理后，厂界需达到《工业企业厂界环境噪声排放标准》（GB12348-2008）中3类标准。</w:t>
            </w:r>
            <w:r>
              <w:rPr>
                <w:rFonts w:hint="eastAsia" w:ascii="Times New Roman" w:hAnsi="Times New Roman"/>
                <w:color w:val="auto"/>
                <w:sz w:val="24"/>
                <w:u w:val="none" w:color="auto"/>
                <w:lang w:val="en-US" w:eastAsia="zh-CN"/>
              </w:rPr>
              <w:t>入驻企业高噪声设备需远离北面居民区。</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none" w:color="auto"/>
                <w:lang w:eastAsia="zh-CN"/>
              </w:rPr>
            </w:pPr>
            <w:r>
              <w:rPr>
                <w:rFonts w:hint="eastAsia" w:ascii="Times New Roman" w:hAnsi="Times New Roman"/>
                <w:color w:val="auto"/>
                <w:sz w:val="24"/>
                <w:u w:val="none" w:color="auto"/>
                <w:lang w:eastAsia="zh-CN"/>
              </w:rPr>
              <w:t>②进出车辆交通噪声</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eastAsia" w:ascii="Times New Roman" w:hAnsi="Times New Roman"/>
                <w:color w:val="auto"/>
                <w:sz w:val="24"/>
                <w:u w:val="none" w:color="auto"/>
                <w:lang w:eastAsia="zh-CN"/>
              </w:rPr>
            </w:pPr>
            <w:r>
              <w:rPr>
                <w:rFonts w:hint="eastAsia" w:ascii="Times New Roman" w:hAnsi="Times New Roman"/>
                <w:color w:val="auto"/>
                <w:sz w:val="24"/>
                <w:u w:val="none" w:color="auto"/>
                <w:lang w:eastAsia="zh-CN"/>
              </w:rPr>
              <w:t>进出车辆会产生车辆噪声，本环评建议项目通过加强厂区日常物业管理，严格控制进入厂区的车流量，禁鸣喇叭等措施来降低车辆噪声对周围声环境的影响。通过采取相应噪声防治措施对各车间的营运噪声进行治理，以确保达到《工业企业厂界环境噪声排放标准》（GB12348-2008）中3类标准限值要求。</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eastAsia="宋体"/>
                <w:color w:val="auto"/>
                <w:sz w:val="24"/>
                <w:u w:val="none" w:color="auto"/>
                <w:lang w:val="en-US" w:eastAsia="zh-CN"/>
              </w:rPr>
            </w:pPr>
            <w:r>
              <w:rPr>
                <w:rFonts w:hint="eastAsia" w:ascii="Times New Roman" w:hAnsi="Times New Roman"/>
                <w:color w:val="auto"/>
                <w:sz w:val="24"/>
                <w:u w:val="none" w:color="auto"/>
                <w:lang w:eastAsia="zh-CN"/>
              </w:rPr>
              <w:t>（</w:t>
            </w:r>
            <w:r>
              <w:rPr>
                <w:rFonts w:hint="eastAsia" w:ascii="Times New Roman" w:hAnsi="Times New Roman"/>
                <w:color w:val="auto"/>
                <w:sz w:val="24"/>
                <w:u w:val="none" w:color="auto"/>
                <w:lang w:val="en-US" w:eastAsia="zh-CN"/>
              </w:rPr>
              <w:t>4</w:t>
            </w:r>
            <w:r>
              <w:rPr>
                <w:rFonts w:hint="eastAsia" w:ascii="Times New Roman" w:hAnsi="Times New Roman"/>
                <w:color w:val="auto"/>
                <w:sz w:val="24"/>
                <w:u w:val="none" w:color="auto"/>
                <w:lang w:eastAsia="zh-CN"/>
              </w:rPr>
              <w:t>）</w:t>
            </w:r>
            <w:r>
              <w:rPr>
                <w:rFonts w:hint="default" w:ascii="Times New Roman" w:hAnsi="Times New Roman"/>
                <w:color w:val="auto"/>
                <w:sz w:val="24"/>
                <w:u w:val="none" w:color="auto"/>
              </w:rPr>
              <w:t>固体废物</w:t>
            </w:r>
            <w:r>
              <w:rPr>
                <w:rFonts w:hint="eastAsia" w:ascii="Times New Roman" w:hAnsi="Times New Roman"/>
                <w:color w:val="auto"/>
                <w:sz w:val="24"/>
                <w:u w:val="none" w:color="auto"/>
                <w:lang w:val="en-US" w:eastAsia="zh-CN"/>
              </w:rPr>
              <w:t>影响分析</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项目营运期产生固体废弃物主要生活垃圾、一般工业固废、危险废物等。</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①生活垃圾</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本项目营运期生活垃圾由各入驻企业自行单独处理，不在本次环评范围内。由于入驻企业无法确定，其生活垃圾排放源强难以确定，按建设项目环境管理要求，企业应另行办理环保审批手续</w:t>
            </w:r>
            <w:r>
              <w:rPr>
                <w:rFonts w:hint="eastAsia" w:ascii="Times New Roman" w:hAnsi="Times New Roman"/>
                <w:color w:val="auto"/>
                <w:sz w:val="24"/>
                <w:u w:val="none" w:color="auto"/>
                <w:lang w:val="en-US" w:eastAsia="zh-CN"/>
              </w:rPr>
              <w:t>。</w:t>
            </w:r>
            <w:r>
              <w:rPr>
                <w:rFonts w:hint="default" w:ascii="Times New Roman" w:hAnsi="Times New Roman"/>
                <w:color w:val="auto"/>
                <w:sz w:val="24"/>
                <w:u w:val="none" w:color="auto"/>
              </w:rPr>
              <w:t>本项目生活垃圾分类收集后，全部由环卫部门</w:t>
            </w:r>
            <w:r>
              <w:rPr>
                <w:rFonts w:hint="eastAsia" w:ascii="Times New Roman" w:hAnsi="Times New Roman"/>
                <w:color w:val="auto"/>
                <w:sz w:val="24"/>
                <w:u w:val="none" w:color="auto"/>
                <w:lang w:val="en-US" w:eastAsia="zh-CN"/>
              </w:rPr>
              <w:t>清运</w:t>
            </w:r>
            <w:r>
              <w:rPr>
                <w:rFonts w:hint="default" w:ascii="Times New Roman" w:hAnsi="Times New Roman"/>
                <w:color w:val="auto"/>
                <w:sz w:val="24"/>
                <w:u w:val="none" w:color="auto"/>
              </w:rPr>
              <w:t>处理。</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根据业主提供资料，项目内设有垃圾桶，用于收集区内企业产生的生活垃圾。同时生活垃圾定点</w:t>
            </w:r>
            <w:r>
              <w:rPr>
                <w:rFonts w:hint="eastAsia" w:ascii="Times New Roman" w:hAnsi="Times New Roman"/>
                <w:color w:val="auto"/>
                <w:sz w:val="24"/>
                <w:u w:val="none" w:color="auto"/>
                <w:lang w:val="en-US" w:eastAsia="zh-CN"/>
              </w:rPr>
              <w:t>依托</w:t>
            </w:r>
            <w:r>
              <w:rPr>
                <w:rFonts w:hint="default" w:ascii="Times New Roman" w:hAnsi="Times New Roman"/>
                <w:color w:val="auto"/>
                <w:sz w:val="24"/>
                <w:u w:val="none" w:color="auto"/>
              </w:rPr>
              <w:t>于</w:t>
            </w:r>
            <w:r>
              <w:rPr>
                <w:rFonts w:hint="eastAsia" w:ascii="Times New Roman" w:hAnsi="Times New Roman"/>
                <w:color w:val="auto"/>
                <w:sz w:val="24"/>
                <w:u w:val="none" w:color="auto"/>
                <w:lang w:val="en-US" w:eastAsia="zh-CN"/>
              </w:rPr>
              <w:t>一期</w:t>
            </w:r>
            <w:r>
              <w:rPr>
                <w:rFonts w:hint="default" w:ascii="Times New Roman" w:hAnsi="Times New Roman"/>
                <w:color w:val="auto"/>
                <w:sz w:val="24"/>
                <w:u w:val="none" w:color="auto"/>
              </w:rPr>
              <w:t>南侧（8#栋）的垃圾收集站。垃圾站进行硬化防渗处理，防止垃圾浸出液渗入地下污染地下水，做到了防雨、防风、防晒的要求，防止雨天及大风天气造成生活垃圾的二次污染。</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②</w:t>
            </w:r>
            <w:r>
              <w:rPr>
                <w:rFonts w:hint="eastAsia" w:ascii="Times New Roman" w:hAnsi="Times New Roman"/>
                <w:color w:val="auto"/>
                <w:sz w:val="24"/>
                <w:u w:val="none" w:color="auto"/>
                <w:lang w:val="en-US" w:eastAsia="zh-CN"/>
              </w:rPr>
              <w:t>一</w:t>
            </w:r>
            <w:r>
              <w:rPr>
                <w:rFonts w:hint="default" w:ascii="Times New Roman" w:hAnsi="Times New Roman"/>
                <w:color w:val="auto"/>
                <w:sz w:val="24"/>
                <w:u w:val="none" w:color="auto"/>
              </w:rPr>
              <w:t>般工业固废</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本着“谁污染，谁治理”的原则，一般工业固废由产污企业按国家和地方的有关法规作资源化利用和无害化处理，禁止将有害物排向水体和公共场所。</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一般工业固体废物必须分类收集，严禁入驻企业将工业固废混入生活垃圾一并处置，一般工业固体废物</w:t>
            </w:r>
            <w:r>
              <w:rPr>
                <w:rFonts w:hint="eastAsia" w:ascii="宋体" w:hAnsi="宋体" w:eastAsia="宋体" w:cs="宋体"/>
                <w:color w:val="auto"/>
                <w:kern w:val="0"/>
                <w:sz w:val="24"/>
                <w:szCs w:val="24"/>
                <w:lang w:val="en-US" w:eastAsia="zh-CN" w:bidi="ar"/>
              </w:rPr>
              <w:t>暂存间由入驻企业根据自身固废的产生情况自行修建</w:t>
            </w:r>
            <w:r>
              <w:rPr>
                <w:rFonts w:hint="default" w:ascii="Times New Roman" w:hAnsi="Times New Roman"/>
                <w:color w:val="auto"/>
                <w:sz w:val="24"/>
                <w:u w:val="none" w:color="auto"/>
              </w:rPr>
              <w:t>，一般工业暂存场应满足《一般工业固体废物贮存和填埋污染控制标准》要求，防风、防雨、地面硬化。企业一般固废应分类堆放，项目方应对入驻企业加强管理，规范其固体废物处置方法。</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eastAsia="宋体"/>
                <w:color w:val="auto"/>
                <w:sz w:val="24"/>
                <w:u w:val="none" w:color="auto"/>
                <w:lang w:val="en-US" w:eastAsia="zh-CN"/>
              </w:rPr>
            </w:pPr>
            <w:r>
              <w:rPr>
                <w:rFonts w:hint="eastAsia" w:ascii="Times New Roman" w:hAnsi="Times New Roman"/>
                <w:color w:val="auto"/>
                <w:sz w:val="24"/>
                <w:u w:val="none" w:color="auto"/>
                <w:lang w:val="en-US" w:eastAsia="zh-CN"/>
              </w:rPr>
              <w:t>③危险废物</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color w:val="auto"/>
                <w:sz w:val="24"/>
                <w:u w:val="none" w:color="auto"/>
              </w:rPr>
            </w:pPr>
            <w:r>
              <w:rPr>
                <w:rFonts w:hint="default" w:ascii="Times New Roman" w:hAnsi="Times New Roman"/>
                <w:color w:val="auto"/>
                <w:sz w:val="24"/>
                <w:u w:val="none" w:color="auto"/>
              </w:rPr>
              <w:t>入驻企业在生产过程中产生各类危险废物等，需经入驻企业各自收集后暂存于危险废物暂存间，定期委托有资质单位进行集中处置。</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ascii="Times New Roman" w:hAnsi="Times New Roman"/>
                <w:color w:val="FF0000"/>
                <w:u w:val="none" w:color="auto"/>
              </w:rPr>
            </w:pPr>
            <w:r>
              <w:rPr>
                <w:rFonts w:hint="default" w:ascii="Times New Roman" w:hAnsi="Times New Roman"/>
                <w:color w:val="auto"/>
                <w:sz w:val="24"/>
                <w:u w:val="none" w:color="auto"/>
              </w:rPr>
              <w:t>危废暂存间由入驻企业根据自身固废的产生情况自行修建和防渗。暂存场所必须做防雨、防渗、防漏措施，避免污染地下水。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454" w:type="dxa"/>
            <w:vAlign w:val="center"/>
          </w:tcPr>
          <w:p>
            <w:pPr>
              <w:pStyle w:val="27"/>
              <w:adjustRightInd w:val="0"/>
              <w:snapToGrid w:val="0"/>
              <w:spacing w:before="0" w:beforeAutospacing="0" w:after="0" w:afterAutospacing="0"/>
              <w:jc w:val="center"/>
              <w:rPr>
                <w:rFonts w:ascii="Times New Roman" w:hAnsi="Times New Roman"/>
                <w:bCs/>
                <w:color w:val="FF0000"/>
                <w:kern w:val="2"/>
                <w:sz w:val="24"/>
                <w:szCs w:val="24"/>
                <w:u w:val="none" w:color="auto"/>
              </w:rPr>
            </w:pPr>
            <w:r>
              <w:rPr>
                <w:rFonts w:hint="default" w:ascii="Times New Roman" w:hAnsi="Times New Roman" w:eastAsia="宋体" w:cs="Times New Roman"/>
                <w:color w:val="auto"/>
                <w:kern w:val="0"/>
                <w:sz w:val="21"/>
                <w:szCs w:val="21"/>
                <w:u w:val="none" w:color="auto"/>
                <w:lang w:val="en-US" w:eastAsia="zh-CN" w:bidi="ar-SA"/>
              </w:rPr>
              <w:t>选址选线环境合理性分析</w:t>
            </w:r>
          </w:p>
        </w:tc>
        <w:tc>
          <w:tcPr>
            <w:tcW w:w="7988" w:type="dxa"/>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项目位于湘阴县</w:t>
            </w:r>
            <w:r>
              <w:rPr>
                <w:rFonts w:hint="default" w:ascii="Times New Roman" w:hAnsi="Times New Roman" w:cs="Times New Roman"/>
                <w:color w:val="auto"/>
                <w:kern w:val="0"/>
                <w:sz w:val="24"/>
                <w:u w:val="none" w:color="auto"/>
              </w:rPr>
              <w:t>长沙临港产业开发区</w:t>
            </w:r>
            <w:r>
              <w:rPr>
                <w:rFonts w:hint="default" w:ascii="Times New Roman" w:hAnsi="Times New Roman" w:eastAsia="宋体" w:cs="Times New Roman"/>
                <w:color w:val="auto"/>
                <w:kern w:val="2"/>
                <w:sz w:val="24"/>
                <w:szCs w:val="24"/>
                <w:u w:val="none" w:color="auto"/>
                <w:lang w:val="en-US" w:eastAsia="zh-CN" w:bidi="ar-SA"/>
              </w:rPr>
              <w:t>，位于湖南省岳阳市湘阴县金龙镇，芙蓉北路西侧，万福路南侧。项目园区主要定位为先进装备制造为主导产业，以新能源产业为特色产业，科技研发、仓储物流、智能制造为配套产业，同时根据《长沙临港产业开发区规划》中金龙</w:t>
            </w:r>
            <w:r>
              <w:rPr>
                <w:rFonts w:hint="eastAsia" w:ascii="Times New Roman" w:hAnsi="Times New Roman" w:eastAsia="宋体" w:cs="Times New Roman"/>
                <w:color w:val="auto"/>
                <w:kern w:val="2"/>
                <w:sz w:val="24"/>
                <w:szCs w:val="24"/>
                <w:u w:val="none" w:color="auto"/>
                <w:lang w:val="en-US" w:eastAsia="zh-CN" w:bidi="ar-SA"/>
              </w:rPr>
              <w:t>南区</w:t>
            </w:r>
            <w:r>
              <w:rPr>
                <w:rFonts w:hint="default" w:ascii="Times New Roman" w:hAnsi="Times New Roman" w:eastAsia="宋体" w:cs="Times New Roman"/>
                <w:color w:val="auto"/>
                <w:kern w:val="2"/>
                <w:sz w:val="24"/>
                <w:szCs w:val="24"/>
                <w:u w:val="none" w:color="auto"/>
                <w:lang w:val="en-US" w:eastAsia="zh-CN" w:bidi="ar-SA"/>
              </w:rPr>
              <w:t>工业园土地利用规划，本项目所在地属于一类工业用地，因此本项目入驻企业需符合一类工业用地性质要求。</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项目所在区拥有完善的供配电、供水、排水及排污管网、电讯等基础设施，区内企业众多，且园区内交通通畅，便于本项目原辅材料和产品的运输。</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项目所在地周围500m范围内无重要保护文物、风景名胜区等保护目标，周围企业生产过程中无重大污染物产生。在对入驻企业产生污染物采取有效治理措施，实现达标排放前提下，对外环境影响较小，故本项目与周围环境具有相容性。</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FF0000"/>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综上所述，本项目选址合理。</w:t>
            </w:r>
          </w:p>
          <w:p>
            <w:pPr>
              <w:pStyle w:val="40"/>
              <w:ind w:left="0" w:leftChars="0" w:firstLine="0" w:firstLineChars="0"/>
              <w:rPr>
                <w:rFonts w:hint="default"/>
                <w:color w:val="FF0000"/>
                <w:u w:val="none" w:color="auto"/>
                <w:lang w:val="en-US" w:eastAsia="zh-CN"/>
              </w:rPr>
            </w:pPr>
          </w:p>
        </w:tc>
      </w:tr>
    </w:tbl>
    <w:p>
      <w:pPr>
        <w:pStyle w:val="27"/>
        <w:jc w:val="center"/>
        <w:rPr>
          <w:rFonts w:ascii="Times New Roman" w:hAnsi="Times New Roman" w:eastAsia="黑体"/>
          <w:snapToGrid w:val="0"/>
          <w:color w:val="FF0000"/>
          <w:sz w:val="36"/>
          <w:szCs w:val="36"/>
          <w:u w:val="none" w:color="auto"/>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7"/>
        <w:adjustRightInd w:val="0"/>
        <w:snapToGrid w:val="0"/>
        <w:spacing w:before="0" w:beforeAutospacing="0" w:after="0" w:afterAutospacing="0" w:line="14" w:lineRule="auto"/>
        <w:jc w:val="center"/>
        <w:outlineLvl w:val="9"/>
        <w:rPr>
          <w:rFonts w:ascii="Times New Roman" w:hAnsi="Times New Roman" w:eastAsia="黑体"/>
          <w:snapToGrid w:val="0"/>
          <w:color w:val="FF0000"/>
          <w:sz w:val="30"/>
          <w:szCs w:val="30"/>
          <w:u w:val="none" w:color="auto"/>
        </w:rPr>
      </w:pPr>
    </w:p>
    <w:p>
      <w:pPr>
        <w:pStyle w:val="27"/>
        <w:jc w:val="center"/>
        <w:outlineLvl w:val="0"/>
        <w:rPr>
          <w:rFonts w:hint="default" w:ascii="Times New Roman" w:hAnsi="Times New Roman" w:eastAsia="宋体" w:cs="Times New Roman"/>
          <w:b/>
          <w:bCs/>
          <w:snapToGrid w:val="0"/>
          <w:color w:val="auto"/>
          <w:sz w:val="30"/>
          <w:szCs w:val="30"/>
          <w:u w:val="none" w:color="auto"/>
        </w:rPr>
      </w:pPr>
      <w:bookmarkStart w:id="19" w:name="_Toc24819"/>
      <w:bookmarkStart w:id="20" w:name="_Toc27294"/>
      <w:r>
        <w:rPr>
          <w:rFonts w:hint="default" w:ascii="Times New Roman" w:hAnsi="Times New Roman" w:eastAsia="宋体" w:cs="Times New Roman"/>
          <w:b/>
          <w:bCs/>
          <w:snapToGrid w:val="0"/>
          <w:color w:val="auto"/>
          <w:sz w:val="30"/>
          <w:szCs w:val="30"/>
          <w:u w:val="none" w:color="auto"/>
        </w:rPr>
        <w:t>五、主要生态环境保护措施</w:t>
      </w:r>
      <w:bookmarkEnd w:id="19"/>
      <w:bookmarkEnd w:id="20"/>
    </w:p>
    <w:tbl>
      <w:tblPr>
        <w:tblStyle w:val="30"/>
        <w:tblW w:w="84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7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693" w:type="dxa"/>
            <w:tcMar>
              <w:left w:w="28" w:type="dxa"/>
              <w:right w:w="28" w:type="dxa"/>
            </w:tcMar>
            <w:vAlign w:val="center"/>
          </w:tcPr>
          <w:p>
            <w:pPr>
              <w:adjustRightInd w:val="0"/>
              <w:snapToGrid w:val="0"/>
              <w:jc w:val="center"/>
              <w:rPr>
                <w:rFonts w:ascii="Times New Roman" w:hAnsi="Times New Roman"/>
                <w:bCs/>
                <w:color w:val="FF0000"/>
                <w:szCs w:val="21"/>
                <w:u w:val="none" w:color="auto"/>
              </w:rPr>
            </w:pPr>
            <w:r>
              <w:rPr>
                <w:rFonts w:hint="default" w:ascii="Times New Roman" w:hAnsi="Times New Roman" w:cs="Times New Roman"/>
                <w:color w:val="auto"/>
                <w:kern w:val="0"/>
                <w:sz w:val="21"/>
                <w:szCs w:val="21"/>
                <w:u w:val="none" w:color="auto"/>
              </w:rPr>
              <w:t>施工期生态环境保护措施</w:t>
            </w:r>
          </w:p>
        </w:tc>
        <w:tc>
          <w:tcPr>
            <w:tcW w:w="7758" w:type="dxa"/>
            <w:vAlign w:val="center"/>
          </w:tcPr>
          <w:p>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b/>
                <w:bCs/>
                <w:color w:val="auto"/>
                <w:sz w:val="24"/>
                <w:szCs w:val="24"/>
                <w:u w:val="none" w:color="auto"/>
              </w:rPr>
            </w:pPr>
            <w:r>
              <w:rPr>
                <w:rFonts w:hint="eastAsia" w:ascii="Times New Roman" w:hAnsi="Times New Roman" w:eastAsia="宋体" w:cs="Times New Roman"/>
                <w:b/>
                <w:bCs/>
                <w:color w:val="auto"/>
                <w:sz w:val="24"/>
                <w:szCs w:val="24"/>
                <w:u w:val="none" w:color="auto"/>
                <w:lang w:val="en-US" w:eastAsia="zh-CN"/>
              </w:rPr>
              <w:t>1、施工期</w:t>
            </w:r>
            <w:r>
              <w:rPr>
                <w:rFonts w:hint="default" w:ascii="Times New Roman" w:hAnsi="Times New Roman" w:eastAsia="宋体" w:cs="Times New Roman"/>
                <w:b/>
                <w:bCs/>
                <w:color w:val="auto"/>
                <w:sz w:val="24"/>
                <w:szCs w:val="24"/>
                <w:u w:val="none" w:color="auto"/>
              </w:rPr>
              <w:t>生态环境保护措施</w:t>
            </w:r>
          </w:p>
          <w:p>
            <w:pPr>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b/>
                <w:bCs/>
                <w:color w:val="auto"/>
                <w:sz w:val="24"/>
                <w:szCs w:val="24"/>
                <w:u w:val="none" w:color="auto"/>
              </w:rPr>
            </w:pPr>
            <w:r>
              <w:rPr>
                <w:rFonts w:hint="eastAsia" w:ascii="Times New Roman" w:hAnsi="Times New Roman" w:cs="Times New Roman"/>
                <w:b/>
                <w:bCs/>
                <w:color w:val="auto"/>
                <w:sz w:val="24"/>
                <w:szCs w:val="24"/>
                <w:u w:val="none" w:color="auto"/>
                <w:lang w:val="en-US" w:eastAsia="zh-CN"/>
              </w:rPr>
              <w:t>（1）</w:t>
            </w:r>
            <w:r>
              <w:rPr>
                <w:rFonts w:hint="eastAsia" w:ascii="Times New Roman" w:hAnsi="Times New Roman" w:eastAsia="宋体" w:cs="Times New Roman"/>
                <w:b/>
                <w:bCs/>
                <w:color w:val="auto"/>
                <w:sz w:val="24"/>
                <w:szCs w:val="24"/>
                <w:u w:val="none" w:color="auto"/>
                <w:lang w:val="en-US" w:eastAsia="zh-CN"/>
              </w:rPr>
              <w:t>施工期</w:t>
            </w:r>
            <w:r>
              <w:rPr>
                <w:rFonts w:hint="eastAsia" w:ascii="Times New Roman" w:hAnsi="Times New Roman" w:cs="Times New Roman"/>
                <w:b/>
                <w:bCs/>
                <w:color w:val="auto"/>
                <w:sz w:val="24"/>
                <w:szCs w:val="24"/>
                <w:u w:val="none" w:color="auto"/>
                <w:lang w:val="en-US" w:eastAsia="zh-CN"/>
              </w:rPr>
              <w:t>的水土保持</w:t>
            </w:r>
            <w:r>
              <w:rPr>
                <w:rFonts w:hint="default" w:ascii="Times New Roman" w:hAnsi="Times New Roman" w:eastAsia="宋体" w:cs="Times New Roman"/>
                <w:b/>
                <w:bCs/>
                <w:color w:val="auto"/>
                <w:sz w:val="24"/>
                <w:szCs w:val="24"/>
                <w:u w:val="none" w:color="auto"/>
              </w:rPr>
              <w:t>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评价建设在施工期需采取以下水土保护措施：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①道路修筑、场地平整的施工余土要集中堆存，用于项目填土。</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②尽量减少项目地的挖方量和水土流失。</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③在道路两侧和厂区裸露处进行绿化，防止水土流失。引进的植物要采用当地土著物种，避免生物入侵，禁止破坏项目所在地生态平衡。</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④</w:t>
            </w:r>
            <w:r>
              <w:rPr>
                <w:rFonts w:hint="default" w:ascii="Times New Roman" w:hAnsi="Times New Roman" w:eastAsia="宋体" w:cs="Times New Roman"/>
                <w:color w:val="auto"/>
                <w:sz w:val="24"/>
                <w:szCs w:val="24"/>
                <w:u w:val="none" w:color="auto"/>
              </w:rPr>
              <w:t>施工单位要求随时跟气象部门联系，及时掌握天气状况，事先了解降雨时间和特点，以便在雨季前将填铺的松土压实，并做好防护措施。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⑤建设单位应尽可能抓紧施工，缩短工期，以减轻施工期对生态环境的影响。主体工程完工后，及时硬化路面和恢复厂区绿化。施工期结束后随着绿化率的提高和场地硬化，生态影响也相应地随之消失。</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在施工期间建设单位应该尽可能通过加强管理，文明施工的手段来减少建设期间施工对环境的影响，做到发展与保护环境的协调。</w:t>
            </w:r>
          </w:p>
          <w:p>
            <w:pPr>
              <w:keepNext w:val="0"/>
              <w:keepLines w:val="0"/>
              <w:widowControl/>
              <w:numPr>
                <w:ilvl w:val="0"/>
                <w:numId w:val="0"/>
              </w:numPr>
              <w:suppressLineNumbers w:val="0"/>
              <w:spacing w:line="360" w:lineRule="auto"/>
              <w:jc w:val="left"/>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（2）</w:t>
            </w:r>
            <w:r>
              <w:rPr>
                <w:rFonts w:hint="eastAsia" w:ascii="Times New Roman" w:hAnsi="Times New Roman" w:eastAsia="宋体" w:cs="Times New Roman"/>
                <w:b/>
                <w:bCs/>
                <w:color w:val="auto"/>
                <w:sz w:val="24"/>
                <w:szCs w:val="24"/>
                <w:u w:val="none" w:color="auto"/>
                <w:lang w:val="en-US" w:eastAsia="zh-CN"/>
              </w:rPr>
              <w:t>对动物的保护措施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①避免措施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cs="Times New Roman"/>
                <w:color w:val="auto"/>
                <w:sz w:val="24"/>
                <w:szCs w:val="24"/>
                <w:u w:val="none" w:color="auto"/>
                <w:lang w:val="en-US" w:eastAsia="zh-CN"/>
              </w:rPr>
              <w:t>a</w:t>
            </w:r>
            <w:r>
              <w:rPr>
                <w:rFonts w:hint="default" w:ascii="Times New Roman" w:hAnsi="Times New Roman" w:eastAsia="宋体" w:cs="Times New Roman"/>
                <w:color w:val="auto"/>
                <w:sz w:val="24"/>
                <w:szCs w:val="24"/>
                <w:u w:val="none" w:color="auto"/>
              </w:rPr>
              <w:t>、合理安排施工期。鸟类大多是早晨、黄昏或夜间外出觅食。为了减少工程施工噪声对野生动物的惊扰，应做好施工方式、数量、时间的计划，避免在晨、昏及夜间进行高噪声作业。</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cs="Times New Roman"/>
                <w:color w:val="auto"/>
                <w:sz w:val="24"/>
                <w:szCs w:val="24"/>
                <w:u w:val="none" w:color="auto"/>
                <w:lang w:val="en-US" w:eastAsia="zh-CN"/>
              </w:rPr>
              <w:t>b</w:t>
            </w:r>
            <w:r>
              <w:rPr>
                <w:rFonts w:hint="default" w:ascii="Times New Roman" w:hAnsi="Times New Roman" w:eastAsia="宋体" w:cs="Times New Roman"/>
                <w:color w:val="auto"/>
                <w:sz w:val="24"/>
                <w:szCs w:val="24"/>
                <w:u w:val="none" w:color="auto"/>
              </w:rPr>
              <w:t>、施工期间要控制污染物的排放，定期对施工机械和设备进行检修，防止出现漏油等事故，并对施工区域以及影响区进行洒水降尘，减少油污及扬尘等对环境的破坏。</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cs="Times New Roman"/>
                <w:color w:val="auto"/>
                <w:sz w:val="24"/>
                <w:szCs w:val="24"/>
                <w:u w:val="none" w:color="auto"/>
                <w:lang w:eastAsia="zh-CN"/>
              </w:rPr>
              <w:t>②</w:t>
            </w:r>
            <w:r>
              <w:rPr>
                <w:rFonts w:hint="default" w:ascii="Times New Roman" w:hAnsi="Times New Roman" w:eastAsia="宋体" w:cs="Times New Roman"/>
                <w:color w:val="auto"/>
                <w:sz w:val="24"/>
                <w:szCs w:val="24"/>
                <w:u w:val="none" w:color="auto"/>
              </w:rPr>
              <w:t>减缓措施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施工期间加强弃渣防护，避免</w:t>
            </w:r>
            <w:r>
              <w:rPr>
                <w:rFonts w:hint="eastAsia" w:ascii="Times New Roman" w:hAnsi="Times New Roman" w:cs="Times New Roman"/>
                <w:color w:val="auto"/>
                <w:sz w:val="24"/>
                <w:szCs w:val="24"/>
                <w:u w:val="none" w:color="auto"/>
                <w:lang w:val="en-US" w:eastAsia="zh-CN"/>
              </w:rPr>
              <w:t>施工废水</w:t>
            </w:r>
            <w:r>
              <w:rPr>
                <w:rFonts w:hint="default" w:ascii="Times New Roman" w:hAnsi="Times New Roman" w:eastAsia="宋体" w:cs="Times New Roman"/>
                <w:color w:val="auto"/>
                <w:sz w:val="24"/>
                <w:szCs w:val="24"/>
                <w:u w:val="none" w:color="auto"/>
              </w:rPr>
              <w:t>的直接排放，减少野生动物受污染的生境面积。</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cs="Times New Roman"/>
                <w:color w:val="auto"/>
                <w:sz w:val="24"/>
                <w:szCs w:val="24"/>
                <w:u w:val="none" w:color="auto"/>
                <w:lang w:eastAsia="zh-CN"/>
              </w:rPr>
              <w:t>③</w:t>
            </w:r>
            <w:r>
              <w:rPr>
                <w:rFonts w:hint="default" w:ascii="Times New Roman" w:hAnsi="Times New Roman" w:eastAsia="宋体" w:cs="Times New Roman"/>
                <w:color w:val="auto"/>
                <w:sz w:val="24"/>
                <w:szCs w:val="24"/>
                <w:u w:val="none" w:color="auto"/>
              </w:rPr>
              <w:t>管理措施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cs="Times New Roman"/>
                <w:color w:val="auto"/>
                <w:sz w:val="24"/>
                <w:szCs w:val="24"/>
                <w:u w:val="none" w:color="auto"/>
                <w:lang w:val="en-US" w:eastAsia="zh-CN"/>
              </w:rPr>
              <w:t>a</w:t>
            </w:r>
            <w:r>
              <w:rPr>
                <w:rFonts w:hint="default" w:ascii="Times New Roman" w:hAnsi="Times New Roman" w:eastAsia="宋体" w:cs="Times New Roman"/>
                <w:color w:val="auto"/>
                <w:sz w:val="24"/>
                <w:szCs w:val="24"/>
                <w:u w:val="none" w:color="auto"/>
              </w:rPr>
              <w:t>、严格控制工程施工范围，同时控制施工作业和运输车辆运行轨迹，避免扩大施工行为影响到野生动物的生境。</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cs="Times New Roman"/>
                <w:color w:val="auto"/>
                <w:sz w:val="24"/>
                <w:szCs w:val="24"/>
                <w:u w:val="none" w:color="auto"/>
                <w:lang w:val="en-US" w:eastAsia="zh-CN"/>
              </w:rPr>
              <w:t>b</w:t>
            </w:r>
            <w:r>
              <w:rPr>
                <w:rFonts w:hint="default" w:ascii="Times New Roman" w:hAnsi="Times New Roman" w:eastAsia="宋体" w:cs="Times New Roman"/>
                <w:color w:val="auto"/>
                <w:sz w:val="24"/>
                <w:szCs w:val="24"/>
                <w:u w:val="none" w:color="auto"/>
              </w:rPr>
              <w:t>、提高施工人员的保护意识，严禁捕猎野生动物。</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④</w:t>
            </w:r>
            <w:r>
              <w:rPr>
                <w:rFonts w:hint="default" w:ascii="Times New Roman" w:hAnsi="Times New Roman" w:eastAsia="宋体" w:cs="Times New Roman"/>
                <w:color w:val="auto"/>
                <w:sz w:val="24"/>
                <w:szCs w:val="24"/>
                <w:u w:val="none" w:color="auto"/>
              </w:rPr>
              <w:t>夜间禁止大型机械作业，以免噪声和振动对野生动物的生长繁殖造成不良影响；限定工作车辆、人员数量和工作时间，以减少对动物生境的影响。</w:t>
            </w:r>
          </w:p>
          <w:p>
            <w:pPr>
              <w:keepNext w:val="0"/>
              <w:keepLines w:val="0"/>
              <w:widowControl/>
              <w:numPr>
                <w:ilvl w:val="0"/>
                <w:numId w:val="0"/>
              </w:numPr>
              <w:suppressLineNumbers w:val="0"/>
              <w:spacing w:line="360" w:lineRule="auto"/>
              <w:jc w:val="left"/>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w:t>
            </w:r>
            <w:r>
              <w:rPr>
                <w:rFonts w:hint="eastAsia" w:ascii="Times New Roman" w:hAnsi="Times New Roman" w:eastAsia="宋体" w:cs="Times New Roman"/>
                <w:b/>
                <w:bCs/>
                <w:color w:val="000000"/>
                <w:kern w:val="0"/>
                <w:sz w:val="24"/>
                <w:szCs w:val="24"/>
                <w:lang w:val="en-US" w:eastAsia="zh-CN" w:bidi="ar"/>
              </w:rPr>
              <w:t>3）</w:t>
            </w:r>
            <w:r>
              <w:rPr>
                <w:rFonts w:hint="eastAsia" w:ascii="Times New Roman" w:hAnsi="Times New Roman" w:eastAsia="宋体" w:cs="Times New Roman"/>
                <w:b/>
                <w:bCs/>
                <w:color w:val="auto"/>
                <w:sz w:val="24"/>
                <w:szCs w:val="24"/>
                <w:u w:val="none" w:color="auto"/>
                <w:lang w:val="en-US" w:eastAsia="zh-CN"/>
              </w:rPr>
              <w:t>对植物的保护措施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①严格划定施工界限，禁止越界施工和破坏征地范围外植被的行为，同时严格控制施工临时用地范围。</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②</w:t>
            </w:r>
            <w:r>
              <w:rPr>
                <w:rFonts w:hint="default" w:ascii="Times New Roman" w:hAnsi="Times New Roman" w:eastAsia="宋体" w:cs="Times New Roman"/>
                <w:color w:val="auto"/>
                <w:sz w:val="24"/>
                <w:szCs w:val="24"/>
                <w:u w:val="none" w:color="auto"/>
              </w:rPr>
              <w:t>在施工开始之前，应对施工区域内的植物进行详细的调查和评估，确定需要特别保护的植物种类和区域。这包括记录植物的种类、数量、生长状况以及它们在生态系统中的作用</w:t>
            </w:r>
            <w:r>
              <w:rPr>
                <w:rFonts w:hint="eastAsia" w:ascii="Times New Roman" w:hAnsi="Times New Roman" w:eastAsia="宋体" w:cs="Times New Roman"/>
                <w:color w:val="auto"/>
                <w:sz w:val="24"/>
                <w:szCs w:val="24"/>
                <w:u w:val="none" w:color="auto"/>
                <w:lang w:eastAsia="zh-CN"/>
              </w:rPr>
              <w:t>。施工完成后，应对受损的植物和生态系统进行恢复。这可能包括重新植树、恢复土壤肥力、以及提供栖息地恢复的支持。</w:t>
            </w:r>
          </w:p>
          <w:p>
            <w:pPr>
              <w:keepNext w:val="0"/>
              <w:keepLines w:val="0"/>
              <w:widowControl/>
              <w:suppressLineNumbers w:val="0"/>
              <w:spacing w:line="360" w:lineRule="auto"/>
              <w:jc w:val="left"/>
              <w:rPr>
                <w:color w:val="auto"/>
                <w:u w:val="single" w:color="auto"/>
              </w:rPr>
            </w:pPr>
            <w:r>
              <w:rPr>
                <w:rFonts w:hint="default" w:ascii="Times New Roman" w:hAnsi="Times New Roman" w:cs="Times New Roman"/>
                <w:b/>
                <w:bCs/>
                <w:color w:val="auto"/>
                <w:kern w:val="0"/>
                <w:sz w:val="24"/>
                <w:szCs w:val="24"/>
                <w:u w:val="single" w:color="auto"/>
                <w:lang w:val="en-US" w:eastAsia="zh-CN" w:bidi="ar"/>
              </w:rPr>
              <w:t>（4）</w:t>
            </w:r>
            <w:r>
              <w:rPr>
                <w:rFonts w:hint="default" w:ascii="Times New Roman" w:hAnsi="Times New Roman" w:eastAsia="宋体" w:cs="Times New Roman"/>
                <w:b/>
                <w:bCs/>
                <w:color w:val="auto"/>
                <w:kern w:val="0"/>
                <w:sz w:val="24"/>
                <w:szCs w:val="24"/>
                <w:u w:val="single" w:color="auto"/>
                <w:lang w:val="en-US" w:eastAsia="zh-CN" w:bidi="ar"/>
              </w:rPr>
              <w:t>大</w:t>
            </w:r>
            <w:r>
              <w:rPr>
                <w:rFonts w:hint="eastAsia" w:ascii="宋体" w:hAnsi="宋体" w:eastAsia="宋体" w:cs="宋体"/>
                <w:b/>
                <w:bCs/>
                <w:color w:val="auto"/>
                <w:kern w:val="0"/>
                <w:sz w:val="24"/>
                <w:szCs w:val="24"/>
                <w:u w:val="single" w:color="auto"/>
                <w:lang w:val="en-US" w:eastAsia="zh-CN" w:bidi="ar"/>
              </w:rPr>
              <w:t>气环境保护措施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在整个施工期间，产生扬尘的作业主要有土地平整、打桩、开挖、回填、道路浇注、建材运输、露天堆放、装卸和搅拌等过程，如遇干旱无雨季节，在大风时，施工扬尘将更严重。</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施工期扬尘根据其沉降速率快，影响范围有限，会影响建设项目周边环境，本项目100m范围内有金龙</w:t>
            </w:r>
            <w:r>
              <w:rPr>
                <w:rFonts w:hint="eastAsia" w:ascii="Times New Roman" w:hAnsi="Times New Roman" w:cs="Times New Roman"/>
                <w:color w:val="auto"/>
                <w:sz w:val="24"/>
                <w:szCs w:val="24"/>
                <w:u w:val="single" w:color="auto"/>
                <w:lang w:val="en-US" w:eastAsia="zh-CN"/>
              </w:rPr>
              <w:t>雅苑</w:t>
            </w:r>
            <w:r>
              <w:rPr>
                <w:rFonts w:hint="default" w:ascii="Times New Roman" w:hAnsi="Times New Roman" w:eastAsia="宋体" w:cs="Times New Roman"/>
                <w:color w:val="auto"/>
                <w:sz w:val="24"/>
                <w:szCs w:val="24"/>
                <w:u w:val="single" w:color="auto"/>
              </w:rPr>
              <w:t>小区，</w:t>
            </w:r>
            <w:r>
              <w:rPr>
                <w:rFonts w:hint="default" w:ascii="Times New Roman" w:hAnsi="Times New Roman" w:cs="Times New Roman"/>
                <w:color w:val="auto"/>
                <w:kern w:val="0"/>
                <w:sz w:val="24"/>
                <w:u w:val="single" w:color="auto"/>
                <w:lang w:val="en-US" w:eastAsia="zh-CN"/>
              </w:rPr>
              <w:t>项目500m范围内有金龙</w:t>
            </w:r>
            <w:r>
              <w:rPr>
                <w:rFonts w:hint="eastAsia" w:ascii="Times New Roman" w:hAnsi="Times New Roman" w:cs="Times New Roman"/>
                <w:color w:val="auto"/>
                <w:kern w:val="0"/>
                <w:sz w:val="24"/>
                <w:u w:val="single" w:color="auto"/>
                <w:lang w:val="en-US" w:eastAsia="zh-CN"/>
              </w:rPr>
              <w:t>雅苑</w:t>
            </w:r>
            <w:r>
              <w:rPr>
                <w:rFonts w:hint="default" w:ascii="Times New Roman" w:hAnsi="Times New Roman" w:cs="Times New Roman"/>
                <w:color w:val="auto"/>
                <w:kern w:val="0"/>
                <w:sz w:val="24"/>
                <w:u w:val="single" w:color="auto"/>
                <w:lang w:val="en-US" w:eastAsia="zh-CN"/>
              </w:rPr>
              <w:t>小区、</w:t>
            </w:r>
            <w:r>
              <w:rPr>
                <w:rFonts w:hint="eastAsia" w:ascii="Times New Roman" w:hAnsi="Times New Roman" w:cs="Times New Roman"/>
                <w:color w:val="auto"/>
                <w:kern w:val="0"/>
                <w:sz w:val="24"/>
                <w:u w:val="single" w:color="auto"/>
                <w:lang w:val="en-US" w:eastAsia="zh-CN"/>
              </w:rPr>
              <w:t>曾家坡</w:t>
            </w:r>
            <w:r>
              <w:rPr>
                <w:rFonts w:hint="default" w:ascii="Times New Roman" w:hAnsi="Times New Roman" w:cs="Times New Roman"/>
                <w:color w:val="auto"/>
                <w:kern w:val="0"/>
                <w:sz w:val="24"/>
                <w:u w:val="single" w:color="auto"/>
                <w:lang w:val="en-US" w:eastAsia="zh-CN"/>
              </w:rPr>
              <w:t>、</w:t>
            </w:r>
            <w:r>
              <w:rPr>
                <w:rFonts w:hint="eastAsia" w:ascii="Times New Roman" w:hAnsi="Times New Roman" w:cs="Times New Roman"/>
                <w:color w:val="auto"/>
                <w:kern w:val="0"/>
                <w:sz w:val="24"/>
                <w:u w:val="single" w:color="auto"/>
                <w:lang w:val="en-US" w:eastAsia="zh-CN"/>
              </w:rPr>
              <w:t>金凤村等</w:t>
            </w:r>
            <w:r>
              <w:rPr>
                <w:rFonts w:hint="default" w:ascii="Times New Roman" w:hAnsi="Times New Roman" w:cs="Times New Roman"/>
                <w:color w:val="auto"/>
                <w:kern w:val="0"/>
                <w:sz w:val="24"/>
                <w:u w:val="single" w:color="auto"/>
                <w:lang w:val="en-US" w:eastAsia="zh-CN"/>
              </w:rPr>
              <w:t>居民</w:t>
            </w:r>
            <w:r>
              <w:rPr>
                <w:rFonts w:hint="eastAsia" w:ascii="Times New Roman" w:hAnsi="Times New Roman" w:cs="Times New Roman"/>
                <w:color w:val="auto"/>
                <w:kern w:val="0"/>
                <w:sz w:val="24"/>
                <w:u w:val="single" w:color="auto"/>
                <w:lang w:val="en-US" w:eastAsia="zh-CN"/>
              </w:rPr>
              <w:t>点</w:t>
            </w:r>
            <w:r>
              <w:rPr>
                <w:rFonts w:hint="default" w:ascii="Times New Roman" w:hAnsi="Times New Roman" w:eastAsia="宋体" w:cs="Times New Roman"/>
                <w:color w:val="auto"/>
                <w:sz w:val="24"/>
                <w:szCs w:val="24"/>
                <w:u w:val="single" w:color="auto"/>
              </w:rPr>
              <w:t>，施工扬尘对周围环境敏感点将产生一定不良影响。因此采取有效的控制措施减少施工扬尘对周边敏感的影响，本环评建议扬尘控制与治理措施严格按照《岳阳市扬尘污染防治条例》（2019年第3号）执行，本环评建议扬尘控制与治理措施如下：</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1）施工现场出入口应当公示扬尘污染防治措施、负责人，扬尘监督管理部门以及举报电话等信息；</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2）施工工地应当分别设置高度不低于二点五米、一点八米的硬质封闭围挡或者围墙</w:t>
            </w:r>
            <w:r>
              <w:rPr>
                <w:rFonts w:hint="eastAsia" w:ascii="Times New Roman" w:hAnsi="Times New Roman" w:cs="Times New Roman"/>
                <w:color w:val="auto"/>
                <w:sz w:val="24"/>
                <w:szCs w:val="24"/>
                <w:u w:val="single" w:color="auto"/>
                <w:lang w:eastAsia="zh-CN"/>
              </w:rPr>
              <w:t>，</w:t>
            </w:r>
            <w:r>
              <w:rPr>
                <w:rFonts w:hint="eastAsia" w:ascii="Times New Roman" w:hAnsi="Times New Roman" w:cs="Times New Roman"/>
                <w:color w:val="auto"/>
                <w:sz w:val="24"/>
                <w:szCs w:val="24"/>
                <w:u w:val="single" w:color="auto"/>
                <w:lang w:val="en-US" w:eastAsia="zh-CN"/>
              </w:rPr>
              <w:t>喷雾降尘</w:t>
            </w:r>
            <w:r>
              <w:rPr>
                <w:rFonts w:hint="default" w:ascii="Times New Roman" w:hAnsi="Times New Roman" w:eastAsia="宋体" w:cs="Times New Roman"/>
                <w:color w:val="auto"/>
                <w:sz w:val="24"/>
                <w:szCs w:val="24"/>
                <w:u w:val="single" w:color="auto"/>
              </w:rPr>
              <w:t>；</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3）天气预报4级风以上天气应停止产生扬尘的施工作业，例如土方工程、粉状建筑材料的相关作业。</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4）施工工地的出入口通道内侧安装车辆冲洗设施和污水沉淀池，并定期清扫周边道路，保证出场车辆和周边道路洁净；</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5）对易产生扬尘污染的建筑材料密闭存放或者集中、分类堆放，采取覆盖、喷淋洒水等有效防尘措施，并使用专业车辆运输；</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6）对建筑垃圾、建筑土石方及其他废弃物应当在四十八小时内运到指定地点处置，不能及时清运的，应当采取防尘网或者防尘布等覆盖措施；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7）按照市人民政府的规定使用预拌混凝土、预拌砂浆；</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8）采取分段作业、择时施工、洒水防尘等措施，降低扬尘污染。</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9）土石方作业阶段应当采取覆盖、喷淋洒水等防尘措施，达到作业区扬尘不扩散到界外，施工现场非作业区目测无扬尘的要求；</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10）建筑施工脚手架外侧应当设置符合标准的密目防尘网或者防尘布，拆除时应当采取喷淋洒水等防尘措施；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11）对楼层、高处平台等进行建筑垃圾清理时，应当采取喷淋洒水等防尘措施；楼层内清扫出的建筑垃圾，应当密封清运，禁止高空抛掷、扬撒。</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12）房屋装饰装修工程施工，对于易产生扬尘污染的装饰装修材料采取覆盖措施；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墙体拆改、开槽切割等采取局部覆盖、喷淋等防尘措施，及时封闭清运装饰装修垃圾，禁止高空抛掷、扬撒。</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13）拆除临时建筑物时，临街区域拆除作业的，应当设置防护排架并外挂密闭式防尘网；全程采取持续加压洒水或者喷淋洒水等防尘措施；拆除工程完毕后二十四小时内应当对裸露地面进行覆盖、绿化或者铺装。</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14）绿化作业土壤不得倾倒路面，栽种土、弃土应当及时清运，不能及时清运的，采取覆盖、喷淋洒水等防尘措施；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15）栽植行道树时，所挖树穴在二十四小时内不能栽植的，对树穴和栽种土采取覆盖等防尘措施；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16）三千平方米以上的成片绿化建设作业，在绿化用地周围设置不低于一点八米的硬质密闭围挡，在施工工地出口内侧设置车辆清洗设施以及配套的排水、泥浆沉淀设施；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17）道路中心隔离带、分车带等，没有采取覆盖或者绿化的，回填土壤应当低于路缘石；</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18）贮存水泥等易产生扬尘污染物的堆场应采取以下措施：①物料堆场地面进行硬底化处理，实行密闭管理；不能密闭的，设置不低于堆放物高度的连续硬质密闭围挡，并安装喷淋洒水设备等防尘设施；②在密闭式堆场装卸或者传送物料的，在装卸处配备吸尘装置、喷淋洒水设备等扬尘污染防治设施；在非密闭式堆场装卸或者传送物料的，采取覆盖或者设置自动喷淋洒水系统等防尘措施；③在出口处设置车辆冲洗设施，四周设置排水沟和沉淀池，配备高压冲洗装置，驶离作业场所的车辆应当冲洗干净；④划分物料区和道路界限，及时清除散落的物料，保持道路及出入口通道整洁。</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19）运输垃圾、渣土、砂石、土方、灰浆、水泥等散装、流体物料的，应当依法使用专用车辆或者采取全封闭装载，并在装卸过程中采取防尘措施。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运输车辆应当冲洗干净后，方可驶出作业场所，并按照规定的路线、时间运输至指定地点。在运输过程中不得遗撒、泄漏物料。</w:t>
            </w:r>
          </w:p>
          <w:p>
            <w:pPr>
              <w:keepNext w:val="0"/>
              <w:keepLines w:val="0"/>
              <w:pageBreakBefore w:val="0"/>
              <w:widowControl w:val="0"/>
              <w:numPr>
                <w:ilvl w:val="0"/>
                <w:numId w:val="0"/>
              </w:numPr>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eastAsia" w:ascii="Times New Roman" w:hAnsi="Times New Roman" w:cs="Times New Roman"/>
                <w:color w:val="auto"/>
                <w:sz w:val="24"/>
                <w:szCs w:val="24"/>
                <w:u w:val="single" w:color="auto"/>
                <w:lang w:val="en-US" w:eastAsia="zh-CN"/>
              </w:rPr>
              <w:t>20）</w:t>
            </w:r>
            <w:r>
              <w:rPr>
                <w:rFonts w:hint="default" w:ascii="Times New Roman" w:hAnsi="Times New Roman" w:eastAsia="宋体" w:cs="Times New Roman"/>
                <w:color w:val="auto"/>
                <w:sz w:val="24"/>
                <w:szCs w:val="24"/>
                <w:u w:val="single" w:color="auto"/>
              </w:rPr>
              <w:t>重污染天气Ⅲ级以上预警信息发布后，渣土、砂石、土方、灰浆、煤炭、水泥等运输车辆应当停止运输；不得进行土石方挖填、转运和建构筑物拆除等易产生扬尘污染的作业；不得在城乡规划确定的建设用地范围内进行土地平整、换土、原土过筛等作业。</w:t>
            </w:r>
          </w:p>
          <w:p>
            <w:pPr>
              <w:keepNext w:val="0"/>
              <w:keepLines w:val="0"/>
              <w:pageBreakBefore w:val="0"/>
              <w:widowControl w:val="0"/>
              <w:numPr>
                <w:ilvl w:val="0"/>
                <w:numId w:val="0"/>
              </w:numPr>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eastAsia" w:ascii="Times New Roman" w:hAnsi="Times New Roman" w:eastAsia="宋体" w:cs="Times New Roman"/>
                <w:color w:val="auto"/>
                <w:sz w:val="24"/>
                <w:szCs w:val="24"/>
                <w:u w:val="single" w:color="auto"/>
                <w:lang w:val="en-US" w:eastAsia="zh-CN"/>
              </w:rPr>
              <w:t>21</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rPr>
              <w:t>施工结束后，拆除所有的临时设施，及时进行绿化，根据项目设计要求，本项目绿化率应达到10.00%。</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通过采取以上措施，加强施工管理，可使地面扬尘减少50%左右，施工作业扬尘减少70%左右，大大减少施工扬尘的产生，措施可行。因施工活动是短期的，因此施工扬尘的影响也是暂时的，随着施工期的结束，扬尘污染也将停止。</w:t>
            </w:r>
          </w:p>
          <w:p>
            <w:pPr>
              <w:keepNext w:val="0"/>
              <w:keepLines w:val="0"/>
              <w:widowControl/>
              <w:suppressLineNumbers w:val="0"/>
              <w:spacing w:line="360" w:lineRule="auto"/>
              <w:jc w:val="left"/>
              <w:rPr>
                <w:color w:val="auto"/>
              </w:rPr>
            </w:pPr>
            <w:r>
              <w:rPr>
                <w:rFonts w:hint="eastAsia" w:ascii="宋体" w:hAnsi="宋体" w:cs="宋体"/>
                <w:b/>
                <w:bCs/>
                <w:color w:val="auto"/>
                <w:kern w:val="0"/>
                <w:sz w:val="24"/>
                <w:szCs w:val="24"/>
                <w:lang w:val="en-US" w:eastAsia="zh-CN" w:bidi="ar"/>
              </w:rPr>
              <w:t>（</w:t>
            </w:r>
            <w:r>
              <w:rPr>
                <w:rFonts w:hint="default" w:ascii="Times New Roman" w:hAnsi="Times New Roman"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val="en-US" w:eastAsia="zh-CN" w:bidi="ar"/>
              </w:rPr>
              <w:t>水</w:t>
            </w:r>
            <w:r>
              <w:rPr>
                <w:rFonts w:hint="eastAsia" w:ascii="宋体" w:hAnsi="宋体" w:eastAsia="宋体" w:cs="宋体"/>
                <w:b/>
                <w:bCs/>
                <w:color w:val="auto"/>
                <w:kern w:val="0"/>
                <w:sz w:val="24"/>
                <w:szCs w:val="24"/>
                <w:lang w:val="en-US" w:eastAsia="zh-CN" w:bidi="ar"/>
              </w:rPr>
              <w:t>环境防护措施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建设项目施工期废水主要为施工人员的生活污水和建筑施工废水。</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（1）生活污水</w:t>
            </w:r>
          </w:p>
          <w:p>
            <w:pPr>
              <w:pStyle w:val="71"/>
              <w:keepNext w:val="0"/>
              <w:keepLines w:val="0"/>
              <w:pageBreakBefore w:val="0"/>
              <w:kinsoku/>
              <w:wordWrap/>
              <w:overflowPunct/>
              <w:topLinePunct w:val="0"/>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施工人员生活污水产生量约为5.8m</w:t>
            </w:r>
            <w:r>
              <w:rPr>
                <w:rFonts w:hint="default" w:ascii="Times New Roman" w:hAnsi="Times New Roman" w:eastAsia="宋体" w:cs="Times New Roman"/>
                <w:color w:val="auto"/>
                <w:sz w:val="24"/>
                <w:szCs w:val="24"/>
                <w:u w:val="single" w:color="auto"/>
                <w:vertAlign w:val="superscript"/>
              </w:rPr>
              <w:t>3</w:t>
            </w:r>
            <w:r>
              <w:rPr>
                <w:rFonts w:hint="default" w:ascii="Times New Roman" w:hAnsi="Times New Roman" w:eastAsia="宋体" w:cs="Times New Roman"/>
                <w:color w:val="auto"/>
                <w:sz w:val="24"/>
                <w:szCs w:val="24"/>
                <w:u w:val="single" w:color="auto"/>
              </w:rPr>
              <w:t>/d，主要污染因子为COD、SS、氨氮等，生活污水水质简单。本项目在项目用地范围内设施工营地，并设置有化粪池及临时排污管，生活污水接入一期生活污水管网排至东侧芙蓉北路市政污水管网最终排入湘阴县第三污水处理厂处理，经污水处理厂处理达标后排入洋沙河，不会对周边环境造成影响。</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（2）施工废水</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施工废水主要为洗车平台处产生的车辆冲洗废水，污染因子主要为 SS，其产生浓度可达到4000mg/L，施工废水应经截排水沟收集后经沉淀池澄清后进行回用于区内洒水降尘，不会对周边环境造成影响。</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施工废水污染应采取以下措施：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1）加强施工期管理，针对施工期污水产生过程不连续、废水种类较单一等特点，应采取相应措施有效控制污水中污染物的产生量。</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2）禁止向项目区域外倾倒一切废弃物，包括施工和生活废水、建筑和生活垃圾等。</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3）施工现场应因地制宜，建造沉淀池、隔油池等污水临时处理设施，将车辆和机械设备的洗刷废水等引流至沉淀池处理。泥浆废水经临时沉淀池沉淀处理后，上清液可回用于场地、道路抑尘等。另外应该优先完成区内外雨水截流沟，使施工区内外的雨水分流。</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4）水泥、砂、石建筑材料需集中堆放，并采取一定的防雨淋措施，及时清扫施工运输过程中抛洒的上述建筑材料，以免这些物质随雨水冲刷污染附近地表水。</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5）施工人员的生活污水经化粪池处理后排入湘阴县第三污水处理厂，对周围水环境影响不大。</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6）在施工过程中还应加强对机械设备的检修和维护，以防止设备漏油现象的发生；施工机械设备的维修应在专业厂家进行。</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7）施工场地内修建沉淀池、化粪池，分别将施工废水、生活污水收集处理。同时沉淀池、化粪池要做好防渗措施。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8）项目应合理安排施工时间，采用保护地下水的施工工艺和施工方法，采取适合的基坑支护措施，采用适合的基础形式，合理利用施工中的基坑排水等措施，可很大程度的降低项目建设对项目所在区域地下水位和流场的影响。</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9）施工地下水含水层出水时要及时封堵，封堵时使用隔水性能优良且毒性小的高标号水泥等材料；</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10）做好基坑边坡顶和坡底的降排水措施；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11）涌水要排入地面沉淀池处理后回用。</w:t>
            </w:r>
          </w:p>
          <w:p>
            <w:pPr>
              <w:keepNext w:val="0"/>
              <w:keepLines w:val="0"/>
              <w:widowControl/>
              <w:suppressLineNumbers w:val="0"/>
              <w:spacing w:line="360" w:lineRule="auto"/>
              <w:jc w:val="left"/>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（6）声环境防护措施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根据周围环境调查，项目周围环境敏感点主要为居民区，项目施工过程中将高噪声设备布置在场地</w:t>
            </w:r>
            <w:r>
              <w:rPr>
                <w:rFonts w:hint="eastAsia" w:ascii="Times New Roman" w:hAnsi="Times New Roman" w:cs="Times New Roman"/>
                <w:color w:val="auto"/>
                <w:sz w:val="24"/>
                <w:szCs w:val="24"/>
                <w:u w:val="single" w:color="auto"/>
                <w:lang w:val="en-US" w:eastAsia="zh-CN"/>
              </w:rPr>
              <w:t>东南</w:t>
            </w:r>
            <w:r>
              <w:rPr>
                <w:rFonts w:hint="default" w:ascii="Times New Roman" w:hAnsi="Times New Roman" w:eastAsia="宋体" w:cs="Times New Roman"/>
                <w:color w:val="auto"/>
                <w:sz w:val="24"/>
                <w:szCs w:val="24"/>
                <w:u w:val="single" w:color="auto"/>
              </w:rPr>
              <w:t>部，尽量远离周边居民。因项目位于</w:t>
            </w:r>
            <w:r>
              <w:rPr>
                <w:rFonts w:hint="eastAsia" w:ascii="Times New Roman" w:hAnsi="Times New Roman" w:cs="Times New Roman"/>
                <w:color w:val="auto"/>
                <w:sz w:val="24"/>
                <w:szCs w:val="24"/>
                <w:u w:val="single" w:color="auto"/>
                <w:lang w:val="en-US" w:eastAsia="zh-CN"/>
              </w:rPr>
              <w:t>万福</w:t>
            </w:r>
            <w:r>
              <w:rPr>
                <w:rFonts w:hint="default" w:ascii="Times New Roman" w:hAnsi="Times New Roman" w:eastAsia="宋体" w:cs="Times New Roman"/>
                <w:color w:val="auto"/>
                <w:sz w:val="24"/>
                <w:szCs w:val="24"/>
                <w:u w:val="single" w:color="auto"/>
              </w:rPr>
              <w:t>路以</w:t>
            </w:r>
            <w:r>
              <w:rPr>
                <w:rFonts w:hint="eastAsia" w:ascii="Times New Roman" w:hAnsi="Times New Roman" w:cs="Times New Roman"/>
                <w:color w:val="auto"/>
                <w:sz w:val="24"/>
                <w:szCs w:val="24"/>
                <w:u w:val="single" w:color="auto"/>
                <w:lang w:val="en-US" w:eastAsia="zh-CN"/>
              </w:rPr>
              <w:t>南</w:t>
            </w:r>
            <w:r>
              <w:rPr>
                <w:rFonts w:hint="default" w:ascii="Times New Roman" w:hAnsi="Times New Roman" w:eastAsia="宋体" w:cs="Times New Roman"/>
                <w:color w:val="auto"/>
                <w:sz w:val="24"/>
                <w:szCs w:val="24"/>
                <w:u w:val="single" w:color="auto"/>
              </w:rPr>
              <w:t>，因此运输车辆应正常休息时间工作，经过居住区时应减速、禁止鸣笛。</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项目施工期应加强管理，合理安排施工时间，</w:t>
            </w:r>
            <w:r>
              <w:rPr>
                <w:rFonts w:hint="eastAsia" w:ascii="Times New Roman" w:hAnsi="Times New Roman" w:cs="Times New Roman"/>
                <w:color w:val="auto"/>
                <w:sz w:val="24"/>
                <w:szCs w:val="24"/>
                <w:u w:val="single" w:color="auto"/>
                <w:lang w:val="en-US" w:eastAsia="zh-CN"/>
              </w:rPr>
              <w:t>设置施工围挡，</w:t>
            </w:r>
            <w:r>
              <w:rPr>
                <w:rFonts w:hint="default" w:ascii="Times New Roman" w:hAnsi="Times New Roman" w:eastAsia="宋体" w:cs="Times New Roman"/>
                <w:color w:val="auto"/>
                <w:sz w:val="24"/>
                <w:szCs w:val="24"/>
                <w:u w:val="single" w:color="auto"/>
              </w:rPr>
              <w:t>采取如下降噪措施，减少噪声对附近声环境敏感目标的影响：</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1）合理选择施工时间，施工过程中应严格控制各施工机械的施工时间，主要噪声源尽量安排在昼间非正常休息时间内进行的要求，高噪声设备在中午12：00~14:00及夜间22：00～次日6：00居民正常休息时间内禁止施工。</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（2）对高噪声设备，应设置临时隔声屏障。</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（3）合理选择施工机械，尽量选用低噪声设备，加强对施工机械和设备维护保养，避免由于设备性能减退而使噪声增大。</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（4）合理选择施工方法，尽量避免连续施工，合理布置施工现场。</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（5）打桩施工，应使用液压打桩机，禁止使用蒸汽桩机、锤击桩机，夜间禁止打桩。</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（6）合理布局施工场地，尽量将高噪声设备布置在施工工地</w:t>
            </w:r>
            <w:r>
              <w:rPr>
                <w:rFonts w:hint="eastAsia" w:ascii="Times New Roman" w:hAnsi="Times New Roman" w:cs="Times New Roman"/>
                <w:color w:val="auto"/>
                <w:sz w:val="24"/>
                <w:szCs w:val="24"/>
                <w:u w:val="single" w:color="auto"/>
                <w:lang w:val="en-US" w:eastAsia="zh-CN"/>
              </w:rPr>
              <w:t>东南</w:t>
            </w:r>
            <w:r>
              <w:rPr>
                <w:rFonts w:hint="default" w:ascii="Times New Roman" w:hAnsi="Times New Roman" w:eastAsia="宋体" w:cs="Times New Roman"/>
                <w:color w:val="auto"/>
                <w:sz w:val="24"/>
                <w:szCs w:val="24"/>
                <w:u w:val="single" w:color="auto"/>
              </w:rPr>
              <w:t>部，尽量远离居民。</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（7）对位置相对固定的机械设备，能于棚内操作的尽量进入操作间，不能入棚的，在远离居民一侧的地点施工时，可在临居民一侧设置单面声屏障。</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8）因施工工艺要求（如大体积混凝土浇注），必须进行连续施工并包括夜间施工时，应当向环保部门申请办理夜间施工审批手续。同时应加强管理，尽量减少人为喧哗等噪声、禁止车辆鸣笛、设置临时隔声屏障。还应提前以适当方式告知受影响群众，征得群众谅解。</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（9）运输车辆需在非休息时间进行运输，途径居民区应减速，禁止鸣笛。</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采取上述措施后，施工噪声对周围声环境的影响较小。由于施工噪声具有阶段性、临时性和不固定性，随着施工阶段的不同其影响也不同。施工结束时，施工噪声影响也自行消失。</w:t>
            </w:r>
          </w:p>
          <w:p>
            <w:pPr>
              <w:keepNext w:val="0"/>
              <w:keepLines w:val="0"/>
              <w:widowControl/>
              <w:suppressLineNumbers w:val="0"/>
              <w:spacing w:line="360" w:lineRule="auto"/>
              <w:jc w:val="left"/>
              <w:rPr>
                <w:rFonts w:hint="default" w:ascii="Times New Roman" w:hAnsi="Times New Roman" w:cs="Times New Roman"/>
                <w:b/>
                <w:bCs/>
                <w:color w:val="auto"/>
                <w:sz w:val="24"/>
                <w:szCs w:val="24"/>
                <w:u w:val="none" w:color="auto"/>
                <w:lang w:val="en-US" w:eastAsia="zh-CN"/>
              </w:rPr>
            </w:pPr>
            <w:r>
              <w:rPr>
                <w:rFonts w:hint="eastAsia" w:ascii="Times New Roman" w:hAnsi="Times New Roman" w:cs="Times New Roman"/>
                <w:b/>
                <w:bCs/>
                <w:color w:val="auto"/>
                <w:sz w:val="24"/>
                <w:szCs w:val="24"/>
                <w:u w:val="none" w:color="auto"/>
                <w:lang w:val="en-US" w:eastAsia="zh-CN"/>
              </w:rPr>
              <w:t>（7）</w:t>
            </w:r>
            <w:r>
              <w:rPr>
                <w:rFonts w:hint="default" w:ascii="Times New Roman" w:hAnsi="Times New Roman" w:cs="Times New Roman"/>
                <w:b/>
                <w:bCs/>
                <w:color w:val="auto"/>
                <w:sz w:val="24"/>
                <w:szCs w:val="24"/>
                <w:u w:val="none" w:color="auto"/>
                <w:lang w:val="en-US" w:eastAsia="zh-CN"/>
              </w:rPr>
              <w:t>固废防治措施</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施工期应加强固体废物处置及管理。施工期产生的固体废物主要是施工人员的生活垃圾和建筑垃圾，以建筑垃圾的量为主。这些垃圾成分较为简单，数量很大，应集中处理，及时清运，根据不同的成分采用不同的处理方式：</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1</w:t>
            </w:r>
            <w:r>
              <w:rPr>
                <w:rFonts w:hint="eastAsia" w:ascii="Times New Roman" w:hAnsi="Times New Roman" w:eastAsia="宋体" w:cs="Times New Roman"/>
                <w:color w:val="auto"/>
                <w:sz w:val="24"/>
                <w:szCs w:val="24"/>
                <w:u w:val="none" w:color="auto"/>
                <w:lang w:val="en-US" w:eastAsia="zh-CN"/>
              </w:rPr>
              <w:t xml:space="preserve">）建设单位应要求施工单位规范操作，尽量减少建筑材料在运输、装卸、施工过程的跑、冒、滴、漏，建筑垃圾不得随意倾倒，应在指定的堆放点存放，并及时送至市政部门指定堆填区堆填处理。 </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2</w:t>
            </w:r>
            <w:r>
              <w:rPr>
                <w:rFonts w:hint="eastAsia" w:ascii="Times New Roman" w:hAnsi="Times New Roman" w:eastAsia="宋体" w:cs="Times New Roman"/>
                <w:color w:val="auto"/>
                <w:sz w:val="24"/>
                <w:szCs w:val="24"/>
                <w:u w:val="none" w:color="auto"/>
                <w:lang w:val="en-US" w:eastAsia="zh-CN"/>
              </w:rPr>
              <w:t>）施工建设过程中产生的建筑垃圾、建筑装饰废料和装修垃圾应进行分类处理，妥善处置。对于建筑垃圾中较为稳定的成分，如碎砖瓦砾等，可以与施工期间挖出的土石一起堆放或者回填。</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3）施工人员的生活垃圾必须进行集中处理，施工人员居住区的生活垃圾应实行袋装化，每天由清洁员清理，集中送至指定堆放点，由环卫部门统一清运处置。集中收集的生活垃圾，由于其中含有较多的易腐烂成分，如果无法及时清运，必须进行覆盖，以防止在雨天被雨水浸泡而产生对环境危害严重的渗滤液。</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（4）对于施工人员产生的分散垃圾，除对施工人员加强环境保护教育和有关宣传外，也应该增设一些分散的小型垃圾收集器（如废物收集箱），并派专人定时打扫清理。</w:t>
            </w:r>
          </w:p>
          <w:p>
            <w:pPr>
              <w:pStyle w:val="2"/>
              <w:keepNext w:val="0"/>
              <w:keepLines w:val="0"/>
              <w:pageBreakBefore w:val="0"/>
              <w:widowControl/>
              <w:kinsoku/>
              <w:wordWrap/>
              <w:overflowPunct/>
              <w:topLinePunct w:val="0"/>
              <w:autoSpaceDE/>
              <w:autoSpaceDN/>
              <w:bidi w:val="0"/>
              <w:adjustRightInd/>
              <w:snapToGrid w:val="0"/>
              <w:spacing w:line="360" w:lineRule="auto"/>
              <w:ind w:right="113"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（5）禁止在道路附近挖土取石，不得在道路内堆放施工器材、原辅材料和建筑、生活垃圾</w:t>
            </w:r>
            <w:r>
              <w:rPr>
                <w:rFonts w:hint="eastAsia" w:ascii="Times New Roman" w:hAnsi="Times New Roman" w:cs="Times New Roman"/>
                <w:color w:val="auto"/>
                <w:kern w:val="2"/>
                <w:sz w:val="24"/>
                <w:szCs w:val="24"/>
                <w:u w:val="none" w:color="auto"/>
                <w:lang w:val="en-US" w:eastAsia="zh-CN" w:bidi="ar-SA"/>
              </w:rPr>
              <w:t>。</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olor w:val="FF0000"/>
                <w:szCs w:val="21"/>
                <w:u w:val="none" w:color="auto"/>
                <w:lang w:val="en-US" w:eastAsia="zh-CN"/>
              </w:rPr>
            </w:pPr>
            <w:r>
              <w:rPr>
                <w:rFonts w:hint="default" w:ascii="Times New Roman" w:hAnsi="Times New Roman" w:eastAsia="宋体" w:cs="Times New Roman"/>
                <w:color w:val="auto"/>
                <w:kern w:val="2"/>
                <w:sz w:val="24"/>
                <w:szCs w:val="24"/>
                <w:u w:val="none" w:color="auto"/>
                <w:lang w:val="en-US" w:eastAsia="zh-CN" w:bidi="ar-SA"/>
              </w:rPr>
              <w:t>采取上述措施后，项目施工期固体废物对外环境影响可接受。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3" w:type="dxa"/>
            <w:tcMar>
              <w:left w:w="28" w:type="dxa"/>
              <w:right w:w="28" w:type="dxa"/>
            </w:tcMar>
            <w:vAlign w:val="center"/>
          </w:tcPr>
          <w:p>
            <w:pPr>
              <w:adjustRightInd w:val="0"/>
              <w:snapToGrid w:val="0"/>
              <w:jc w:val="center"/>
              <w:rPr>
                <w:rFonts w:hint="default" w:ascii="Times New Roman" w:hAnsi="Times New Roman" w:cs="Times New Roman"/>
                <w:color w:val="FF0000"/>
                <w:kern w:val="0"/>
                <w:sz w:val="21"/>
                <w:szCs w:val="21"/>
                <w:u w:val="none" w:color="auto"/>
              </w:rPr>
            </w:pPr>
            <w:r>
              <w:rPr>
                <w:rFonts w:hint="default" w:ascii="Times New Roman" w:hAnsi="Times New Roman" w:cs="Times New Roman"/>
                <w:color w:val="auto"/>
                <w:kern w:val="0"/>
                <w:sz w:val="21"/>
                <w:szCs w:val="21"/>
                <w:u w:val="none" w:color="auto"/>
              </w:rPr>
              <w:t>运营期生态环境保护措施</w:t>
            </w:r>
          </w:p>
        </w:tc>
        <w:tc>
          <w:tcPr>
            <w:tcW w:w="7758" w:type="dxa"/>
            <w:vAlign w:val="center"/>
          </w:tcPr>
          <w:p>
            <w:pPr>
              <w:keepNext w:val="0"/>
              <w:keepLines w:val="0"/>
              <w:widowControl/>
              <w:suppressLineNumbers w:val="0"/>
              <w:spacing w:line="360" w:lineRule="auto"/>
              <w:jc w:val="left"/>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、运营期生态环境保护措施 </w:t>
            </w:r>
          </w:p>
          <w:p>
            <w:pPr>
              <w:keepNext w:val="0"/>
              <w:keepLines w:val="0"/>
              <w:pageBreakBefore w:val="0"/>
              <w:tabs>
                <w:tab w:val="left" w:pos="8550"/>
              </w:tabs>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本项目运营期通过植被恢复等措施，使项目区生态环境得到重建和恢复，可有效减少工程建设对区域生态环境的影响。同时加强运营期管理，保证各项 工程设施完好和确保安全生产是生态保护最基本的措施。</w:t>
            </w:r>
          </w:p>
          <w:p>
            <w:pPr>
              <w:keepNext w:val="0"/>
              <w:keepLines w:val="0"/>
              <w:widowControl/>
              <w:suppressLineNumbers w:val="0"/>
              <w:spacing w:line="360" w:lineRule="auto"/>
              <w:jc w:val="left"/>
            </w:pPr>
            <w:r>
              <w:rPr>
                <w:rFonts w:hint="default" w:ascii="Times New Roman" w:hAnsi="Times New Roman"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大气</w:t>
            </w:r>
            <w:r>
              <w:rPr>
                <w:rFonts w:hint="eastAsia" w:ascii="宋体" w:hAnsi="宋体" w:eastAsia="宋体" w:cs="宋体"/>
                <w:b/>
                <w:bCs/>
                <w:color w:val="000000"/>
                <w:kern w:val="0"/>
                <w:sz w:val="24"/>
                <w:szCs w:val="24"/>
                <w:lang w:val="en-US" w:eastAsia="zh-CN" w:bidi="ar"/>
              </w:rPr>
              <w:t xml:space="preserve">环境保护措施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sz w:val="24"/>
                <w:szCs w:val="24"/>
                <w:u w:val="none" w:color="auto"/>
                <w:lang w:val="en-US" w:eastAsia="zh-CN"/>
              </w:rPr>
              <w:t>（</w:t>
            </w:r>
            <w:r>
              <w:rPr>
                <w:rFonts w:hint="eastAsia" w:ascii="Times New Roman" w:hAnsi="Times New Roman" w:eastAsia="宋体" w:cs="Times New Roman"/>
                <w:color w:val="auto"/>
                <w:kern w:val="2"/>
                <w:sz w:val="24"/>
                <w:szCs w:val="24"/>
                <w:u w:val="none" w:color="auto"/>
                <w:lang w:val="en-US" w:eastAsia="zh-CN" w:bidi="ar-SA"/>
              </w:rPr>
              <w:t>1）生产废气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对于引进企业应采取审慎态度。引进企业应根据要求另行环评，本项目工业厂房预留排气管道，各入驻企业的废气入楼顶达标排放，同时根据企业自身具体生产情况及产排污特点，落实环评提出的各项环保措施，安装相应废气处理设施，同时废气排气筒应设置在远离居民区方向，并确保其产生的废气得到充分治理并达标排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（2）汽车尾气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进出厂区的汽车均会排放尾气，汽车尾气中主要污染物为CO、THC等，地面停车场通风情况良好，不会造成尾气集结。通过合理布置线路减少机动车在项目内的行驶距离，禁止使用含铅汽油等方式控制，加上大气稀释扩散作用，预计地上车位停放汽车产生的尾气不会对大气环境造成较大影响。</w:t>
            </w:r>
          </w:p>
          <w:p>
            <w:pPr>
              <w:keepNext w:val="0"/>
              <w:keepLines w:val="0"/>
              <w:widowControl/>
              <w:numPr>
                <w:ilvl w:val="0"/>
                <w:numId w:val="0"/>
              </w:numPr>
              <w:suppressLineNumbers w:val="0"/>
              <w:spacing w:line="360" w:lineRule="auto"/>
              <w:jc w:val="left"/>
              <w:rPr>
                <w:rFonts w:hint="eastAsia" w:ascii="Times New Roman" w:hAnsi="Times New Roman" w:eastAsia="宋体" w:cs="Times New Roman"/>
                <w:b/>
                <w:bCs/>
                <w:color w:val="auto"/>
                <w:kern w:val="2"/>
                <w:sz w:val="24"/>
                <w:szCs w:val="24"/>
                <w:u w:val="none" w:color="auto"/>
                <w:lang w:val="en-US" w:eastAsia="zh-CN" w:bidi="ar-SA"/>
              </w:rPr>
            </w:pPr>
            <w:r>
              <w:rPr>
                <w:rFonts w:hint="eastAsia" w:ascii="Times New Roman" w:hAnsi="Times New Roman" w:cs="Times New Roman"/>
                <w:b/>
                <w:bCs/>
                <w:color w:val="auto"/>
                <w:kern w:val="2"/>
                <w:sz w:val="24"/>
                <w:szCs w:val="24"/>
                <w:u w:val="none" w:color="auto"/>
                <w:lang w:val="en-US" w:eastAsia="zh-CN" w:bidi="ar-SA"/>
              </w:rPr>
              <w:t>3、</w:t>
            </w:r>
            <w:r>
              <w:rPr>
                <w:rFonts w:hint="eastAsia" w:ascii="Times New Roman" w:hAnsi="Times New Roman" w:eastAsia="宋体" w:cs="Times New Roman"/>
                <w:b/>
                <w:bCs/>
                <w:color w:val="auto"/>
                <w:kern w:val="2"/>
                <w:sz w:val="24"/>
                <w:szCs w:val="24"/>
                <w:u w:val="none" w:color="auto"/>
                <w:lang w:val="en-US" w:eastAsia="zh-CN" w:bidi="ar-SA"/>
              </w:rPr>
              <w:t>声环境保护措施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本项目营运期间噪声污染源主要为设备运行噪声，具体的噪声值范围与入驻企业的生产工艺及使用的生产设备有关。为了使项目营运期设备噪声对声环境的影响降到最小，评价认为还需做到以下几点：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①首先在声源上控制噪声，选用低噪声设备；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②对噪声大的设备，要求生产厂家提供配套的隔音罩和消声器，将噪声控制在规定的标准之内；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③落地式设备采用弹簧减振器或橡胶减振垫；</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④合理布置设备位置，将高噪声设备放置在厂区中部，其余产噪设备放置在厂房内；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⑤水泵、配电房配电设备等设备集中在专用设备房内，封闭隔音；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⑥对人员活动频繁的声源车间，结合车间建筑环境，适当设置吸声、隔音壁等；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⑦加强厂区绿化措施，降低噪音。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与此同时，进出项目的车辆以及人员活动也会产生噪声。本环评建议加强厂区日常物业管理，严格控制进入厂区的车流量，禁鸣喇叭等措施来降低车辆噪声，禁止人为喧哗、吵闹等管理措施对该部分噪声进行控制，降低对周围声学环境的影响。</w:t>
            </w:r>
          </w:p>
          <w:p>
            <w:pPr>
              <w:keepNext w:val="0"/>
              <w:keepLines w:val="0"/>
              <w:widowControl/>
              <w:suppressLineNumbers w:val="0"/>
              <w:spacing w:line="360" w:lineRule="auto"/>
              <w:jc w:val="left"/>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因此，项目营运期间引进企业在采取相应降噪措施，并加强管理，确保场界噪声达标的情况下，不会对区域声环境造成明显影响。</w:t>
            </w:r>
          </w:p>
          <w:p>
            <w:pPr>
              <w:keepNext w:val="0"/>
              <w:keepLines w:val="0"/>
              <w:widowControl/>
              <w:suppressLineNumbers w:val="0"/>
              <w:spacing w:line="360" w:lineRule="auto"/>
              <w:jc w:val="left"/>
            </w:pP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、固废环境保护措施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项目营运期产生固体废弃物主要为生活垃圾、一般工业固废、危险废物等。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生活垃圾：员工生活垃圾经分类收集后，依托一期南侧设置的垃圾站。之后由建设方卫生管理部门或委托环卫部门定期</w:t>
            </w:r>
            <w:r>
              <w:rPr>
                <w:rFonts w:hint="eastAsia" w:ascii="宋体" w:hAnsi="宋体" w:cs="宋体"/>
                <w:color w:val="000000"/>
                <w:kern w:val="0"/>
                <w:sz w:val="24"/>
                <w:szCs w:val="24"/>
                <w:lang w:val="en-US" w:eastAsia="zh-CN" w:bidi="ar"/>
              </w:rPr>
              <w:t>清运</w:t>
            </w:r>
            <w:r>
              <w:rPr>
                <w:rFonts w:hint="eastAsia" w:ascii="宋体" w:hAnsi="宋体" w:eastAsia="宋体" w:cs="宋体"/>
                <w:color w:val="000000"/>
                <w:kern w:val="0"/>
                <w:sz w:val="24"/>
                <w:szCs w:val="24"/>
                <w:lang w:val="en-US" w:eastAsia="zh-CN" w:bidi="ar"/>
              </w:rPr>
              <w:t xml:space="preserve">处理。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一般工业固废：本着“谁污染，谁治理”的原则，工业固废由产污企业按国家和地方的有关法规作资源化利用和无害化处理，禁止将有害物排向水体和公共场所。危险废物经收集后交由资质单位处理。一般工业固废暂存点需满足《一般工业固体废物贮存和填埋污染控制标准》（</w:t>
            </w:r>
            <w:r>
              <w:rPr>
                <w:rFonts w:hint="default" w:ascii="Times New Roman" w:hAnsi="Times New Roman" w:eastAsia="宋体" w:cs="Times New Roman"/>
                <w:color w:val="000000"/>
                <w:kern w:val="0"/>
                <w:sz w:val="24"/>
                <w:szCs w:val="24"/>
                <w:lang w:val="en-US" w:eastAsia="zh-CN" w:bidi="ar"/>
              </w:rPr>
              <w:t>GB18599—2020</w:t>
            </w:r>
            <w:r>
              <w:rPr>
                <w:rFonts w:hint="eastAsia" w:ascii="宋体" w:hAnsi="宋体" w:eastAsia="宋体" w:cs="宋体"/>
                <w:color w:val="000000"/>
                <w:kern w:val="0"/>
                <w:sz w:val="24"/>
                <w:szCs w:val="24"/>
                <w:lang w:val="en-US" w:eastAsia="zh-CN" w:bidi="ar"/>
              </w:rPr>
              <w:t>）要求，防风、防雨、地面硬化，危废暂存间</w:t>
            </w:r>
            <w:r>
              <w:rPr>
                <w:rFonts w:hint="eastAsia" w:ascii="宋体" w:hAnsi="宋体" w:cs="宋体"/>
                <w:color w:val="000000"/>
                <w:kern w:val="0"/>
                <w:sz w:val="24"/>
                <w:szCs w:val="24"/>
                <w:lang w:val="en-US" w:eastAsia="zh-CN" w:bidi="ar"/>
              </w:rPr>
              <w:t>、一般固废暂存间</w:t>
            </w:r>
            <w:r>
              <w:rPr>
                <w:rFonts w:hint="eastAsia" w:ascii="宋体" w:hAnsi="宋体" w:eastAsia="宋体" w:cs="宋体"/>
                <w:color w:val="000000"/>
                <w:kern w:val="0"/>
                <w:sz w:val="24"/>
                <w:szCs w:val="24"/>
                <w:lang w:val="en-US" w:eastAsia="zh-CN" w:bidi="ar"/>
              </w:rPr>
              <w:t xml:space="preserve">由入驻企业根据自身固废的产生情况自行修建。危险暂存场所必须做防雨、防渗、防漏措施，避免污染地下水。严禁入驻企业将工业固废混入生活垃圾一并处置，项目方应对入驻企业加强管理，规范其固体废物处置方法。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综上所述，项目营运期产生的固体废弃物在采取以上措施后，均能得到妥善处置，不会造成二次污染，不会对周围环境造成明显不良影响。</w:t>
            </w:r>
          </w:p>
          <w:p>
            <w:pPr>
              <w:keepNext w:val="0"/>
              <w:keepLines w:val="0"/>
              <w:widowControl/>
              <w:suppressLineNumbers w:val="0"/>
              <w:spacing w:line="360" w:lineRule="auto"/>
              <w:jc w:val="left"/>
            </w:pPr>
            <w:r>
              <w:rPr>
                <w:rFonts w:hint="eastAsia" w:ascii="Times New Roman" w:hAnsi="Times New Roman"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w:t>
            </w:r>
            <w:r>
              <w:rPr>
                <w:rFonts w:hint="eastAsia" w:ascii="宋体" w:hAnsi="宋体" w:cs="宋体"/>
                <w:b/>
                <w:bCs/>
                <w:color w:val="000000"/>
                <w:kern w:val="0"/>
                <w:sz w:val="24"/>
                <w:szCs w:val="24"/>
                <w:lang w:val="en-US" w:eastAsia="zh-CN" w:bidi="ar"/>
              </w:rPr>
              <w:t>废水保</w:t>
            </w:r>
            <w:r>
              <w:rPr>
                <w:rFonts w:hint="eastAsia" w:ascii="宋体" w:hAnsi="宋体" w:eastAsia="宋体" w:cs="宋体"/>
                <w:b/>
                <w:bCs/>
                <w:color w:val="000000"/>
                <w:kern w:val="0"/>
                <w:sz w:val="24"/>
                <w:szCs w:val="24"/>
                <w:lang w:val="en-US" w:eastAsia="zh-CN" w:bidi="ar"/>
              </w:rPr>
              <w:t>护措施</w:t>
            </w:r>
          </w:p>
          <w:p>
            <w:pPr>
              <w:pStyle w:val="2"/>
              <w:keepNext w:val="0"/>
              <w:keepLines w:val="0"/>
              <w:pageBreakBefore w:val="0"/>
              <w:widowControl/>
              <w:kinsoku/>
              <w:wordWrap/>
              <w:overflowPunct/>
              <w:topLinePunct w:val="0"/>
              <w:autoSpaceDE/>
              <w:autoSpaceDN/>
              <w:bidi w:val="0"/>
              <w:adjustRightInd/>
              <w:snapToGrid w:val="0"/>
              <w:spacing w:line="360" w:lineRule="auto"/>
              <w:ind w:right="113" w:firstLine="480" w:firstLineChars="200"/>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由于入驻企业无法确定，其废水排放源强难以确定，按建设项目环境管理要求，企业应另行办理环保审批手续。</w:t>
            </w:r>
          </w:p>
          <w:p>
            <w:pPr>
              <w:pStyle w:val="2"/>
              <w:keepNext w:val="0"/>
              <w:keepLines w:val="0"/>
              <w:pageBreakBefore w:val="0"/>
              <w:widowControl/>
              <w:kinsoku/>
              <w:wordWrap/>
              <w:overflowPunct/>
              <w:topLinePunct w:val="0"/>
              <w:autoSpaceDE/>
              <w:autoSpaceDN/>
              <w:bidi w:val="0"/>
              <w:adjustRightInd/>
              <w:snapToGrid w:val="0"/>
              <w:spacing w:line="260" w:lineRule="auto"/>
              <w:ind w:right="113"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按照“清污分流、雨污分流”原则完善厂区排水系统。</w:t>
            </w:r>
          </w:p>
          <w:p>
            <w:pPr>
              <w:pStyle w:val="2"/>
              <w:keepNext w:val="0"/>
              <w:keepLines w:val="0"/>
              <w:pageBreakBefore w:val="0"/>
              <w:widowControl/>
              <w:kinsoku/>
              <w:wordWrap/>
              <w:overflowPunct/>
              <w:topLinePunct w:val="0"/>
              <w:autoSpaceDE/>
              <w:autoSpaceDN/>
              <w:bidi w:val="0"/>
              <w:adjustRightInd/>
              <w:snapToGrid w:val="0"/>
              <w:spacing w:line="260" w:lineRule="auto"/>
              <w:ind w:right="113"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对产生的废水进行处理，使其达到排放标准后再排放。</w:t>
            </w:r>
          </w:p>
          <w:p>
            <w:pPr>
              <w:pStyle w:val="2"/>
              <w:keepNext w:val="0"/>
              <w:keepLines w:val="0"/>
              <w:pageBreakBefore w:val="0"/>
              <w:widowControl/>
              <w:kinsoku/>
              <w:wordWrap/>
              <w:overflowPunct/>
              <w:topLinePunct w:val="0"/>
              <w:autoSpaceDE/>
              <w:autoSpaceDN/>
              <w:bidi w:val="0"/>
              <w:adjustRightInd/>
              <w:snapToGrid w:val="0"/>
              <w:spacing w:line="260" w:lineRule="auto"/>
              <w:ind w:right="113" w:firstLine="480" w:firstLineChars="200"/>
              <w:textAlignment w:val="auto"/>
              <w:rPr>
                <w:rFonts w:hint="default" w:eastAsia="宋体"/>
                <w:lang w:val="en-US" w:eastAsia="zh-CN"/>
              </w:rPr>
            </w:pPr>
            <w:r>
              <w:rPr>
                <w:rFonts w:hint="eastAsia" w:ascii="Times New Roman" w:hAnsi="Times New Roman"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目前园区污水管网未通，项目园区污水管网相通前不得引入生产废水外排的企业。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93" w:type="dxa"/>
            <w:vMerge w:val="restart"/>
            <w:vAlign w:val="center"/>
          </w:tcPr>
          <w:p>
            <w:pPr>
              <w:adjustRightInd w:val="0"/>
              <w:snapToGrid w:val="0"/>
              <w:jc w:val="center"/>
              <w:rPr>
                <w:rFonts w:hint="default" w:ascii="Times New Roman" w:hAnsi="Times New Roman" w:cs="Times New Roman"/>
                <w:color w:val="FF0000"/>
                <w:kern w:val="0"/>
                <w:sz w:val="21"/>
                <w:szCs w:val="21"/>
                <w:u w:val="none" w:color="auto"/>
              </w:rPr>
            </w:pPr>
            <w:r>
              <w:rPr>
                <w:rFonts w:hint="default" w:ascii="Times New Roman" w:hAnsi="Times New Roman" w:cs="Times New Roman"/>
                <w:color w:val="auto"/>
                <w:kern w:val="0"/>
                <w:sz w:val="21"/>
                <w:szCs w:val="21"/>
                <w:u w:val="none" w:color="auto"/>
              </w:rPr>
              <w:t>其他</w:t>
            </w:r>
          </w:p>
        </w:tc>
        <w:tc>
          <w:tcPr>
            <w:tcW w:w="7758" w:type="dxa"/>
            <w:vAlign w:val="center"/>
          </w:tcPr>
          <w:p>
            <w:pPr>
              <w:keepNext w:val="0"/>
              <w:keepLines w:val="0"/>
              <w:widowControl/>
              <w:suppressLineNumbers w:val="0"/>
              <w:spacing w:line="360" w:lineRule="auto"/>
              <w:jc w:val="left"/>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、环境管理与监测计划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环境保护管理是采用技术、经济、法律等多种手段，强化保护环境、协调项目建设和经济发展。本项目内必须有完善的环境管理机构，监督园内入驻企业环保措施的执行。</w:t>
            </w:r>
          </w:p>
          <w:p>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jc w:val="both"/>
              <w:textAlignment w:val="auto"/>
              <w:rPr>
                <w:rFonts w:ascii="Times New Roman" w:hAnsi="Times New Roman"/>
                <w:bCs/>
                <w:color w:val="FF0000"/>
                <w:spacing w:val="10"/>
                <w:sz w:val="24"/>
                <w:szCs w:val="24"/>
                <w:u w:val="none" w:color="auto"/>
              </w:rPr>
            </w:pPr>
            <w:r>
              <w:rPr>
                <w:rFonts w:hint="eastAsia" w:ascii="Times New Roman" w:hAnsi="Times New Roman"/>
                <w:bCs/>
                <w:color w:val="auto"/>
                <w:spacing w:val="10"/>
                <w:sz w:val="24"/>
                <w:szCs w:val="24"/>
                <w:u w:val="none" w:color="auto"/>
              </w:rPr>
              <w:t>为了解项目的环境影响及环境质量变化趋势，应建立污染源分类技术档案和监测档案，为环境污染治理提供必要的依据。</w:t>
            </w:r>
            <w:r>
              <w:rPr>
                <w:rFonts w:hint="eastAsia" w:ascii="Times New Roman" w:hAnsi="Times New Roman"/>
                <w:bCs/>
                <w:color w:val="auto"/>
                <w:spacing w:val="10"/>
                <w:sz w:val="24"/>
                <w:szCs w:val="24"/>
                <w:u w:val="none" w:color="auto"/>
                <w:lang w:val="en-US" w:eastAsia="zh-CN"/>
              </w:rPr>
              <w:t>环境</w:t>
            </w:r>
            <w:r>
              <w:rPr>
                <w:rFonts w:hint="eastAsia" w:ascii="Times New Roman" w:hAnsi="Times New Roman"/>
                <w:bCs/>
                <w:color w:val="auto"/>
                <w:spacing w:val="10"/>
                <w:sz w:val="24"/>
                <w:szCs w:val="24"/>
                <w:u w:val="none" w:color="auto"/>
              </w:rPr>
              <w:t>监测计划由后续入驻本园区内的企业环评执行。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693" w:type="dxa"/>
            <w:vMerge w:val="continue"/>
            <w:vAlign w:val="center"/>
          </w:tcPr>
          <w:p>
            <w:pPr>
              <w:adjustRightInd w:val="0"/>
              <w:snapToGrid w:val="0"/>
              <w:jc w:val="center"/>
              <w:rPr>
                <w:rFonts w:ascii="Times New Roman" w:hAnsi="Times New Roman"/>
                <w:bCs/>
                <w:color w:val="FF0000"/>
                <w:spacing w:val="10"/>
                <w:szCs w:val="21"/>
                <w:u w:val="none" w:color="auto"/>
              </w:rPr>
            </w:pPr>
          </w:p>
        </w:tc>
        <w:tc>
          <w:tcPr>
            <w:tcW w:w="7758" w:type="dxa"/>
          </w:tcPr>
          <w:p>
            <w:pPr>
              <w:numPr>
                <w:ilvl w:val="0"/>
                <w:numId w:val="0"/>
              </w:numPr>
              <w:adjustRightInd w:val="0"/>
              <w:snapToGrid w:val="0"/>
              <w:spacing w:line="360" w:lineRule="auto"/>
              <w:rPr>
                <w:rFonts w:hint="eastAsia" w:ascii="宋体" w:hAnsi="宋体" w:cs="宋体"/>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1</w:t>
            </w:r>
            <w:r>
              <w:rPr>
                <w:rFonts w:hint="default" w:ascii="Times New Roman" w:hAnsi="Times New Roman" w:cs="Times New Roman"/>
                <w:b/>
                <w:bCs/>
                <w:color w:val="000000"/>
                <w:kern w:val="0"/>
                <w:sz w:val="24"/>
                <w:szCs w:val="24"/>
                <w:lang w:val="en-US" w:eastAsia="zh-CN" w:bidi="ar"/>
              </w:rPr>
              <w:t>、竣工</w:t>
            </w:r>
            <w:r>
              <w:rPr>
                <w:rFonts w:hint="eastAsia" w:ascii="宋体" w:hAnsi="宋体" w:cs="宋体"/>
                <w:b/>
                <w:bCs/>
                <w:color w:val="000000"/>
                <w:kern w:val="0"/>
                <w:sz w:val="24"/>
                <w:szCs w:val="24"/>
                <w:lang w:val="en-US" w:eastAsia="zh-CN" w:bidi="ar"/>
              </w:rPr>
              <w:t>环保验收内容</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pPr>
            <w:r>
              <w:rPr>
                <w:rFonts w:hint="eastAsia" w:ascii="宋体" w:hAnsi="宋体" w:eastAsia="宋体" w:cs="宋体"/>
                <w:color w:val="000000"/>
                <w:kern w:val="0"/>
                <w:sz w:val="24"/>
                <w:szCs w:val="24"/>
                <w:lang w:val="en-US" w:eastAsia="zh-CN" w:bidi="ar"/>
              </w:rPr>
              <w:t xml:space="preserve">项目施工期污染防治和环境保护措施竣工验收详见表 </w:t>
            </w:r>
            <w:r>
              <w:rPr>
                <w:rFonts w:hint="default" w:ascii="Times New Roman" w:hAnsi="Times New Roman" w:eastAsia="宋体" w:cs="Times New Roman"/>
                <w:color w:val="000000"/>
                <w:kern w:val="0"/>
                <w:sz w:val="24"/>
                <w:szCs w:val="24"/>
                <w:lang w:val="en-US" w:eastAsia="zh-CN" w:bidi="ar"/>
              </w:rPr>
              <w:t>5-</w:t>
            </w:r>
            <w:r>
              <w:rPr>
                <w:rFonts w:hint="eastAsia" w:ascii="Times New Roman" w:hAnsi="Times New Roman"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p>
          <w:p>
            <w:pPr>
              <w:ind w:firstLine="422"/>
              <w:jc w:val="center"/>
              <w:rPr>
                <w:rFonts w:ascii="Times New Roman" w:hAnsi="Times New Roman"/>
                <w:b/>
                <w:color w:val="auto"/>
                <w:sz w:val="21"/>
                <w:szCs w:val="21"/>
                <w:u w:val="none" w:color="auto"/>
              </w:rPr>
            </w:pPr>
            <w:r>
              <w:rPr>
                <w:rFonts w:ascii="Times New Roman" w:hAnsi="Times New Roman"/>
                <w:b/>
                <w:color w:val="auto"/>
                <w:sz w:val="21"/>
                <w:szCs w:val="21"/>
                <w:u w:val="none" w:color="auto"/>
              </w:rPr>
              <w:t>表5-</w:t>
            </w:r>
            <w:r>
              <w:rPr>
                <w:rFonts w:hint="eastAsia" w:ascii="Times New Roman" w:hAnsi="Times New Roman"/>
                <w:b/>
                <w:color w:val="auto"/>
                <w:sz w:val="21"/>
                <w:szCs w:val="21"/>
                <w:u w:val="none" w:color="auto"/>
                <w:lang w:val="en-US" w:eastAsia="zh-CN"/>
              </w:rPr>
              <w:t>1</w:t>
            </w:r>
            <w:r>
              <w:rPr>
                <w:rFonts w:ascii="Times New Roman" w:hAnsi="Times New Roman"/>
                <w:b/>
                <w:color w:val="auto"/>
                <w:sz w:val="21"/>
                <w:szCs w:val="21"/>
                <w:u w:val="none" w:color="auto"/>
              </w:rPr>
              <w:t xml:space="preserve">  </w:t>
            </w:r>
            <w:r>
              <w:rPr>
                <w:rFonts w:hint="eastAsia" w:ascii="Times New Roman" w:hAnsi="Times New Roman"/>
                <w:b/>
                <w:color w:val="auto"/>
                <w:sz w:val="21"/>
                <w:szCs w:val="21"/>
                <w:u w:val="none" w:color="auto"/>
                <w:lang w:val="en-US" w:eastAsia="zh-CN"/>
              </w:rPr>
              <w:t>项目环保设施“三同时”验收一览表</w:t>
            </w:r>
          </w:p>
          <w:tbl>
            <w:tblPr>
              <w:tblStyle w:val="31"/>
              <w:tblW w:w="751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7"/>
              <w:gridCol w:w="937"/>
              <w:gridCol w:w="1009"/>
              <w:gridCol w:w="2157"/>
              <w:gridCol w:w="27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tcBorders>
                    <w:tl2br w:val="nil"/>
                    <w:tr2bl w:val="nil"/>
                  </w:tcBorders>
                  <w:noWrap w:val="0"/>
                  <w:vAlign w:val="center"/>
                </w:tcPr>
                <w:p>
                  <w:pPr>
                    <w:pStyle w:val="48"/>
                    <w:bidi w:val="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类别</w:t>
                  </w:r>
                </w:p>
              </w:tc>
              <w:tc>
                <w:tcPr>
                  <w:tcW w:w="1946" w:type="dxa"/>
                  <w:gridSpan w:val="2"/>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治理对象</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主要治理措施</w:t>
                  </w:r>
                </w:p>
              </w:tc>
              <w:tc>
                <w:tcPr>
                  <w:tcW w:w="27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预期治理效果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restart"/>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施工期</w:t>
                  </w:r>
                </w:p>
              </w:tc>
              <w:tc>
                <w:tcPr>
                  <w:tcW w:w="93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废气</w:t>
                  </w: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扬尘</w:t>
                  </w:r>
                </w:p>
              </w:tc>
              <w:tc>
                <w:tcPr>
                  <w:tcW w:w="2157" w:type="dxa"/>
                  <w:tcBorders>
                    <w:tl2br w:val="nil"/>
                    <w:tr2bl w:val="nil"/>
                  </w:tcBorders>
                  <w:noWrap w:val="0"/>
                  <w:vAlign w:val="center"/>
                </w:tcPr>
                <w:p>
                  <w:pPr>
                    <w:pStyle w:val="48"/>
                    <w:bidi w:val="0"/>
                    <w:jc w:val="both"/>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设置围挡；建筑材料采用防尘布掩盖；车辆的出口内侧设置洗车平台；运输物料适当加湿或用帆布覆盖等。</w:t>
                  </w:r>
                </w:p>
              </w:tc>
              <w:tc>
                <w:tcPr>
                  <w:tcW w:w="27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达到《大气污染物综合排放标准》（GB16297-1996）二级标准无组织排放监控浓度限值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p>
              </w:tc>
              <w:tc>
                <w:tcPr>
                  <w:tcW w:w="937" w:type="dxa"/>
                  <w:vMerge w:val="restart"/>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废水</w:t>
                  </w: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生活污水</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化粪池</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排入湘阴县第三污水处理厂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施工废水</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隔油沉淀池</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回用于洒水降尘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p>
              </w:tc>
              <w:tc>
                <w:tcPr>
                  <w:tcW w:w="93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噪声</w:t>
                  </w: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设备噪声</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合理安排施工时间，中午及午休时间、夜间不施工；设置围挡进行降噪；车辆减速慢行、减少鸣笛。</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场地四周达到《建筑施工</w:t>
                  </w:r>
                </w:p>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场界环境噪声排放标准》</w:t>
                  </w:r>
                </w:p>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（GB12523-2011）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p>
              </w:tc>
              <w:tc>
                <w:tcPr>
                  <w:tcW w:w="937" w:type="dxa"/>
                  <w:vMerge w:val="restart"/>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固体废物</w:t>
                  </w: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建筑垃圾</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建筑垃圾尽量回收利用，对无利用价值的废物及时清运至相关部门指定的地点。</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妥善处置，实现零排放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生活垃圾</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定期收集，交由环卫部门统一处理。</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妥善处置，实现零排放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tcBorders>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生态保护</w:t>
                  </w: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生态影响减缓措施</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合理施工、提高工效、缩短工期；加强施工期的管理、建设排水沟、沉淀池等环保措施；施工结束后及时对场地内裸露地面进行绿化。</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降低影响程度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restart"/>
                  <w:tcBorders>
                    <w:top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营运期</w:t>
                  </w:r>
                </w:p>
              </w:tc>
              <w:tc>
                <w:tcPr>
                  <w:tcW w:w="937" w:type="dxa"/>
                  <w:vMerge w:val="restart"/>
                  <w:tcBorders>
                    <w:top w:val="single" w:color="auto" w:sz="4" w:space="0"/>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废水</w:t>
                  </w: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生活污水</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化粪池</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满足湘阴县第三污水处理厂接管水质要求和《污水综合排放标准》（GB8978-1996）表4标准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op w:val="single" w:color="auto" w:sz="4" w:space="0"/>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vMerge w:val="continue"/>
                  <w:tcBorders>
                    <w:top w:val="single" w:color="auto" w:sz="4" w:space="0"/>
                    <w:bottom w:val="single" w:color="auto" w:sz="4" w:space="0"/>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生产废水</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rPr>
                    <w:t>工业废水处理设施</w:t>
                  </w:r>
                </w:p>
              </w:tc>
              <w:tc>
                <w:tcPr>
                  <w:tcW w:w="2709" w:type="dxa"/>
                  <w:tcBorders>
                    <w:tl2br w:val="nil"/>
                    <w:tr2bl w:val="nil"/>
                  </w:tcBorders>
                  <w:noWrap w:val="0"/>
                  <w:vAlign w:val="center"/>
                </w:tcPr>
                <w:p>
                  <w:pPr>
                    <w:pStyle w:val="48"/>
                    <w:bidi w:val="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由入驻企业建设</w:t>
                  </w:r>
                  <w:r>
                    <w:rPr>
                      <w:rFonts w:hint="eastAsia" w:ascii="Times New Roman" w:hAnsi="Times New Roman" w:cs="Times New Roman"/>
                      <w:color w:val="auto"/>
                      <w:sz w:val="21"/>
                      <w:szCs w:val="21"/>
                      <w:u w:val="none" w:color="auto"/>
                      <w:lang w:val="en-US" w:eastAsia="zh-CN"/>
                    </w:rPr>
                    <w:t>，目前园区污水管网未通，项目园区污水管网相通前不得引入生产废水外排的企业。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op w:val="single" w:color="auto" w:sz="4" w:space="0"/>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vMerge w:val="restart"/>
                  <w:tcBorders>
                    <w:top w:val="single" w:color="auto" w:sz="4" w:space="0"/>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噪声</w:t>
                  </w:r>
                </w:p>
              </w:tc>
              <w:tc>
                <w:tcPr>
                  <w:tcW w:w="1009" w:type="dxa"/>
                  <w:vMerge w:val="restart"/>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rPr>
                    <w:t>生产设备降噪处理</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由入驻企业建设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op w:val="single" w:color="auto" w:sz="4" w:space="0"/>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vMerge w:val="continue"/>
                  <w:tcBorders>
                    <w:top w:val="single" w:color="auto" w:sz="4" w:space="0"/>
                    <w:bottom w:val="single" w:color="auto" w:sz="4" w:space="0"/>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p>
              </w:tc>
              <w:tc>
                <w:tcPr>
                  <w:tcW w:w="1009"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rPr>
                    <w:t>公用设备噪声</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《工业企业厂界环境噪声排放标准》（GB12348-2008）3 类标准，（其中靠万福路一侧厂界执行4类标准（昼间≤70 dB（A）），夜间≤55 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707" w:type="dxa"/>
                  <w:vMerge w:val="continue"/>
                  <w:tcBorders>
                    <w:top w:val="single" w:color="auto" w:sz="4" w:space="0"/>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vMerge w:val="restart"/>
                  <w:tcBorders>
                    <w:top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固体废物</w:t>
                  </w:r>
                </w:p>
              </w:tc>
              <w:tc>
                <w:tcPr>
                  <w:tcW w:w="1009" w:type="dxa"/>
                  <w:tcBorders>
                    <w:tl2br w:val="nil"/>
                    <w:tr2bl w:val="nil"/>
                  </w:tcBorders>
                  <w:noWrap w:val="0"/>
                  <w:vAlign w:val="center"/>
                </w:tcPr>
                <w:p>
                  <w:pPr>
                    <w:pStyle w:val="48"/>
                    <w:bidi w:val="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生活垃圾</w:t>
                  </w:r>
                </w:p>
              </w:tc>
              <w:tc>
                <w:tcPr>
                  <w:tcW w:w="2157" w:type="dxa"/>
                  <w:tcBorders>
                    <w:tl2br w:val="nil"/>
                    <w:tr2bl w:val="nil"/>
                  </w:tcBorders>
                  <w:noWrap w:val="0"/>
                  <w:vAlign w:val="center"/>
                </w:tcPr>
                <w:p>
                  <w:pPr>
                    <w:pStyle w:val="87"/>
                    <w:spacing w:before="64" w:line="229" w:lineRule="auto"/>
                    <w:ind w:left="281" w:leftChars="0"/>
                    <w:jc w:val="center"/>
                    <w:rPr>
                      <w:rFonts w:hint="default" w:ascii="Times New Roman" w:hAnsi="Times New Roman" w:eastAsia="宋体" w:cs="Times New Roman"/>
                      <w:color w:val="auto"/>
                      <w:sz w:val="21"/>
                      <w:szCs w:val="21"/>
                      <w:u w:val="none" w:color="auto"/>
                      <w:lang w:val="en-US" w:eastAsia="zh-CN"/>
                    </w:rPr>
                  </w:pPr>
                  <w:r>
                    <w:rPr>
                      <w:spacing w:val="6"/>
                    </w:rPr>
                    <w:t>员工生活垃圾</w:t>
                  </w:r>
                </w:p>
              </w:tc>
              <w:tc>
                <w:tcPr>
                  <w:tcW w:w="2709" w:type="dxa"/>
                  <w:tcBorders>
                    <w:tl2br w:val="nil"/>
                    <w:tr2bl w:val="nil"/>
                  </w:tcBorders>
                  <w:noWrap w:val="0"/>
                  <w:vAlign w:val="center"/>
                </w:tcPr>
                <w:p>
                  <w:pPr>
                    <w:pStyle w:val="87"/>
                    <w:spacing w:before="64" w:line="229" w:lineRule="auto"/>
                    <w:jc w:val="center"/>
                    <w:rPr>
                      <w:rFonts w:hint="eastAsia" w:ascii="Times New Roman" w:hAnsi="Times New Roman" w:cs="Times New Roman"/>
                      <w:color w:val="auto"/>
                      <w:sz w:val="21"/>
                      <w:szCs w:val="21"/>
                      <w:u w:val="none" w:color="auto"/>
                      <w:lang w:val="en-US" w:eastAsia="zh-CN"/>
                    </w:rPr>
                  </w:pPr>
                  <w:r>
                    <w:rPr>
                      <w:spacing w:val="5"/>
                    </w:rPr>
                    <w:t>由环卫统一清运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 w:hRule="atLeast"/>
              </w:trPr>
              <w:tc>
                <w:tcPr>
                  <w:tcW w:w="707" w:type="dxa"/>
                  <w:vMerge w:val="continue"/>
                  <w:tcBorders>
                    <w:top w:val="single" w:color="auto" w:sz="4" w:space="0"/>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固体废物</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spacing w:val="5"/>
                    </w:rPr>
                    <w:t xml:space="preserve"> </w:t>
                  </w:r>
                  <w:r>
                    <w:rPr>
                      <w:spacing w:val="4"/>
                    </w:rPr>
                    <w:t>固废暂存间</w:t>
                  </w:r>
                  <w:r>
                    <w:rPr>
                      <w:rFonts w:hint="eastAsia" w:ascii="Times New Roman" w:hAnsi="Times New Roman"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由入驻企业建设</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满足《一般工业固体废物贮存和填埋污染控制标准》（GB18599-2020）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07" w:type="dxa"/>
                  <w:vMerge w:val="continue"/>
                  <w:tcBorders>
                    <w:top w:val="single" w:color="auto" w:sz="4" w:space="0"/>
                    <w:bottom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937" w:type="dxa"/>
                  <w:vMerge w:val="continue"/>
                  <w:tcBorders>
                    <w:bottom w:val="single" w:color="auto" w:sz="4" w:space="0"/>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p>
              </w:tc>
              <w:tc>
                <w:tcPr>
                  <w:tcW w:w="100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危险废物</w:t>
                  </w:r>
                </w:p>
              </w:tc>
              <w:tc>
                <w:tcPr>
                  <w:tcW w:w="2157"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交有资质单位处理处置</w:t>
                  </w:r>
                  <w:r>
                    <w:rPr>
                      <w:rFonts w:hint="eastAsia" w:ascii="Times New Roman" w:hAnsi="Times New Roman"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由入驻企业建设</w:t>
                  </w:r>
                </w:p>
              </w:tc>
              <w:tc>
                <w:tcPr>
                  <w:tcW w:w="2709" w:type="dxa"/>
                  <w:tcBorders>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满足《危险废物贮存污染控制标准》（GB18597-2023）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644" w:type="dxa"/>
                  <w:gridSpan w:val="2"/>
                  <w:tcBorders>
                    <w:top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其他</w:t>
                  </w:r>
                </w:p>
              </w:tc>
              <w:tc>
                <w:tcPr>
                  <w:tcW w:w="5875" w:type="dxa"/>
                  <w:gridSpan w:val="3"/>
                  <w:tcBorders>
                    <w:tl2br w:val="nil"/>
                    <w:tr2bl w:val="nil"/>
                  </w:tcBorders>
                  <w:noWrap w:val="0"/>
                  <w:vAlign w:val="center"/>
                </w:tcPr>
                <w:p>
                  <w:pPr>
                    <w:pStyle w:val="48"/>
                    <w:bidi w:val="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项目需进行“雨污分流”</w:t>
                  </w:r>
                </w:p>
              </w:tc>
            </w:tr>
          </w:tbl>
          <w:p>
            <w:pPr>
              <w:pStyle w:val="2"/>
              <w:numPr>
                <w:ilvl w:val="0"/>
                <w:numId w:val="0"/>
              </w:numPr>
              <w:ind w:leftChars="200" w:right="113" w:rightChars="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693" w:type="dxa"/>
            <w:vAlign w:val="center"/>
          </w:tcPr>
          <w:p>
            <w:pPr>
              <w:adjustRightInd w:val="0"/>
              <w:snapToGrid w:val="0"/>
              <w:jc w:val="center"/>
              <w:rPr>
                <w:rFonts w:hint="default" w:ascii="Times New Roman" w:hAnsi="Times New Roman" w:cs="Times New Roman"/>
                <w:color w:val="FF0000"/>
                <w:kern w:val="0"/>
                <w:sz w:val="21"/>
                <w:szCs w:val="21"/>
                <w:u w:val="none" w:color="auto"/>
              </w:rPr>
            </w:pPr>
            <w:r>
              <w:rPr>
                <w:rFonts w:hint="default" w:ascii="Times New Roman" w:hAnsi="Times New Roman" w:cs="Times New Roman"/>
                <w:color w:val="auto"/>
                <w:kern w:val="0"/>
                <w:sz w:val="21"/>
                <w:szCs w:val="21"/>
                <w:u w:val="none" w:color="auto"/>
              </w:rPr>
              <w:t>环保投资</w:t>
            </w:r>
          </w:p>
        </w:tc>
        <w:tc>
          <w:tcPr>
            <w:tcW w:w="7758" w:type="dxa"/>
          </w:tcPr>
          <w:p>
            <w:pPr>
              <w:spacing w:line="360" w:lineRule="auto"/>
              <w:ind w:firstLine="422"/>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该工程总投资约16117.71万元，其中环保约</w:t>
            </w:r>
            <w:r>
              <w:rPr>
                <w:rFonts w:hint="eastAsia" w:ascii="Times New Roman" w:hAnsi="Times New Roman" w:cs="Times New Roman"/>
                <w:color w:val="000000"/>
                <w:kern w:val="0"/>
                <w:sz w:val="24"/>
                <w:szCs w:val="24"/>
                <w:lang w:val="en-US" w:eastAsia="zh-CN" w:bidi="ar"/>
              </w:rPr>
              <w:t>126</w:t>
            </w:r>
            <w:r>
              <w:rPr>
                <w:rFonts w:hint="default" w:ascii="Times New Roman" w:hAnsi="Times New Roman" w:eastAsia="宋体" w:cs="Times New Roman"/>
                <w:color w:val="000000"/>
                <w:kern w:val="0"/>
                <w:sz w:val="24"/>
                <w:szCs w:val="24"/>
                <w:lang w:val="en-US" w:eastAsia="zh-CN" w:bidi="ar"/>
              </w:rPr>
              <w:t>万，环保投资约占工程总投资的</w:t>
            </w:r>
            <w:r>
              <w:rPr>
                <w:rFonts w:hint="eastAsia" w:ascii="Times New Roman" w:hAnsi="Times New Roman" w:cs="Times New Roman"/>
                <w:color w:val="000000"/>
                <w:kern w:val="0"/>
                <w:sz w:val="24"/>
                <w:szCs w:val="24"/>
                <w:lang w:val="en-US" w:eastAsia="zh-CN" w:bidi="ar"/>
              </w:rPr>
              <w:t>0.78</w:t>
            </w:r>
            <w:r>
              <w:rPr>
                <w:rFonts w:hint="default" w:ascii="Times New Roman" w:hAnsi="Times New Roman" w:eastAsia="宋体" w:cs="Times New Roman"/>
                <w:color w:val="000000"/>
                <w:kern w:val="0"/>
                <w:sz w:val="24"/>
                <w:szCs w:val="24"/>
                <w:lang w:val="en-US" w:eastAsia="zh-CN" w:bidi="ar"/>
              </w:rPr>
              <w:t>%，环保建设内容如表5-</w:t>
            </w:r>
            <w:r>
              <w:rPr>
                <w:rFonts w:hint="eastAsia" w:ascii="Times New Roman" w:hAnsi="Times New Roman"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示。</w:t>
            </w:r>
          </w:p>
          <w:p>
            <w:pPr>
              <w:ind w:firstLine="422"/>
              <w:jc w:val="center"/>
              <w:rPr>
                <w:rFonts w:ascii="Times New Roman" w:hAnsi="Times New Roman"/>
                <w:b/>
                <w:color w:val="auto"/>
                <w:sz w:val="21"/>
                <w:szCs w:val="21"/>
                <w:u w:val="none" w:color="auto"/>
              </w:rPr>
            </w:pPr>
            <w:r>
              <w:rPr>
                <w:rFonts w:ascii="Times New Roman" w:hAnsi="Times New Roman"/>
                <w:b/>
                <w:color w:val="auto"/>
                <w:sz w:val="21"/>
                <w:szCs w:val="21"/>
                <w:u w:val="none" w:color="auto"/>
              </w:rPr>
              <w:t>表5-</w:t>
            </w:r>
            <w:r>
              <w:rPr>
                <w:rFonts w:hint="eastAsia" w:ascii="Times New Roman" w:hAnsi="Times New Roman"/>
                <w:b/>
                <w:color w:val="auto"/>
                <w:sz w:val="21"/>
                <w:szCs w:val="21"/>
                <w:u w:val="none" w:color="auto"/>
                <w:lang w:val="en-US" w:eastAsia="zh-CN"/>
              </w:rPr>
              <w:t>2</w:t>
            </w:r>
            <w:r>
              <w:rPr>
                <w:rFonts w:ascii="Times New Roman" w:hAnsi="Times New Roman"/>
                <w:b/>
                <w:color w:val="auto"/>
                <w:sz w:val="21"/>
                <w:szCs w:val="21"/>
                <w:u w:val="none" w:color="auto"/>
              </w:rPr>
              <w:t xml:space="preserve">  </w:t>
            </w:r>
            <w:r>
              <w:rPr>
                <w:rFonts w:hint="eastAsia" w:ascii="Times New Roman" w:hAnsi="Times New Roman"/>
                <w:b/>
                <w:color w:val="auto"/>
                <w:sz w:val="21"/>
                <w:szCs w:val="21"/>
                <w:u w:val="none" w:color="auto"/>
              </w:rPr>
              <w:t>项目环保投资估算一览表</w:t>
            </w:r>
          </w:p>
          <w:tbl>
            <w:tblPr>
              <w:tblStyle w:val="31"/>
              <w:tblW w:w="7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70"/>
              <w:gridCol w:w="642"/>
              <w:gridCol w:w="642"/>
              <w:gridCol w:w="3596"/>
              <w:gridCol w:w="1213"/>
              <w:gridCol w:w="8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854" w:type="dxa"/>
                  <w:gridSpan w:val="3"/>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类别</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环保措施</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投资（万元）</w:t>
                  </w:r>
                </w:p>
              </w:tc>
              <w:tc>
                <w:tcPr>
                  <w:tcW w:w="859" w:type="dxa"/>
                  <w:tcBorders>
                    <w:tl2br w:val="nil"/>
                    <w:tr2bl w:val="nil"/>
                  </w:tcBorders>
                  <w:noWrap w:val="0"/>
                  <w:vAlign w:val="center"/>
                </w:tcPr>
                <w:p>
                  <w:pPr>
                    <w:pStyle w:val="48"/>
                    <w:bidi w:val="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restart"/>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施工期</w:t>
                  </w:r>
                </w:p>
              </w:tc>
              <w:tc>
                <w:tcPr>
                  <w:tcW w:w="1284" w:type="dxa"/>
                  <w:gridSpan w:val="2"/>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施工期扬尘</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施工围栏、覆盖材料、洒水设施、车辆冲洗设施</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1284" w:type="dxa"/>
                  <w:gridSpan w:val="2"/>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施工期废水</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eastAsia" w:ascii="Times New Roman" w:hAnsi="Times New Roman" w:cs="Times New Roman"/>
                      <w:color w:val="auto"/>
                      <w:sz w:val="21"/>
                      <w:szCs w:val="21"/>
                      <w:u w:val="none" w:color="auto"/>
                      <w:lang w:val="en-US" w:eastAsia="zh-CN"/>
                    </w:rPr>
                    <w:t>化粪池、隔油沉淀池</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1284" w:type="dxa"/>
                  <w:gridSpan w:val="2"/>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施工期噪声</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设临时声屏障、产噪设备基础减震、施工场地围墙、加强管理等</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15</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1284" w:type="dxa"/>
                  <w:gridSpan w:val="2"/>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施工期固废</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建筑垃圾尽量回收利用，不能利用的由渣土公司运至指定地点堆放；生活垃圾经收集后由环卫部门清运处理</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11</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2" w:hRule="atLeast"/>
              </w:trPr>
              <w:tc>
                <w:tcPr>
                  <w:tcW w:w="570" w:type="dxa"/>
                  <w:vMerge w:val="restart"/>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营运期</w:t>
                  </w:r>
                </w:p>
              </w:tc>
              <w:tc>
                <w:tcPr>
                  <w:tcW w:w="642" w:type="dxa"/>
                  <w:vMerge w:val="restart"/>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废水治理</w:t>
                  </w:r>
                </w:p>
              </w:tc>
              <w:tc>
                <w:tcPr>
                  <w:tcW w:w="642" w:type="dxa"/>
                  <w:tcBorders>
                    <w:lef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生活污水</w:t>
                  </w:r>
                </w:p>
              </w:tc>
              <w:tc>
                <w:tcPr>
                  <w:tcW w:w="3596" w:type="dxa"/>
                  <w:tcBorders>
                    <w:tl2br w:val="nil"/>
                    <w:tr2bl w:val="nil"/>
                  </w:tcBorders>
                  <w:noWrap w:val="0"/>
                  <w:vAlign w:val="center"/>
                </w:tcPr>
                <w:p>
                  <w:pPr>
                    <w:pStyle w:val="48"/>
                    <w:bidi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化粪池</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依托一期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tcBorders>
                    <w:lef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生产废水</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工业废水处理设施</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由入驻企业建设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vMerge w:val="restart"/>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w:t>
                  </w:r>
                </w:p>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治理</w:t>
                  </w:r>
                </w:p>
              </w:tc>
              <w:tc>
                <w:tcPr>
                  <w:tcW w:w="642" w:type="dxa"/>
                  <w:vMerge w:val="restart"/>
                  <w:tcBorders>
                    <w:lef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生产设备降噪处理</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由入驻企业建设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vMerge w:val="continue"/>
                  <w:tcBorders>
                    <w:lef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公用设备噪声</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right w:val="single" w:color="auto" w:sz="4" w:space="0"/>
                    <w:tl2br w:val="nil"/>
                    <w:tr2bl w:val="nil"/>
                  </w:tcBorders>
                  <w:noWrap w:val="0"/>
                  <w:vAlign w:val="center"/>
                </w:tcPr>
                <w:p>
                  <w:pPr>
                    <w:pStyle w:val="48"/>
                    <w:bidi w:val="0"/>
                    <w:jc w:val="center"/>
                    <w:rPr>
                      <w:rFonts w:hint="eastAsia" w:ascii="Times New Roman" w:hAnsi="Times New Roman" w:cs="Times New Roman"/>
                      <w:color w:val="auto"/>
                      <w:sz w:val="21"/>
                      <w:szCs w:val="21"/>
                      <w:u w:val="none" w:color="auto"/>
                      <w:lang w:val="en-US" w:eastAsia="zh-CN"/>
                    </w:rPr>
                  </w:pPr>
                </w:p>
              </w:tc>
              <w:tc>
                <w:tcPr>
                  <w:tcW w:w="642" w:type="dxa"/>
                  <w:vMerge w:val="restart"/>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固废</w:t>
                  </w:r>
                </w:p>
              </w:tc>
              <w:tc>
                <w:tcPr>
                  <w:tcW w:w="642" w:type="dxa"/>
                  <w:tcBorders>
                    <w:lef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生活垃圾</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依托一期生活垃圾站</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依托一期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tcBorders>
                    <w:lef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一般工业</w:t>
                  </w:r>
                </w:p>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固废</w:t>
                  </w:r>
                </w:p>
              </w:tc>
              <w:tc>
                <w:tcPr>
                  <w:tcW w:w="3596"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u w:val="none" w:color="auto"/>
                      <w:lang w:val="en-US"/>
                    </w:rPr>
                  </w:pPr>
                  <w:r>
                    <w:rPr>
                      <w:rFonts w:hint="eastAsia" w:ascii="宋体" w:hAnsi="宋体" w:eastAsia="宋体" w:cs="宋体"/>
                      <w:color w:val="auto"/>
                      <w:kern w:val="0"/>
                      <w:sz w:val="21"/>
                      <w:szCs w:val="21"/>
                      <w:lang w:val="en-US" w:eastAsia="zh-CN" w:bidi="ar"/>
                    </w:rPr>
                    <w:t>工业固废分类收集暂存场</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由入驻企业建设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642" w:type="dxa"/>
                  <w:tcBorders>
                    <w:lef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危险废物</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危险废物暂存设施及场所，防渗处理</w:t>
                  </w:r>
                </w:p>
              </w:tc>
              <w:tc>
                <w:tcPr>
                  <w:tcW w:w="1213"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由入驻企业建设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1284" w:type="dxa"/>
                  <w:gridSpan w:val="2"/>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地下水污染防治</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厂房及厂区地面硬化，污水管网做防渗处理</w:t>
                  </w:r>
                </w:p>
              </w:tc>
              <w:tc>
                <w:tcPr>
                  <w:tcW w:w="1213" w:type="dxa"/>
                  <w:tcBorders>
                    <w:tl2br w:val="nil"/>
                    <w:tr2bl w:val="nil"/>
                  </w:tcBorders>
                  <w:noWrap w:val="0"/>
                  <w:vAlign w:val="center"/>
                </w:tcPr>
                <w:p>
                  <w:pPr>
                    <w:pStyle w:val="48"/>
                    <w:bidi w:val="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40</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vMerge w:val="continue"/>
                  <w:tcBorders>
                    <w:right w:val="single" w:color="auto" w:sz="4" w:space="0"/>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p>
              </w:tc>
              <w:tc>
                <w:tcPr>
                  <w:tcW w:w="1284" w:type="dxa"/>
                  <w:gridSpan w:val="2"/>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生态环境</w:t>
                  </w:r>
                </w:p>
              </w:tc>
              <w:tc>
                <w:tcPr>
                  <w:tcW w:w="3596"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绿化工程</w:t>
                  </w:r>
                </w:p>
              </w:tc>
              <w:tc>
                <w:tcPr>
                  <w:tcW w:w="1213" w:type="dxa"/>
                  <w:tcBorders>
                    <w:tl2br w:val="nil"/>
                    <w:tr2bl w:val="nil"/>
                  </w:tcBorders>
                  <w:noWrap w:val="0"/>
                  <w:vAlign w:val="center"/>
                </w:tcPr>
                <w:p>
                  <w:pPr>
                    <w:pStyle w:val="48"/>
                    <w:bidi w:val="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30</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70"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p>
              </w:tc>
              <w:tc>
                <w:tcPr>
                  <w:tcW w:w="4880" w:type="dxa"/>
                  <w:gridSpan w:val="3"/>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rPr>
                    <w:t>环保设施合计</w:t>
                  </w:r>
                </w:p>
              </w:tc>
              <w:tc>
                <w:tcPr>
                  <w:tcW w:w="1213" w:type="dxa"/>
                  <w:tcBorders>
                    <w:tl2br w:val="nil"/>
                    <w:tr2bl w:val="nil"/>
                  </w:tcBorders>
                  <w:noWrap w:val="0"/>
                  <w:vAlign w:val="center"/>
                </w:tcPr>
                <w:p>
                  <w:pPr>
                    <w:pStyle w:val="48"/>
                    <w:bidi w:val="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126</w:t>
                  </w:r>
                </w:p>
              </w:tc>
              <w:tc>
                <w:tcPr>
                  <w:tcW w:w="859" w:type="dxa"/>
                  <w:tcBorders>
                    <w:tl2br w:val="nil"/>
                    <w:tr2bl w:val="nil"/>
                  </w:tcBorders>
                  <w:noWrap w:val="0"/>
                  <w:vAlign w:val="center"/>
                </w:tcPr>
                <w:p>
                  <w:pPr>
                    <w:pStyle w:val="48"/>
                    <w:bidi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r>
          </w:tbl>
          <w:p>
            <w:pPr>
              <w:pStyle w:val="2"/>
              <w:keepNext w:val="0"/>
              <w:keepLines w:val="0"/>
              <w:pageBreakBefore w:val="0"/>
              <w:widowControl/>
              <w:numPr>
                <w:ilvl w:val="0"/>
                <w:numId w:val="0"/>
              </w:numPr>
              <w:kinsoku/>
              <w:wordWrap/>
              <w:overflowPunct/>
              <w:topLinePunct w:val="0"/>
              <w:autoSpaceDE/>
              <w:autoSpaceDN/>
              <w:bidi w:val="0"/>
              <w:adjustRightInd/>
              <w:snapToGrid w:val="0"/>
              <w:spacing w:line="360" w:lineRule="auto"/>
              <w:ind w:right="113" w:rightChars="0" w:firstLine="360" w:firstLineChars="200"/>
              <w:textAlignment w:val="auto"/>
              <w:rPr>
                <w:rFonts w:hint="default"/>
                <w:lang w:val="en-US" w:eastAsia="zh-CN"/>
              </w:rPr>
            </w:pPr>
          </w:p>
        </w:tc>
      </w:tr>
    </w:tbl>
    <w:p>
      <w:pPr>
        <w:rPr>
          <w:rFonts w:ascii="Times New Roman" w:hAnsi="Times New Roman"/>
          <w:color w:val="FF0000"/>
          <w:u w:val="none" w:color="auto"/>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7"/>
        <w:spacing w:line="240" w:lineRule="auto"/>
        <w:jc w:val="center"/>
        <w:outlineLvl w:val="0"/>
        <w:rPr>
          <w:rFonts w:hint="eastAsia" w:ascii="宋体" w:hAnsi="宋体" w:eastAsia="宋体" w:cs="宋体"/>
          <w:b/>
          <w:bCs/>
          <w:snapToGrid w:val="0"/>
          <w:color w:val="auto"/>
          <w:sz w:val="30"/>
          <w:szCs w:val="30"/>
          <w:u w:val="none" w:color="auto"/>
        </w:rPr>
      </w:pPr>
      <w:bookmarkStart w:id="21" w:name="_Toc32352"/>
      <w:bookmarkStart w:id="22" w:name="_Toc21289"/>
      <w:r>
        <w:rPr>
          <w:rFonts w:hint="eastAsia" w:ascii="宋体" w:hAnsi="宋体" w:eastAsia="宋体" w:cs="宋体"/>
          <w:b/>
          <w:bCs/>
          <w:snapToGrid w:val="0"/>
          <w:color w:val="auto"/>
          <w:sz w:val="30"/>
          <w:szCs w:val="30"/>
          <w:u w:val="none" w:color="auto"/>
        </w:rPr>
        <w:t>六、生态环境保护措施监督检查清单</w:t>
      </w:r>
      <w:bookmarkEnd w:id="21"/>
      <w:bookmarkEnd w:id="22"/>
    </w:p>
    <w:tbl>
      <w:tblPr>
        <w:tblStyle w:val="30"/>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155"/>
        <w:gridCol w:w="1881"/>
        <w:gridCol w:w="1187"/>
        <w:gridCol w:w="25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Merge w:val="restart"/>
            <w:tcBorders>
              <w:tl2br w:val="single" w:color="auto" w:sz="4" w:space="0"/>
            </w:tcBorders>
          </w:tcPr>
          <w:p>
            <w:pPr>
              <w:pStyle w:val="78"/>
              <w:keepNext w:val="0"/>
              <w:keepLines w:val="0"/>
              <w:pageBreakBefore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bookmarkStart w:id="23" w:name="_Toc7878"/>
            <w:r>
              <w:rPr>
                <w:rFonts w:hint="default" w:ascii="Times New Roman" w:hAnsi="Times New Roman" w:eastAsia="宋体" w:cs="Times New Roman"/>
                <w:bCs/>
                <w:color w:val="auto"/>
                <w:kern w:val="2"/>
                <w:sz w:val="21"/>
                <w:szCs w:val="21"/>
                <w:u w:val="single" w:color="auto"/>
                <w:lang w:val="en-US" w:eastAsia="zh-CN" w:bidi="ar-SA"/>
              </w:rPr>
              <w:t>内容</w:t>
            </w:r>
            <w:bookmarkEnd w:id="23"/>
          </w:p>
          <w:p>
            <w:pPr>
              <w:pStyle w:val="78"/>
              <w:keepNext w:val="0"/>
              <w:keepLines w:val="0"/>
              <w:pageBreakBefore w:val="0"/>
              <w:kinsoku/>
              <w:wordWrap/>
              <w:overflowPunct/>
              <w:topLinePunct w:val="0"/>
              <w:bidi w:val="0"/>
              <w:spacing w:line="240" w:lineRule="auto"/>
              <w:ind w:left="0" w:leftChars="0" w:firstLine="0" w:firstLineChars="0"/>
              <w:jc w:val="both"/>
              <w:textAlignment w:val="auto"/>
              <w:rPr>
                <w:rFonts w:hint="default" w:ascii="Times New Roman" w:hAnsi="Times New Roman" w:eastAsia="宋体" w:cs="Times New Roman"/>
                <w:bCs/>
                <w:color w:val="auto"/>
                <w:kern w:val="2"/>
                <w:sz w:val="21"/>
                <w:szCs w:val="21"/>
                <w:u w:val="single" w:color="auto"/>
                <w:lang w:val="en-US" w:eastAsia="zh-CN" w:bidi="ar-SA"/>
              </w:rPr>
            </w:pPr>
            <w:bookmarkStart w:id="24" w:name="_Toc21094"/>
          </w:p>
          <w:p>
            <w:pPr>
              <w:pStyle w:val="78"/>
              <w:keepNext w:val="0"/>
              <w:keepLines w:val="0"/>
              <w:pageBreakBefore w:val="0"/>
              <w:kinsoku/>
              <w:wordWrap/>
              <w:overflowPunct/>
              <w:topLinePunct w:val="0"/>
              <w:bidi w:val="0"/>
              <w:spacing w:line="240" w:lineRule="auto"/>
              <w:ind w:left="0" w:leftChars="0" w:firstLine="0" w:firstLineChars="0"/>
              <w:jc w:val="both"/>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eastAsia="宋体" w:cs="Times New Roman"/>
                <w:bCs/>
                <w:color w:val="auto"/>
                <w:kern w:val="2"/>
                <w:sz w:val="21"/>
                <w:szCs w:val="21"/>
                <w:u w:val="single" w:color="auto"/>
                <w:lang w:val="en-US" w:eastAsia="zh-CN" w:bidi="ar-SA"/>
              </w:rPr>
              <w:t>要素</w:t>
            </w:r>
            <w:bookmarkEnd w:id="24"/>
          </w:p>
        </w:tc>
        <w:tc>
          <w:tcPr>
            <w:tcW w:w="4036" w:type="dxa"/>
            <w:gridSpan w:val="2"/>
            <w:vAlign w:val="center"/>
          </w:tcPr>
          <w:p>
            <w:pPr>
              <w:pStyle w:val="78"/>
              <w:keepNext w:val="0"/>
              <w:keepLines w:val="0"/>
              <w:pageBreakBefore w:val="0"/>
              <w:kinsoku/>
              <w:wordWrap/>
              <w:overflowPunct/>
              <w:topLinePunct w:val="0"/>
              <w:bidi w:val="0"/>
              <w:spacing w:line="240" w:lineRule="auto"/>
              <w:ind w:firstLine="420" w:firstLineChars="200"/>
              <w:jc w:val="center"/>
              <w:textAlignment w:val="auto"/>
              <w:rPr>
                <w:rFonts w:hint="default" w:ascii="Times New Roman" w:hAnsi="Times New Roman" w:eastAsia="宋体" w:cs="Times New Roman"/>
                <w:bCs/>
                <w:color w:val="auto"/>
                <w:kern w:val="2"/>
                <w:sz w:val="21"/>
                <w:szCs w:val="21"/>
                <w:u w:val="single" w:color="auto"/>
                <w:lang w:val="en-US" w:eastAsia="zh-CN" w:bidi="ar-SA"/>
              </w:rPr>
            </w:pPr>
            <w:bookmarkStart w:id="25" w:name="_Toc15504"/>
            <w:r>
              <w:rPr>
                <w:rFonts w:hint="default" w:ascii="Times New Roman" w:hAnsi="Times New Roman" w:eastAsia="宋体" w:cs="Times New Roman"/>
                <w:bCs/>
                <w:color w:val="auto"/>
                <w:kern w:val="2"/>
                <w:sz w:val="21"/>
                <w:szCs w:val="21"/>
                <w:u w:val="single" w:color="auto"/>
                <w:lang w:val="en-US" w:eastAsia="zh-CN" w:bidi="ar-SA"/>
              </w:rPr>
              <w:t>施工期</w:t>
            </w:r>
            <w:bookmarkEnd w:id="25"/>
          </w:p>
        </w:tc>
        <w:tc>
          <w:tcPr>
            <w:tcW w:w="3707" w:type="dxa"/>
            <w:gridSpan w:val="2"/>
            <w:vAlign w:val="center"/>
          </w:tcPr>
          <w:p>
            <w:pPr>
              <w:pStyle w:val="78"/>
              <w:keepNext w:val="0"/>
              <w:keepLines w:val="0"/>
              <w:pageBreakBefore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bookmarkStart w:id="26" w:name="_Toc21924"/>
            <w:r>
              <w:rPr>
                <w:rFonts w:hint="default" w:ascii="Times New Roman" w:hAnsi="Times New Roman" w:eastAsia="宋体" w:cs="Times New Roman"/>
                <w:bCs/>
                <w:color w:val="auto"/>
                <w:kern w:val="2"/>
                <w:sz w:val="21"/>
                <w:szCs w:val="21"/>
                <w:u w:val="single" w:color="auto"/>
                <w:lang w:val="en-US" w:eastAsia="zh-CN" w:bidi="ar-SA"/>
              </w:rPr>
              <w:t>运营期</w:t>
            </w:r>
            <w:bookmarkEnd w:id="2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77" w:type="dxa"/>
            <w:vMerge w:val="continue"/>
          </w:tcPr>
          <w:p>
            <w:pPr>
              <w:pStyle w:val="78"/>
              <w:keepNext w:val="0"/>
              <w:keepLines w:val="0"/>
              <w:pageBreakBefore w:val="0"/>
              <w:kinsoku/>
              <w:wordWrap/>
              <w:overflowPunct/>
              <w:topLinePunct w:val="0"/>
              <w:bidi w:val="0"/>
              <w:spacing w:line="240" w:lineRule="auto"/>
              <w:ind w:firstLine="420" w:firstLineChars="200"/>
              <w:jc w:val="center"/>
              <w:textAlignment w:val="auto"/>
              <w:rPr>
                <w:rFonts w:hint="default" w:ascii="Times New Roman" w:hAnsi="Times New Roman" w:eastAsia="宋体" w:cs="Times New Roman"/>
                <w:bCs/>
                <w:color w:val="auto"/>
                <w:kern w:val="2"/>
                <w:sz w:val="21"/>
                <w:szCs w:val="21"/>
                <w:u w:val="single" w:color="auto"/>
                <w:lang w:val="en-US" w:eastAsia="zh-CN" w:bidi="ar-SA"/>
              </w:rPr>
            </w:pPr>
          </w:p>
        </w:tc>
        <w:tc>
          <w:tcPr>
            <w:tcW w:w="2155" w:type="dxa"/>
            <w:vAlign w:val="center"/>
          </w:tcPr>
          <w:p>
            <w:pPr>
              <w:pStyle w:val="78"/>
              <w:keepNext w:val="0"/>
              <w:keepLines w:val="0"/>
              <w:pageBreakBefore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bookmarkStart w:id="27" w:name="_Toc4000"/>
            <w:r>
              <w:rPr>
                <w:rFonts w:hint="default" w:ascii="Times New Roman" w:hAnsi="Times New Roman" w:eastAsia="宋体" w:cs="Times New Roman"/>
                <w:bCs/>
                <w:color w:val="auto"/>
                <w:kern w:val="2"/>
                <w:sz w:val="21"/>
                <w:szCs w:val="21"/>
                <w:u w:val="single" w:color="auto"/>
                <w:lang w:val="en-US" w:eastAsia="zh-CN" w:bidi="ar-SA"/>
              </w:rPr>
              <w:t>环境保护措施</w:t>
            </w:r>
            <w:bookmarkEnd w:id="27"/>
          </w:p>
        </w:tc>
        <w:tc>
          <w:tcPr>
            <w:tcW w:w="1881" w:type="dxa"/>
            <w:vAlign w:val="center"/>
          </w:tcPr>
          <w:p>
            <w:pPr>
              <w:pStyle w:val="78"/>
              <w:keepNext w:val="0"/>
              <w:keepLines w:val="0"/>
              <w:pageBreakBefore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bookmarkStart w:id="28" w:name="_Toc28209"/>
            <w:r>
              <w:rPr>
                <w:rFonts w:hint="default" w:ascii="Times New Roman" w:hAnsi="Times New Roman" w:eastAsia="宋体" w:cs="Times New Roman"/>
                <w:bCs/>
                <w:color w:val="auto"/>
                <w:kern w:val="2"/>
                <w:sz w:val="21"/>
                <w:szCs w:val="21"/>
                <w:u w:val="single" w:color="auto"/>
                <w:lang w:val="en-US" w:eastAsia="zh-CN" w:bidi="ar-SA"/>
              </w:rPr>
              <w:t>验收要求</w:t>
            </w:r>
            <w:bookmarkEnd w:id="28"/>
          </w:p>
        </w:tc>
        <w:tc>
          <w:tcPr>
            <w:tcW w:w="1187" w:type="dxa"/>
            <w:vAlign w:val="center"/>
          </w:tcPr>
          <w:p>
            <w:pPr>
              <w:pStyle w:val="78"/>
              <w:keepNext w:val="0"/>
              <w:keepLines w:val="0"/>
              <w:pageBreakBefore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bookmarkStart w:id="29" w:name="_Toc6242"/>
            <w:r>
              <w:rPr>
                <w:rFonts w:hint="default" w:ascii="Times New Roman" w:hAnsi="Times New Roman" w:eastAsia="宋体" w:cs="Times New Roman"/>
                <w:bCs/>
                <w:color w:val="auto"/>
                <w:kern w:val="2"/>
                <w:sz w:val="21"/>
                <w:szCs w:val="21"/>
                <w:u w:val="single" w:color="auto"/>
                <w:lang w:val="en-US" w:eastAsia="zh-CN" w:bidi="ar-SA"/>
              </w:rPr>
              <w:t>环境保护措施</w:t>
            </w:r>
            <w:bookmarkEnd w:id="29"/>
          </w:p>
        </w:tc>
        <w:tc>
          <w:tcPr>
            <w:tcW w:w="2520" w:type="dxa"/>
            <w:vAlign w:val="center"/>
          </w:tcPr>
          <w:p>
            <w:pPr>
              <w:pStyle w:val="78"/>
              <w:keepNext w:val="0"/>
              <w:keepLines w:val="0"/>
              <w:pageBreakBefore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bookmarkStart w:id="30" w:name="_Toc17876"/>
            <w:r>
              <w:rPr>
                <w:rFonts w:hint="default" w:ascii="Times New Roman" w:hAnsi="Times New Roman" w:eastAsia="宋体" w:cs="Times New Roman"/>
                <w:bCs/>
                <w:color w:val="auto"/>
                <w:kern w:val="2"/>
                <w:sz w:val="21"/>
                <w:szCs w:val="21"/>
                <w:u w:val="single" w:color="auto"/>
                <w:lang w:val="en-US" w:eastAsia="zh-CN" w:bidi="ar-SA"/>
              </w:rPr>
              <w:t>验收要求</w:t>
            </w:r>
            <w:bookmarkEnd w:id="3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陆生生态</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规范施工人员行为；合理组织工程施工，控制用地；保护表土，减少植被破坏，施工后尽快恢复。施工结束后，及时恢复。</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sz w:val="21"/>
                <w:szCs w:val="21"/>
                <w:u w:val="single" w:color="auto"/>
                <w:lang w:eastAsia="zh-CN"/>
              </w:rPr>
            </w:pPr>
            <w:r>
              <w:rPr>
                <w:rFonts w:hint="default" w:ascii="Times New Roman" w:hAnsi="Times New Roman" w:eastAsia="宋体" w:cs="Times New Roman"/>
                <w:bCs/>
                <w:color w:val="auto"/>
                <w:sz w:val="21"/>
                <w:szCs w:val="21"/>
                <w:u w:val="single" w:color="auto"/>
              </w:rPr>
              <w:t>表土用于植被恢复、临时占地面积较小</w:t>
            </w:r>
            <w:r>
              <w:rPr>
                <w:rFonts w:hint="eastAsia" w:ascii="Times New Roman" w:hAnsi="Times New Roman" w:cs="Times New Roman"/>
                <w:bCs/>
                <w:color w:val="auto"/>
                <w:sz w:val="21"/>
                <w:szCs w:val="21"/>
                <w:u w:val="single" w:color="auto"/>
                <w:lang w:eastAsia="zh-CN"/>
              </w:rPr>
              <w:t>、施工结束后进行了植被恢复或地面硬化</w:t>
            </w:r>
          </w:p>
        </w:tc>
        <w:tc>
          <w:tcPr>
            <w:tcW w:w="1187"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eastAsia="宋体" w:cs="Times New Roman"/>
                <w:bCs/>
                <w:color w:val="auto"/>
                <w:kern w:val="2"/>
                <w:sz w:val="21"/>
                <w:szCs w:val="21"/>
                <w:u w:val="single" w:color="auto"/>
                <w:lang w:val="en-US" w:eastAsia="zh-CN" w:bidi="ar-SA"/>
              </w:rPr>
              <w:t>恢复厂区绿化</w:t>
            </w:r>
          </w:p>
        </w:tc>
        <w:tc>
          <w:tcPr>
            <w:tcW w:w="2520"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kern w:val="2"/>
                <w:sz w:val="21"/>
                <w:szCs w:val="21"/>
                <w:u w:val="single" w:color="auto"/>
                <w:lang w:val="en-US" w:eastAsia="zh-CN" w:bidi="ar-SA"/>
              </w:rPr>
            </w:pPr>
            <w:r>
              <w:rPr>
                <w:rFonts w:hint="default" w:ascii="Times New Roman" w:hAnsi="Times New Roman" w:eastAsia="宋体" w:cs="Times New Roman"/>
                <w:bCs/>
                <w:color w:val="auto"/>
                <w:kern w:val="2"/>
                <w:sz w:val="21"/>
                <w:szCs w:val="21"/>
                <w:u w:val="single" w:color="auto"/>
                <w:lang w:val="en-US" w:eastAsia="zh-CN" w:bidi="ar-SA"/>
              </w:rPr>
              <w:t>绿化率达到10.00%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水生生态</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sz w:val="21"/>
                <w:szCs w:val="21"/>
                <w:u w:val="single" w:color="auto"/>
                <w:lang w:eastAsia="zh-CN"/>
              </w:rPr>
            </w:pPr>
            <w:r>
              <w:rPr>
                <w:rFonts w:hint="eastAsia" w:ascii="Times New Roman" w:hAnsi="Times New Roman" w:eastAsia="宋体" w:cs="Times New Roman"/>
                <w:bCs/>
                <w:color w:val="auto"/>
                <w:sz w:val="21"/>
                <w:szCs w:val="21"/>
                <w:u w:val="single" w:color="auto"/>
                <w:lang w:val="en-US" w:eastAsia="zh-CN"/>
              </w:rPr>
              <w:t xml:space="preserve">本项目位置与周边水域有一定距离，并在施工场地设有沉淀池，施工废水和生活污水不排入水体 </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sz w:val="21"/>
                <w:szCs w:val="21"/>
                <w:u w:val="single" w:color="auto"/>
                <w:lang w:eastAsia="zh-CN"/>
              </w:rPr>
            </w:pPr>
            <w:r>
              <w:rPr>
                <w:rFonts w:hint="eastAsia" w:ascii="Times New Roman" w:hAnsi="Times New Roman" w:eastAsia="宋体" w:cs="Times New Roman"/>
                <w:bCs/>
                <w:color w:val="auto"/>
                <w:sz w:val="21"/>
                <w:szCs w:val="21"/>
                <w:u w:val="single" w:color="auto"/>
                <w:lang w:val="en-US" w:eastAsia="zh-CN"/>
              </w:rPr>
              <w:t>中。</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对水生生态</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影响较小</w:t>
            </w:r>
          </w:p>
        </w:tc>
        <w:tc>
          <w:tcPr>
            <w:tcW w:w="1187"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c>
          <w:tcPr>
            <w:tcW w:w="2520"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地表水环境</w:t>
            </w:r>
          </w:p>
        </w:tc>
        <w:tc>
          <w:tcPr>
            <w:tcW w:w="2155" w:type="dxa"/>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eastAsia="宋体"/>
                <w:color w:val="auto"/>
                <w:u w:val="single" w:color="auto"/>
                <w:lang w:eastAsia="zh-CN"/>
              </w:rPr>
            </w:pPr>
            <w:r>
              <w:rPr>
                <w:rFonts w:hint="default"/>
                <w:color w:val="auto"/>
                <w:u w:val="single" w:color="auto"/>
              </w:rPr>
              <w:t>生活污水经化粪池处理达标后排入市政管网</w:t>
            </w:r>
            <w:r>
              <w:rPr>
                <w:rFonts w:hint="eastAsia"/>
                <w:color w:val="auto"/>
                <w:u w:val="single"/>
                <w:lang w:eastAsia="zh-CN"/>
              </w:rPr>
              <w:t>；施工作业废水经隔油沉淀池处理后回用场内洒水降尘。</w:t>
            </w:r>
          </w:p>
        </w:tc>
        <w:tc>
          <w:tcPr>
            <w:tcW w:w="1881" w:type="dxa"/>
            <w:vAlign w:val="center"/>
          </w:tcPr>
          <w:p>
            <w:pPr>
              <w:adjustRightInd w:val="0"/>
              <w:snapToGrid w:val="0"/>
              <w:spacing w:line="240" w:lineRule="auto"/>
              <w:jc w:val="center"/>
              <w:rPr>
                <w:rFonts w:hint="eastAsia" w:ascii="Calibri" w:hAnsi="Calibri" w:eastAsia="宋体" w:cs="Times New Roman"/>
                <w:color w:val="auto"/>
                <w:kern w:val="2"/>
                <w:sz w:val="21"/>
                <w:szCs w:val="21"/>
                <w:u w:val="single" w:color="auto"/>
                <w:lang w:val="en-US" w:eastAsia="zh-CN" w:bidi="ar-SA"/>
              </w:rPr>
            </w:pPr>
            <w:r>
              <w:rPr>
                <w:rFonts w:hint="eastAsia" w:ascii="Calibri" w:hAnsi="Calibri" w:eastAsia="宋体" w:cs="Times New Roman"/>
                <w:color w:val="auto"/>
                <w:kern w:val="2"/>
                <w:sz w:val="21"/>
                <w:szCs w:val="21"/>
                <w:u w:val="single" w:color="auto"/>
                <w:lang w:val="en-US" w:eastAsia="zh-CN" w:bidi="ar-SA"/>
              </w:rPr>
              <w:t>生活污水经化粪池处理达标后排入市政管网</w:t>
            </w:r>
          </w:p>
        </w:tc>
        <w:tc>
          <w:tcPr>
            <w:tcW w:w="1187"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进行“雨污分流”制，隔油池+化粪池</w:t>
            </w:r>
          </w:p>
        </w:tc>
        <w:tc>
          <w:tcPr>
            <w:tcW w:w="2520"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进行“雨污分流”制，外排废水需达到GB8978-1996 三级排放标准、污水处理厂接纳标准后排入市政污水管网，进入湘阴县第三污水处理厂处理达标后排入洋沙河，经洋沙湖进入湘江目前园区污水管网未通，项目园区污水管网相通前不得引入生产废水外排的企业。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eastAsia="宋体" w:cs="Times New Roman"/>
                <w:bCs/>
                <w:color w:val="auto"/>
                <w:sz w:val="21"/>
                <w:szCs w:val="21"/>
                <w:u w:val="single" w:color="auto"/>
                <w:lang w:val="en-US" w:eastAsia="zh-CN"/>
              </w:rPr>
              <w:t>地下水及土壤环境</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施工</w:t>
            </w:r>
            <w:r>
              <w:rPr>
                <w:rFonts w:hint="eastAsia" w:ascii="Times New Roman" w:hAnsi="Times New Roman" w:cs="Times New Roman"/>
                <w:bCs/>
                <w:color w:val="auto"/>
                <w:sz w:val="21"/>
                <w:szCs w:val="21"/>
                <w:u w:val="single" w:color="auto"/>
                <w:lang w:val="en-US" w:eastAsia="zh-CN"/>
              </w:rPr>
              <w:t>场地</w:t>
            </w:r>
            <w:r>
              <w:rPr>
                <w:rFonts w:hint="default" w:ascii="Times New Roman" w:hAnsi="Times New Roman" w:eastAsia="宋体" w:cs="Times New Roman"/>
                <w:bCs/>
                <w:color w:val="auto"/>
                <w:sz w:val="21"/>
                <w:szCs w:val="21"/>
                <w:u w:val="single" w:color="auto"/>
              </w:rPr>
              <w:t>设置截排水沟、沉淀池等应采取硬化措施，防止污染</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物下渗。</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化粪池做好防渗措施</w:t>
            </w:r>
          </w:p>
        </w:tc>
        <w:tc>
          <w:tcPr>
            <w:tcW w:w="1187"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r>
              <w:rPr>
                <w:rFonts w:hint="eastAsia"/>
                <w:color w:val="auto"/>
                <w:u w:val="single" w:color="auto"/>
                <w:lang w:val="en-US" w:eastAsia="zh-CN"/>
              </w:rPr>
              <w:t>营运期厂房防渗</w:t>
            </w:r>
          </w:p>
        </w:tc>
        <w:tc>
          <w:tcPr>
            <w:tcW w:w="2520"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声环境</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sz w:val="21"/>
                <w:szCs w:val="21"/>
                <w:u w:val="single" w:color="auto"/>
                <w:lang w:eastAsia="zh-CN"/>
              </w:rPr>
            </w:pPr>
            <w:r>
              <w:rPr>
                <w:rFonts w:hint="eastAsia" w:ascii="Times New Roman" w:hAnsi="Times New Roman" w:eastAsia="宋体" w:cs="Times New Roman"/>
                <w:bCs/>
                <w:color w:val="auto"/>
                <w:sz w:val="21"/>
                <w:szCs w:val="21"/>
                <w:u w:val="single" w:color="auto"/>
                <w:lang w:eastAsia="zh-CN"/>
              </w:rPr>
              <w:t>合理布局、采用低噪声设备，合理安排施工时间，</w:t>
            </w:r>
            <w:r>
              <w:rPr>
                <w:rFonts w:hint="eastAsia" w:ascii="Times New Roman" w:hAnsi="Times New Roman" w:cs="Times New Roman"/>
                <w:bCs/>
                <w:color w:val="auto"/>
                <w:sz w:val="21"/>
                <w:szCs w:val="21"/>
                <w:u w:val="single" w:color="auto"/>
                <w:lang w:val="en-US" w:eastAsia="zh-CN"/>
              </w:rPr>
              <w:t>设置围挡，</w:t>
            </w:r>
            <w:r>
              <w:rPr>
                <w:rFonts w:hint="eastAsia" w:ascii="Times New Roman" w:hAnsi="Times New Roman" w:eastAsia="宋体" w:cs="Times New Roman"/>
                <w:bCs/>
                <w:color w:val="auto"/>
                <w:sz w:val="21"/>
                <w:szCs w:val="21"/>
                <w:u w:val="single" w:color="auto"/>
                <w:lang w:eastAsia="zh-CN"/>
              </w:rPr>
              <w:t>采取一定的减震、降噪措施。</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厂界达标</w:t>
            </w:r>
          </w:p>
        </w:tc>
        <w:tc>
          <w:tcPr>
            <w:tcW w:w="118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基础减振、低噪设备、加强保养</w:t>
            </w:r>
          </w:p>
        </w:tc>
        <w:tc>
          <w:tcPr>
            <w:tcW w:w="2520"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《工业企业厂界环境噪声排放标准》（GB12348-2008）3</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振动</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c>
          <w:tcPr>
            <w:tcW w:w="1187"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c>
          <w:tcPr>
            <w:tcW w:w="2520"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大气环境</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严格按照《岳阳市扬尘污染防治条例》</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（2019 年第3号）防治要求执行</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符合《岳阳市扬尘污染防治条例》</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（2019 年第3 号）防治要求</w:t>
            </w:r>
          </w:p>
        </w:tc>
        <w:tc>
          <w:tcPr>
            <w:tcW w:w="118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c>
          <w:tcPr>
            <w:tcW w:w="2520"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固体废物</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建筑垃圾尽量回收利用，不能利用的由渣土公司运至指定地点堆放；生活垃圾经收集后由环卫部门清运处理</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综合利用，合理处置、达到环保要求</w:t>
            </w:r>
          </w:p>
        </w:tc>
        <w:tc>
          <w:tcPr>
            <w:tcW w:w="118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eastAsia="宋体" w:cs="Times New Roman"/>
                <w:bCs/>
                <w:color w:val="auto"/>
                <w:sz w:val="21"/>
                <w:szCs w:val="21"/>
                <w:u w:val="single" w:color="auto"/>
                <w:lang w:val="en-US" w:eastAsia="zh-CN"/>
              </w:rPr>
              <w:t>生活垃圾经垃圾桶收集后运</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eastAsia="宋体" w:cs="Times New Roman"/>
                <w:bCs/>
                <w:color w:val="auto"/>
                <w:sz w:val="21"/>
                <w:szCs w:val="21"/>
                <w:u w:val="single" w:color="auto"/>
                <w:lang w:val="en-US" w:eastAsia="zh-CN"/>
              </w:rPr>
              <w:t>至生活垃圾站</w:t>
            </w:r>
          </w:p>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p>
        </w:tc>
        <w:tc>
          <w:tcPr>
            <w:tcW w:w="2520"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合理收集、定期清运，达到环保要求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电磁环境</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c>
          <w:tcPr>
            <w:tcW w:w="1187"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c>
          <w:tcPr>
            <w:tcW w:w="2520"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环境风险</w:t>
            </w:r>
          </w:p>
        </w:tc>
        <w:tc>
          <w:tcPr>
            <w:tcW w:w="2155"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c>
          <w:tcPr>
            <w:tcW w:w="1881"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c>
          <w:tcPr>
            <w:tcW w:w="1187"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c>
          <w:tcPr>
            <w:tcW w:w="2520"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eastAsia" w:ascii="Times New Roman" w:hAnsi="Times New Roman" w:cs="Times New Roman"/>
                <w:bCs/>
                <w:color w:val="auto"/>
                <w:sz w:val="21"/>
                <w:szCs w:val="21"/>
                <w:u w:val="singl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977"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环境监测</w:t>
            </w:r>
          </w:p>
        </w:tc>
        <w:tc>
          <w:tcPr>
            <w:tcW w:w="2155" w:type="dxa"/>
            <w:vAlign w:val="center"/>
          </w:tcPr>
          <w:p>
            <w:pPr>
              <w:pStyle w:val="109"/>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厂界四周声环境</w:t>
            </w:r>
          </w:p>
        </w:tc>
        <w:tc>
          <w:tcPr>
            <w:tcW w:w="1881" w:type="dxa"/>
            <w:vAlign w:val="center"/>
          </w:tcPr>
          <w:p>
            <w:pPr>
              <w:pStyle w:val="109"/>
              <w:spacing w:line="240" w:lineRule="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达标</w:t>
            </w:r>
          </w:p>
        </w:tc>
        <w:tc>
          <w:tcPr>
            <w:tcW w:w="1187" w:type="dxa"/>
            <w:vAlign w:val="center"/>
          </w:tcPr>
          <w:p>
            <w:pPr>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sz w:val="21"/>
                <w:szCs w:val="21"/>
                <w:u w:val="single" w:color="auto"/>
              </w:rPr>
            </w:pPr>
            <w:r>
              <w:rPr>
                <w:rFonts w:hint="default" w:ascii="Times New Roman" w:hAnsi="Times New Roman" w:eastAsia="宋体" w:cs="Times New Roman"/>
                <w:bCs/>
                <w:color w:val="auto"/>
                <w:sz w:val="21"/>
                <w:szCs w:val="21"/>
                <w:u w:val="single" w:color="auto"/>
              </w:rPr>
              <w:t>厂界噪声</w:t>
            </w:r>
          </w:p>
        </w:tc>
        <w:tc>
          <w:tcPr>
            <w:tcW w:w="2520"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rPr>
              <w:t>噪声：《工业企业厂界环境噪声排放标准》（GB12348-2008）3类标准</w:t>
            </w:r>
            <w:r>
              <w:rPr>
                <w:rFonts w:hint="eastAsia" w:ascii="Times New Roman" w:hAnsi="Times New Roman" w:cs="Times New Roman"/>
                <w:bCs/>
                <w:color w:val="auto"/>
                <w:sz w:val="21"/>
                <w:szCs w:val="21"/>
                <w:u w:val="single" w:color="auto"/>
                <w:lang w:eastAsia="zh-CN"/>
              </w:rPr>
              <w:t>，</w:t>
            </w:r>
            <w:r>
              <w:rPr>
                <w:rFonts w:hint="eastAsia" w:ascii="Times New Roman" w:hAnsi="Times New Roman" w:cs="Times New Roman"/>
                <w:bCs/>
                <w:color w:val="auto"/>
                <w:sz w:val="21"/>
                <w:szCs w:val="21"/>
                <w:u w:val="single" w:color="auto"/>
                <w:lang w:val="en-US" w:eastAsia="zh-CN"/>
              </w:rPr>
              <w:t>临马路一侧执行4类标准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7" w:type="dxa"/>
          </w:tcPr>
          <w:p>
            <w:pPr>
              <w:keepNext w:val="0"/>
              <w:keepLines w:val="0"/>
              <w:pageBreakBefore w:val="0"/>
              <w:kinsoku/>
              <w:wordWrap/>
              <w:overflowPunct/>
              <w:topLinePunct w:val="0"/>
              <w:autoSpaceDE/>
              <w:autoSpaceDN/>
              <w:bidi w:val="0"/>
              <w:spacing w:line="288" w:lineRule="auto"/>
              <w:ind w:firstLine="0" w:firstLineChars="0"/>
              <w:jc w:val="both"/>
              <w:textAlignment w:val="auto"/>
              <w:rPr>
                <w:rFonts w:hint="default" w:ascii="Times New Roman" w:hAnsi="Times New Roman" w:eastAsia="宋体" w:cs="Times New Roman"/>
                <w:bCs/>
                <w:color w:val="auto"/>
                <w:sz w:val="21"/>
                <w:szCs w:val="21"/>
                <w:u w:val="single" w:color="auto"/>
              </w:rPr>
            </w:pPr>
            <w:bookmarkStart w:id="31" w:name="_Toc94"/>
            <w:r>
              <w:rPr>
                <w:rFonts w:hint="default" w:ascii="Times New Roman" w:hAnsi="Times New Roman" w:eastAsia="宋体" w:cs="Times New Roman"/>
                <w:bCs/>
                <w:color w:val="auto"/>
                <w:sz w:val="21"/>
                <w:szCs w:val="21"/>
                <w:u w:val="single" w:color="auto"/>
              </w:rPr>
              <w:t>其他</w:t>
            </w:r>
          </w:p>
        </w:tc>
        <w:tc>
          <w:tcPr>
            <w:tcW w:w="2155" w:type="dxa"/>
            <w:vAlign w:val="center"/>
          </w:tcPr>
          <w:p>
            <w:pPr>
              <w:pStyle w:val="109"/>
              <w:rPr>
                <w:rFonts w:hint="eastAsia" w:eastAsia="宋体"/>
                <w:color w:val="auto"/>
                <w:u w:val="single" w:color="auto"/>
                <w:lang w:val="en-US" w:eastAsia="zh-CN"/>
              </w:rPr>
            </w:pPr>
            <w:r>
              <w:rPr>
                <w:rFonts w:hint="eastAsia"/>
                <w:color w:val="auto"/>
                <w:u w:val="single" w:color="auto"/>
                <w:lang w:val="en-US" w:eastAsia="zh-CN"/>
              </w:rPr>
              <w:t>/</w:t>
            </w:r>
          </w:p>
        </w:tc>
        <w:tc>
          <w:tcPr>
            <w:tcW w:w="1881" w:type="dxa"/>
            <w:vAlign w:val="center"/>
          </w:tcPr>
          <w:p>
            <w:pPr>
              <w:rPr>
                <w:rFonts w:hint="eastAsia"/>
                <w:color w:val="auto"/>
                <w:u w:val="single" w:color="auto"/>
              </w:rPr>
            </w:pPr>
            <w:r>
              <w:rPr>
                <w:rFonts w:hint="eastAsia" w:ascii="Times New Roman" w:hAnsi="Times New Roman" w:cs="Times New Roman"/>
                <w:bCs/>
                <w:color w:val="auto"/>
                <w:sz w:val="21"/>
                <w:szCs w:val="21"/>
                <w:u w:val="single" w:color="auto"/>
                <w:lang w:val="en-US" w:eastAsia="zh-CN"/>
              </w:rPr>
              <w:t>/</w:t>
            </w:r>
          </w:p>
        </w:tc>
        <w:tc>
          <w:tcPr>
            <w:tcW w:w="1187" w:type="dxa"/>
          </w:tcPr>
          <w:p>
            <w:pPr>
              <w:keepNext w:val="0"/>
              <w:keepLines w:val="0"/>
              <w:pageBreakBefore w:val="0"/>
              <w:widowControl/>
              <w:kinsoku/>
              <w:wordWrap/>
              <w:overflowPunct/>
              <w:topLinePunct w:val="0"/>
              <w:autoSpaceDE/>
              <w:autoSpaceDN/>
              <w:bidi w:val="0"/>
              <w:adjustRightInd/>
              <w:snapToGrid/>
              <w:spacing w:line="360" w:lineRule="auto"/>
              <w:ind w:right="87"/>
              <w:jc w:val="center"/>
              <w:textAlignment w:val="auto"/>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c>
          <w:tcPr>
            <w:tcW w:w="2520" w:type="dxa"/>
          </w:tcPr>
          <w:p>
            <w:pPr>
              <w:keepNext w:val="0"/>
              <w:keepLines w:val="0"/>
              <w:pageBreakBefore w:val="0"/>
              <w:widowControl/>
              <w:kinsoku/>
              <w:wordWrap/>
              <w:overflowPunct/>
              <w:topLinePunct w:val="0"/>
              <w:autoSpaceDE/>
              <w:autoSpaceDN/>
              <w:bidi w:val="0"/>
              <w:adjustRightInd/>
              <w:snapToGrid/>
              <w:spacing w:line="360" w:lineRule="auto"/>
              <w:ind w:right="87"/>
              <w:jc w:val="center"/>
              <w:textAlignment w:val="auto"/>
              <w:rPr>
                <w:rFonts w:hint="default" w:ascii="Times New Roman" w:hAnsi="Times New Roman" w:eastAsia="宋体" w:cs="Times New Roman"/>
                <w:bCs/>
                <w:color w:val="auto"/>
                <w:sz w:val="21"/>
                <w:szCs w:val="21"/>
                <w:u w:val="single" w:color="auto"/>
                <w:lang w:val="en-US" w:eastAsia="zh-CN"/>
              </w:rPr>
            </w:pPr>
            <w:r>
              <w:rPr>
                <w:rFonts w:hint="eastAsia" w:ascii="Times New Roman" w:hAnsi="Times New Roman" w:cs="Times New Roman"/>
                <w:bCs/>
                <w:color w:val="auto"/>
                <w:sz w:val="21"/>
                <w:szCs w:val="21"/>
                <w:u w:val="single" w:color="auto"/>
                <w:lang w:val="en-US" w:eastAsia="zh-CN"/>
              </w:rPr>
              <w:t>/</w:t>
            </w:r>
          </w:p>
        </w:tc>
      </w:tr>
      <w:bookmarkEnd w:id="31"/>
    </w:tbl>
    <w:p>
      <w:pPr>
        <w:rPr>
          <w:rFonts w:hint="eastAsia" w:ascii="宋体" w:hAnsi="宋体" w:eastAsia="宋体" w:cs="宋体"/>
          <w:b/>
          <w:bCs/>
          <w:snapToGrid w:val="0"/>
          <w:color w:val="auto"/>
          <w:sz w:val="30"/>
          <w:szCs w:val="30"/>
          <w:u w:val="none" w:color="auto"/>
        </w:rPr>
      </w:pPr>
      <w:r>
        <w:rPr>
          <w:rFonts w:hint="eastAsia" w:ascii="宋体" w:hAnsi="宋体" w:eastAsia="宋体" w:cs="宋体"/>
          <w:b/>
          <w:bCs/>
          <w:snapToGrid w:val="0"/>
          <w:color w:val="auto"/>
          <w:sz w:val="30"/>
          <w:szCs w:val="30"/>
          <w:u w:val="none" w:color="auto"/>
        </w:rPr>
        <w:br w:type="page"/>
      </w:r>
    </w:p>
    <w:p>
      <w:pPr>
        <w:pStyle w:val="27"/>
        <w:spacing w:line="240" w:lineRule="auto"/>
        <w:jc w:val="center"/>
        <w:outlineLvl w:val="0"/>
        <w:rPr>
          <w:rFonts w:hint="eastAsia" w:ascii="宋体" w:hAnsi="宋体" w:eastAsia="宋体" w:cs="宋体"/>
          <w:b/>
          <w:bCs/>
          <w:snapToGrid w:val="0"/>
          <w:color w:val="auto"/>
          <w:sz w:val="30"/>
          <w:szCs w:val="30"/>
          <w:u w:val="none" w:color="auto"/>
        </w:rPr>
      </w:pPr>
      <w:bookmarkStart w:id="32" w:name="_Toc25385"/>
      <w:r>
        <w:rPr>
          <w:rFonts w:hint="eastAsia" w:ascii="宋体" w:hAnsi="宋体" w:eastAsia="宋体" w:cs="宋体"/>
          <w:b/>
          <w:bCs/>
          <w:snapToGrid w:val="0"/>
          <w:color w:val="auto"/>
          <w:sz w:val="30"/>
          <w:szCs w:val="30"/>
          <w:u w:val="none" w:color="auto"/>
        </w:rPr>
        <w:t>七、结论</w:t>
      </w:r>
      <w:bookmarkEnd w:id="32"/>
    </w:p>
    <w:tbl>
      <w:tblPr>
        <w:tblStyle w:val="30"/>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98" w:hRule="atLeast"/>
          <w:jc w:val="center"/>
        </w:trPr>
        <w:tc>
          <w:tcPr>
            <w:tcW w:w="8720" w:type="dxa"/>
          </w:tcPr>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ascii="Times New Roman" w:hAnsi="Times New Roman"/>
                <w:color w:val="auto"/>
                <w:sz w:val="24"/>
                <w:szCs w:val="24"/>
                <w:u w:val="none" w:color="auto"/>
              </w:rPr>
            </w:pPr>
            <w:r>
              <w:rPr>
                <w:rFonts w:hint="eastAsia" w:ascii="Times New Roman" w:hAnsi="Times New Roman"/>
                <w:color w:val="auto"/>
                <w:sz w:val="24"/>
                <w:szCs w:val="24"/>
                <w:u w:val="none" w:color="auto"/>
              </w:rPr>
              <w:t>本项目符合国家产业发展政策，符合</w:t>
            </w:r>
            <w:r>
              <w:rPr>
                <w:rFonts w:hint="default" w:ascii="Times New Roman" w:hAnsi="Times New Roman" w:cs="Times New Roman"/>
                <w:color w:val="auto"/>
                <w:kern w:val="0"/>
                <w:sz w:val="24"/>
                <w:u w:val="none" w:color="auto"/>
              </w:rPr>
              <w:t>长沙临港产业开发区</w:t>
            </w:r>
            <w:r>
              <w:rPr>
                <w:rFonts w:hint="eastAsia" w:ascii="Times New Roman" w:hAnsi="Times New Roman"/>
                <w:color w:val="auto"/>
                <w:sz w:val="24"/>
                <w:szCs w:val="24"/>
                <w:u w:val="none" w:color="auto"/>
              </w:rPr>
              <w:t>规划</w:t>
            </w:r>
            <w:r>
              <w:rPr>
                <w:rFonts w:hint="eastAsia" w:ascii="Times New Roman" w:hAnsi="Times New Roman"/>
                <w:color w:val="auto"/>
                <w:sz w:val="24"/>
                <w:szCs w:val="24"/>
                <w:u w:val="none" w:color="auto"/>
                <w:lang w:val="en-US" w:eastAsia="zh-CN"/>
              </w:rPr>
              <w:t>及规划环评要求</w:t>
            </w:r>
            <w:r>
              <w:rPr>
                <w:rFonts w:hint="eastAsia" w:ascii="Times New Roman" w:hAnsi="Times New Roman"/>
                <w:color w:val="auto"/>
                <w:sz w:val="24"/>
                <w:szCs w:val="24"/>
                <w:u w:val="none" w:color="auto"/>
              </w:rPr>
              <w:t>。项目施工期和营运期产生的污染物在按本报告表中所提出的措施及方案进行治理、控制，并加强内部管理，实现环保设施的稳定运行，确保污染物达标排放的前提下，项目对周围环境不会产生不利影响。因此，从环境保护、发展经济地角度来看，本项目建设是可行的。</w:t>
            </w:r>
          </w:p>
          <w:p>
            <w:pPr>
              <w:adjustRightInd w:val="0"/>
              <w:snapToGrid w:val="0"/>
              <w:rPr>
                <w:rFonts w:ascii="Times New Roman" w:hAnsi="Times New Roman"/>
                <w:color w:val="auto"/>
                <w:szCs w:val="21"/>
                <w:u w:val="none" w:color="auto"/>
              </w:rPr>
            </w:pPr>
          </w:p>
        </w:tc>
      </w:tr>
    </w:tbl>
    <w:p>
      <w:pPr>
        <w:rPr>
          <w:rFonts w:hint="default"/>
          <w:color w:val="auto"/>
          <w:lang w:val="en-US" w:eastAsia="zh-CN"/>
        </w:rPr>
      </w:pPr>
    </w:p>
    <w:sectPr>
      <w:pgSz w:w="11906" w:h="16838"/>
      <w:pgMar w:top="1701" w:right="1701" w:bottom="1701" w:left="170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right"/>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65</w:t>
                          </w:r>
                          <w:r>
                            <w:rPr>
                              <w:rFonts w:hint="default" w:ascii="Times New Roman" w:hAnsi="Times New Roman" w:cs="Times New Roman"/>
                              <w:sz w:val="21"/>
                              <w:szCs w:val="21"/>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1"/>
                      <w:jc w:val="right"/>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65</w:t>
                    </w:r>
                    <w:r>
                      <w:rPr>
                        <w:rFonts w:hint="default" w:ascii="Times New Roman" w:hAnsi="Times New Roman" w:cs="Times New Roman"/>
                        <w:sz w:val="21"/>
                        <w:szCs w:val="21"/>
                        <w:lang w:val="zh-CN"/>
                      </w:rPr>
                      <w:fldChar w:fldCharType="end"/>
                    </w:r>
                  </w:p>
                </w:txbxContent>
              </v:textbox>
            </v:shape>
          </w:pict>
        </mc:Fallback>
      </mc:AlternateContent>
    </w:r>
  </w:p>
  <w:p>
    <w:pPr>
      <w:pStyle w:val="2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51283"/>
    <w:multiLevelType w:val="singleLevel"/>
    <w:tmpl w:val="95E51283"/>
    <w:lvl w:ilvl="0" w:tentative="0">
      <w:start w:val="2"/>
      <w:numFmt w:val="decimal"/>
      <w:suff w:val="nothing"/>
      <w:lvlText w:val="%1、"/>
      <w:lvlJc w:val="left"/>
    </w:lvl>
  </w:abstractNum>
  <w:abstractNum w:abstractNumId="1">
    <w:nsid w:val="ED3106BB"/>
    <w:multiLevelType w:val="singleLevel"/>
    <w:tmpl w:val="ED3106BB"/>
    <w:lvl w:ilvl="0" w:tentative="0">
      <w:start w:val="1"/>
      <w:numFmt w:val="decimal"/>
      <w:suff w:val="nothing"/>
      <w:lvlText w:val="%1、"/>
      <w:lvlJc w:val="left"/>
    </w:lvl>
  </w:abstractNum>
  <w:abstractNum w:abstractNumId="2">
    <w:nsid w:val="00BA7AFC"/>
    <w:multiLevelType w:val="multilevel"/>
    <w:tmpl w:val="00BA7AFC"/>
    <w:lvl w:ilvl="0" w:tentative="0">
      <w:start w:val="1"/>
      <w:numFmt w:val="decimal"/>
      <w:lvlText w:val="%1"/>
      <w:lvlJc w:val="left"/>
      <w:pPr>
        <w:ind w:left="432" w:hanging="432"/>
      </w:pPr>
      <w:rPr>
        <w:rFonts w:hint="default"/>
      </w:rPr>
    </w:lvl>
    <w:lvl w:ilvl="1" w:tentative="0">
      <w:start w:val="1"/>
      <w:numFmt w:val="decimal"/>
      <w:lvlText w:val="%1.%2"/>
      <w:lvlJc w:val="left"/>
      <w:pPr>
        <w:ind w:left="576" w:hanging="576"/>
      </w:pPr>
      <w:rPr>
        <w:rFonts w:hint="default" w:ascii="Times New Roman" w:hAnsi="Times New Roman" w:cs="Times New Roman"/>
      </w:rPr>
    </w:lvl>
    <w:lvl w:ilvl="2" w:tentative="0">
      <w:start w:val="1"/>
      <w:numFmt w:val="decimal"/>
      <w:lvlText w:val="%1.%2.%3"/>
      <w:lvlJc w:val="left"/>
      <w:pPr>
        <w:ind w:left="720" w:hanging="720"/>
      </w:pPr>
      <w:rPr>
        <w:rFonts w:hint="default" w:ascii="Times New Roman" w:hAnsi="Times New Roman" w:cs="Times New Roman"/>
      </w:rPr>
    </w:lvl>
    <w:lvl w:ilvl="3" w:tentative="0">
      <w:start w:val="1"/>
      <w:numFmt w:val="chineseCountingThousand"/>
      <w:pStyle w:val="8"/>
      <w:lvlText w:val="(%4)"/>
      <w:lvlJc w:val="left"/>
      <w:pPr>
        <w:ind w:left="864" w:hanging="864"/>
      </w:pPr>
      <w:rPr>
        <w:sz w:val="24"/>
        <w:szCs w:val="24"/>
      </w:rPr>
    </w:lvl>
    <w:lvl w:ilvl="4" w:tentative="0">
      <w:start w:val="1"/>
      <w:numFmt w:val="decimal"/>
      <w:lvlText w:val="%5."/>
      <w:lvlJc w:val="left"/>
      <w:pPr>
        <w:ind w:left="1717" w:hanging="1008"/>
      </w:pPr>
    </w:lvl>
    <w:lvl w:ilvl="5" w:tentative="0">
      <w:start w:val="1"/>
      <w:numFmt w:val="lowerLetter"/>
      <w:pStyle w:val="10"/>
      <w:lvlText w:val="%6）"/>
      <w:lvlJc w:val="left"/>
      <w:pPr>
        <w:ind w:left="420" w:hanging="420"/>
      </w:pPr>
      <w:rPr>
        <w:rFonts w:hint="eastAsia"/>
      </w:rPr>
    </w:lvl>
    <w:lvl w:ilvl="6" w:tentative="0">
      <w:start w:val="1"/>
      <w:numFmt w:val="bullet"/>
      <w:lvlText w:val=""/>
      <w:lvlJc w:val="left"/>
      <w:pPr>
        <w:ind w:left="420" w:hanging="420"/>
      </w:pPr>
      <w:rPr>
        <w:rFonts w:hint="default" w:ascii="Wingdings" w:hAnsi="Wingdings"/>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3">
    <w:nsid w:val="078C5345"/>
    <w:multiLevelType w:val="singleLevel"/>
    <w:tmpl w:val="078C5345"/>
    <w:lvl w:ilvl="0" w:tentative="0">
      <w:start w:val="2"/>
      <w:numFmt w:val="decimal"/>
      <w:suff w:val="nothing"/>
      <w:lvlText w:val="%1）"/>
      <w:lvlJc w:val="left"/>
    </w:lvl>
  </w:abstractNum>
  <w:abstractNum w:abstractNumId="4">
    <w:nsid w:val="48E24BED"/>
    <w:multiLevelType w:val="singleLevel"/>
    <w:tmpl w:val="48E24BED"/>
    <w:lvl w:ilvl="0" w:tentative="0">
      <w:start w:val="1"/>
      <w:numFmt w:val="decimal"/>
      <w:suff w:val="nothing"/>
      <w:lvlText w:val="%1、"/>
      <w:lvlJc w:val="left"/>
    </w:lvl>
  </w:abstractNum>
  <w:abstractNum w:abstractNumId="5">
    <w:nsid w:val="5008C39B"/>
    <w:multiLevelType w:val="singleLevel"/>
    <w:tmpl w:val="5008C39B"/>
    <w:lvl w:ilvl="0" w:tentative="0">
      <w:start w:val="1"/>
      <w:numFmt w:val="chineseCounting"/>
      <w:suff w:val="nothing"/>
      <w:lvlText w:val="（%1）"/>
      <w:lvlJc w:val="left"/>
      <w:rPr>
        <w:rFonts w:hint="eastAsia"/>
      </w:rPr>
    </w:lvl>
  </w:abstractNum>
  <w:abstractNum w:abstractNumId="6">
    <w:nsid w:val="63CB432E"/>
    <w:multiLevelType w:val="singleLevel"/>
    <w:tmpl w:val="63CB432E"/>
    <w:lvl w:ilvl="0" w:tentative="0">
      <w:start w:val="2"/>
      <w:numFmt w:val="decimal"/>
      <w:suff w:val="nothing"/>
      <w:lvlText w:val="（%1）"/>
      <w:lvlJc w:val="left"/>
    </w:lvl>
  </w:abstractNum>
  <w:num w:numId="1">
    <w:abstractNumId w:val="2"/>
  </w:num>
  <w:num w:numId="2">
    <w:abstractNumId w:val="4"/>
  </w:num>
  <w:num w:numId="3">
    <w:abstractNumId w:val="0"/>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1"/>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jMmQxYmZkYTgwMzQxZDg1Yjk0YmJmNzczYWIyNzYifQ=="/>
  </w:docVars>
  <w:rsids>
    <w:rsidRoot w:val="00172A27"/>
    <w:rsid w:val="0000049D"/>
    <w:rsid w:val="00001CED"/>
    <w:rsid w:val="00001E67"/>
    <w:rsid w:val="00003CD8"/>
    <w:rsid w:val="0000635B"/>
    <w:rsid w:val="000122FB"/>
    <w:rsid w:val="00014965"/>
    <w:rsid w:val="00014FAF"/>
    <w:rsid w:val="0001523A"/>
    <w:rsid w:val="00015E6F"/>
    <w:rsid w:val="00016ECB"/>
    <w:rsid w:val="0002562E"/>
    <w:rsid w:val="000269F6"/>
    <w:rsid w:val="00027612"/>
    <w:rsid w:val="00030545"/>
    <w:rsid w:val="00030CF4"/>
    <w:rsid w:val="00031939"/>
    <w:rsid w:val="00032D25"/>
    <w:rsid w:val="0005219D"/>
    <w:rsid w:val="0005568F"/>
    <w:rsid w:val="0006153D"/>
    <w:rsid w:val="00061B1F"/>
    <w:rsid w:val="000664DB"/>
    <w:rsid w:val="000700B7"/>
    <w:rsid w:val="0007127D"/>
    <w:rsid w:val="00071AE5"/>
    <w:rsid w:val="00073197"/>
    <w:rsid w:val="00074783"/>
    <w:rsid w:val="000801E0"/>
    <w:rsid w:val="00080978"/>
    <w:rsid w:val="00082A29"/>
    <w:rsid w:val="0008331D"/>
    <w:rsid w:val="00083C18"/>
    <w:rsid w:val="00085FF6"/>
    <w:rsid w:val="00087EE2"/>
    <w:rsid w:val="000907DB"/>
    <w:rsid w:val="00092899"/>
    <w:rsid w:val="000931DB"/>
    <w:rsid w:val="00095A7C"/>
    <w:rsid w:val="000A178E"/>
    <w:rsid w:val="000A312B"/>
    <w:rsid w:val="000A43F4"/>
    <w:rsid w:val="000A4751"/>
    <w:rsid w:val="000A557E"/>
    <w:rsid w:val="000B058F"/>
    <w:rsid w:val="000B693F"/>
    <w:rsid w:val="000C09AC"/>
    <w:rsid w:val="000C0A63"/>
    <w:rsid w:val="000C437E"/>
    <w:rsid w:val="000C6006"/>
    <w:rsid w:val="000C7496"/>
    <w:rsid w:val="000D57E3"/>
    <w:rsid w:val="000E06B5"/>
    <w:rsid w:val="000E0C0C"/>
    <w:rsid w:val="000E5F16"/>
    <w:rsid w:val="000F4452"/>
    <w:rsid w:val="000F6DA1"/>
    <w:rsid w:val="000F701B"/>
    <w:rsid w:val="001056A0"/>
    <w:rsid w:val="00115279"/>
    <w:rsid w:val="00117459"/>
    <w:rsid w:val="0011749A"/>
    <w:rsid w:val="00120C68"/>
    <w:rsid w:val="00127A68"/>
    <w:rsid w:val="0013639A"/>
    <w:rsid w:val="00136C7A"/>
    <w:rsid w:val="00140062"/>
    <w:rsid w:val="001403DA"/>
    <w:rsid w:val="00140B13"/>
    <w:rsid w:val="0014105C"/>
    <w:rsid w:val="00141B68"/>
    <w:rsid w:val="00145CD1"/>
    <w:rsid w:val="001466DA"/>
    <w:rsid w:val="00146A6B"/>
    <w:rsid w:val="00150295"/>
    <w:rsid w:val="001528C3"/>
    <w:rsid w:val="00154DE1"/>
    <w:rsid w:val="00155B40"/>
    <w:rsid w:val="00157435"/>
    <w:rsid w:val="00160740"/>
    <w:rsid w:val="001620FF"/>
    <w:rsid w:val="00162130"/>
    <w:rsid w:val="00163EEA"/>
    <w:rsid w:val="00167A07"/>
    <w:rsid w:val="0017046A"/>
    <w:rsid w:val="001704A3"/>
    <w:rsid w:val="001739B9"/>
    <w:rsid w:val="0017504D"/>
    <w:rsid w:val="001772CF"/>
    <w:rsid w:val="00177422"/>
    <w:rsid w:val="00183063"/>
    <w:rsid w:val="00184F10"/>
    <w:rsid w:val="00185546"/>
    <w:rsid w:val="0019146B"/>
    <w:rsid w:val="0019282F"/>
    <w:rsid w:val="00192D94"/>
    <w:rsid w:val="001933A5"/>
    <w:rsid w:val="00194398"/>
    <w:rsid w:val="00196CD0"/>
    <w:rsid w:val="001A70E1"/>
    <w:rsid w:val="001A7D2A"/>
    <w:rsid w:val="001B008C"/>
    <w:rsid w:val="001B574C"/>
    <w:rsid w:val="001C0AF9"/>
    <w:rsid w:val="001C155A"/>
    <w:rsid w:val="001C48C0"/>
    <w:rsid w:val="001D2B00"/>
    <w:rsid w:val="001D6470"/>
    <w:rsid w:val="001D6726"/>
    <w:rsid w:val="001D6DDC"/>
    <w:rsid w:val="001D75B0"/>
    <w:rsid w:val="001E0F6C"/>
    <w:rsid w:val="001E492C"/>
    <w:rsid w:val="001E4B72"/>
    <w:rsid w:val="001F22B1"/>
    <w:rsid w:val="001F3347"/>
    <w:rsid w:val="001F4440"/>
    <w:rsid w:val="001F69E4"/>
    <w:rsid w:val="00202AB9"/>
    <w:rsid w:val="002056BF"/>
    <w:rsid w:val="00205E6D"/>
    <w:rsid w:val="00206A65"/>
    <w:rsid w:val="002078F0"/>
    <w:rsid w:val="00207DF7"/>
    <w:rsid w:val="00207FAC"/>
    <w:rsid w:val="00210A1E"/>
    <w:rsid w:val="00212D31"/>
    <w:rsid w:val="002130C7"/>
    <w:rsid w:val="002138D3"/>
    <w:rsid w:val="002218A8"/>
    <w:rsid w:val="0022306D"/>
    <w:rsid w:val="00226574"/>
    <w:rsid w:val="002278EC"/>
    <w:rsid w:val="002278FA"/>
    <w:rsid w:val="002301CF"/>
    <w:rsid w:val="002357C7"/>
    <w:rsid w:val="002367C4"/>
    <w:rsid w:val="00240972"/>
    <w:rsid w:val="002438DD"/>
    <w:rsid w:val="002446AE"/>
    <w:rsid w:val="002456A8"/>
    <w:rsid w:val="00250875"/>
    <w:rsid w:val="00250DDC"/>
    <w:rsid w:val="002519F9"/>
    <w:rsid w:val="0025679E"/>
    <w:rsid w:val="00260BDB"/>
    <w:rsid w:val="00260C68"/>
    <w:rsid w:val="002648B0"/>
    <w:rsid w:val="00264E69"/>
    <w:rsid w:val="00265D45"/>
    <w:rsid w:val="002674AF"/>
    <w:rsid w:val="002702C5"/>
    <w:rsid w:val="00271511"/>
    <w:rsid w:val="00272DB3"/>
    <w:rsid w:val="00275271"/>
    <w:rsid w:val="0027535E"/>
    <w:rsid w:val="00275AA6"/>
    <w:rsid w:val="002779A8"/>
    <w:rsid w:val="00277B4B"/>
    <w:rsid w:val="002807D5"/>
    <w:rsid w:val="00282CCD"/>
    <w:rsid w:val="00283688"/>
    <w:rsid w:val="00285BB1"/>
    <w:rsid w:val="00291163"/>
    <w:rsid w:val="00291DD9"/>
    <w:rsid w:val="0029481D"/>
    <w:rsid w:val="002965DF"/>
    <w:rsid w:val="0029671A"/>
    <w:rsid w:val="002A168C"/>
    <w:rsid w:val="002A196B"/>
    <w:rsid w:val="002A2C48"/>
    <w:rsid w:val="002A3EED"/>
    <w:rsid w:val="002A4A39"/>
    <w:rsid w:val="002A519C"/>
    <w:rsid w:val="002A5A17"/>
    <w:rsid w:val="002A6425"/>
    <w:rsid w:val="002A6ED6"/>
    <w:rsid w:val="002A737F"/>
    <w:rsid w:val="002B49E2"/>
    <w:rsid w:val="002B544A"/>
    <w:rsid w:val="002B7B00"/>
    <w:rsid w:val="002B7C44"/>
    <w:rsid w:val="002B7E47"/>
    <w:rsid w:val="002C1388"/>
    <w:rsid w:val="002C3C6A"/>
    <w:rsid w:val="002D0C12"/>
    <w:rsid w:val="002D42DB"/>
    <w:rsid w:val="002E09B6"/>
    <w:rsid w:val="002E1F3A"/>
    <w:rsid w:val="002E298A"/>
    <w:rsid w:val="002F02A4"/>
    <w:rsid w:val="002F272B"/>
    <w:rsid w:val="002F7C6D"/>
    <w:rsid w:val="003024BA"/>
    <w:rsid w:val="003027E4"/>
    <w:rsid w:val="0030332C"/>
    <w:rsid w:val="00312296"/>
    <w:rsid w:val="0031340E"/>
    <w:rsid w:val="003161DC"/>
    <w:rsid w:val="00316464"/>
    <w:rsid w:val="0032073A"/>
    <w:rsid w:val="00321D8E"/>
    <w:rsid w:val="00323418"/>
    <w:rsid w:val="00326159"/>
    <w:rsid w:val="00326E5B"/>
    <w:rsid w:val="00332252"/>
    <w:rsid w:val="00334996"/>
    <w:rsid w:val="00336969"/>
    <w:rsid w:val="003369FE"/>
    <w:rsid w:val="00336C52"/>
    <w:rsid w:val="00341B3E"/>
    <w:rsid w:val="00341B42"/>
    <w:rsid w:val="003446B0"/>
    <w:rsid w:val="00344802"/>
    <w:rsid w:val="00345154"/>
    <w:rsid w:val="0034560E"/>
    <w:rsid w:val="00350523"/>
    <w:rsid w:val="0035113C"/>
    <w:rsid w:val="00352975"/>
    <w:rsid w:val="00354830"/>
    <w:rsid w:val="00356868"/>
    <w:rsid w:val="003575F7"/>
    <w:rsid w:val="00360B5F"/>
    <w:rsid w:val="0036485B"/>
    <w:rsid w:val="00373B0D"/>
    <w:rsid w:val="00376988"/>
    <w:rsid w:val="00377002"/>
    <w:rsid w:val="0038071D"/>
    <w:rsid w:val="00381A72"/>
    <w:rsid w:val="00384480"/>
    <w:rsid w:val="003868F5"/>
    <w:rsid w:val="0039417F"/>
    <w:rsid w:val="0039558C"/>
    <w:rsid w:val="003957BC"/>
    <w:rsid w:val="003A1948"/>
    <w:rsid w:val="003A6EC0"/>
    <w:rsid w:val="003B0E3E"/>
    <w:rsid w:val="003B138E"/>
    <w:rsid w:val="003B152A"/>
    <w:rsid w:val="003B545B"/>
    <w:rsid w:val="003B6955"/>
    <w:rsid w:val="003C6991"/>
    <w:rsid w:val="003C6FC0"/>
    <w:rsid w:val="003C73C4"/>
    <w:rsid w:val="003D3EE9"/>
    <w:rsid w:val="003E3E8D"/>
    <w:rsid w:val="003E6892"/>
    <w:rsid w:val="003E7681"/>
    <w:rsid w:val="003F0809"/>
    <w:rsid w:val="003F3BBE"/>
    <w:rsid w:val="003F611C"/>
    <w:rsid w:val="003F755C"/>
    <w:rsid w:val="003F77E2"/>
    <w:rsid w:val="00404874"/>
    <w:rsid w:val="00406F01"/>
    <w:rsid w:val="004118AA"/>
    <w:rsid w:val="00411B36"/>
    <w:rsid w:val="004121D7"/>
    <w:rsid w:val="00412CA4"/>
    <w:rsid w:val="0041396F"/>
    <w:rsid w:val="004141E3"/>
    <w:rsid w:val="004150B9"/>
    <w:rsid w:val="00416D50"/>
    <w:rsid w:val="00417772"/>
    <w:rsid w:val="00420E6A"/>
    <w:rsid w:val="00427785"/>
    <w:rsid w:val="00431B43"/>
    <w:rsid w:val="00433CA9"/>
    <w:rsid w:val="0043521D"/>
    <w:rsid w:val="00442024"/>
    <w:rsid w:val="0044254C"/>
    <w:rsid w:val="00443F6A"/>
    <w:rsid w:val="00447C80"/>
    <w:rsid w:val="00450A17"/>
    <w:rsid w:val="004521D7"/>
    <w:rsid w:val="004617A9"/>
    <w:rsid w:val="00462EB1"/>
    <w:rsid w:val="00463515"/>
    <w:rsid w:val="00466321"/>
    <w:rsid w:val="004672AF"/>
    <w:rsid w:val="004727B0"/>
    <w:rsid w:val="00480247"/>
    <w:rsid w:val="0048081D"/>
    <w:rsid w:val="0048117E"/>
    <w:rsid w:val="0048422A"/>
    <w:rsid w:val="00484B44"/>
    <w:rsid w:val="004855F6"/>
    <w:rsid w:val="00486F0C"/>
    <w:rsid w:val="004937FC"/>
    <w:rsid w:val="00494670"/>
    <w:rsid w:val="00497317"/>
    <w:rsid w:val="004A0EB4"/>
    <w:rsid w:val="004A3823"/>
    <w:rsid w:val="004A4164"/>
    <w:rsid w:val="004A59BB"/>
    <w:rsid w:val="004B2024"/>
    <w:rsid w:val="004B43A3"/>
    <w:rsid w:val="004B4C49"/>
    <w:rsid w:val="004B58A5"/>
    <w:rsid w:val="004B5CF8"/>
    <w:rsid w:val="004B63D9"/>
    <w:rsid w:val="004C0594"/>
    <w:rsid w:val="004C0882"/>
    <w:rsid w:val="004C55BE"/>
    <w:rsid w:val="004C5CCB"/>
    <w:rsid w:val="004C64FE"/>
    <w:rsid w:val="004C7A46"/>
    <w:rsid w:val="004D3995"/>
    <w:rsid w:val="004E5B30"/>
    <w:rsid w:val="004E5DF4"/>
    <w:rsid w:val="004F0779"/>
    <w:rsid w:val="004F1230"/>
    <w:rsid w:val="004F173F"/>
    <w:rsid w:val="004F177C"/>
    <w:rsid w:val="004F18CC"/>
    <w:rsid w:val="004F2DCE"/>
    <w:rsid w:val="004F3593"/>
    <w:rsid w:val="004F436D"/>
    <w:rsid w:val="00501616"/>
    <w:rsid w:val="005039CB"/>
    <w:rsid w:val="00504453"/>
    <w:rsid w:val="00504D2E"/>
    <w:rsid w:val="00504ED6"/>
    <w:rsid w:val="0050550D"/>
    <w:rsid w:val="0050558F"/>
    <w:rsid w:val="005057E0"/>
    <w:rsid w:val="00506286"/>
    <w:rsid w:val="00510813"/>
    <w:rsid w:val="005114F1"/>
    <w:rsid w:val="00511DE0"/>
    <w:rsid w:val="00515BD7"/>
    <w:rsid w:val="00517AC4"/>
    <w:rsid w:val="00517CD5"/>
    <w:rsid w:val="00517F02"/>
    <w:rsid w:val="0052337A"/>
    <w:rsid w:val="00524547"/>
    <w:rsid w:val="00524C2D"/>
    <w:rsid w:val="005251E8"/>
    <w:rsid w:val="005258A2"/>
    <w:rsid w:val="005258F0"/>
    <w:rsid w:val="00530F7C"/>
    <w:rsid w:val="005314F8"/>
    <w:rsid w:val="00534567"/>
    <w:rsid w:val="00534F43"/>
    <w:rsid w:val="00535A84"/>
    <w:rsid w:val="00536889"/>
    <w:rsid w:val="00542838"/>
    <w:rsid w:val="00542E07"/>
    <w:rsid w:val="00547A5C"/>
    <w:rsid w:val="00554A7B"/>
    <w:rsid w:val="0055572C"/>
    <w:rsid w:val="00556D89"/>
    <w:rsid w:val="0056064F"/>
    <w:rsid w:val="00561B84"/>
    <w:rsid w:val="0056415D"/>
    <w:rsid w:val="00564321"/>
    <w:rsid w:val="00565984"/>
    <w:rsid w:val="00571D98"/>
    <w:rsid w:val="005720AE"/>
    <w:rsid w:val="00572601"/>
    <w:rsid w:val="0058030D"/>
    <w:rsid w:val="005817A9"/>
    <w:rsid w:val="00582045"/>
    <w:rsid w:val="00590AE3"/>
    <w:rsid w:val="005918F1"/>
    <w:rsid w:val="00592026"/>
    <w:rsid w:val="00596993"/>
    <w:rsid w:val="005A06B7"/>
    <w:rsid w:val="005A0B3B"/>
    <w:rsid w:val="005A1759"/>
    <w:rsid w:val="005B4800"/>
    <w:rsid w:val="005B534C"/>
    <w:rsid w:val="005C0D6F"/>
    <w:rsid w:val="005D0369"/>
    <w:rsid w:val="005D0394"/>
    <w:rsid w:val="005D21AE"/>
    <w:rsid w:val="005D53FE"/>
    <w:rsid w:val="005D7A0F"/>
    <w:rsid w:val="005E0438"/>
    <w:rsid w:val="005E1791"/>
    <w:rsid w:val="005E2CE6"/>
    <w:rsid w:val="005E3666"/>
    <w:rsid w:val="005E5863"/>
    <w:rsid w:val="005E6324"/>
    <w:rsid w:val="005F1CC8"/>
    <w:rsid w:val="005F228B"/>
    <w:rsid w:val="005F29CD"/>
    <w:rsid w:val="005F4DFB"/>
    <w:rsid w:val="005F6CC0"/>
    <w:rsid w:val="00603E5B"/>
    <w:rsid w:val="00604BC8"/>
    <w:rsid w:val="00611E7B"/>
    <w:rsid w:val="0061550C"/>
    <w:rsid w:val="00615710"/>
    <w:rsid w:val="00615B4C"/>
    <w:rsid w:val="00615B5D"/>
    <w:rsid w:val="00615CE4"/>
    <w:rsid w:val="00620308"/>
    <w:rsid w:val="006212BC"/>
    <w:rsid w:val="0062146F"/>
    <w:rsid w:val="006246BB"/>
    <w:rsid w:val="0062785A"/>
    <w:rsid w:val="00630DC7"/>
    <w:rsid w:val="00631EB9"/>
    <w:rsid w:val="00634234"/>
    <w:rsid w:val="006343AF"/>
    <w:rsid w:val="00635068"/>
    <w:rsid w:val="0063634A"/>
    <w:rsid w:val="0064250D"/>
    <w:rsid w:val="00643763"/>
    <w:rsid w:val="00644FFC"/>
    <w:rsid w:val="006534B9"/>
    <w:rsid w:val="006535EB"/>
    <w:rsid w:val="006536A9"/>
    <w:rsid w:val="00662596"/>
    <w:rsid w:val="00663016"/>
    <w:rsid w:val="0066701E"/>
    <w:rsid w:val="00674605"/>
    <w:rsid w:val="006748B8"/>
    <w:rsid w:val="00675B46"/>
    <w:rsid w:val="0067697C"/>
    <w:rsid w:val="00677187"/>
    <w:rsid w:val="00677B81"/>
    <w:rsid w:val="0068535B"/>
    <w:rsid w:val="0068736E"/>
    <w:rsid w:val="0069290A"/>
    <w:rsid w:val="00692AE2"/>
    <w:rsid w:val="00697032"/>
    <w:rsid w:val="006975AC"/>
    <w:rsid w:val="006A0F53"/>
    <w:rsid w:val="006A15FB"/>
    <w:rsid w:val="006A2616"/>
    <w:rsid w:val="006A2F52"/>
    <w:rsid w:val="006A308C"/>
    <w:rsid w:val="006A399A"/>
    <w:rsid w:val="006A5FAF"/>
    <w:rsid w:val="006A72BF"/>
    <w:rsid w:val="006B2EA8"/>
    <w:rsid w:val="006B332A"/>
    <w:rsid w:val="006B33BD"/>
    <w:rsid w:val="006B43BA"/>
    <w:rsid w:val="006B5D03"/>
    <w:rsid w:val="006B6088"/>
    <w:rsid w:val="006C3F75"/>
    <w:rsid w:val="006C4A38"/>
    <w:rsid w:val="006C5BD3"/>
    <w:rsid w:val="006C68CA"/>
    <w:rsid w:val="006D170E"/>
    <w:rsid w:val="006D426E"/>
    <w:rsid w:val="006D6D93"/>
    <w:rsid w:val="006E06AF"/>
    <w:rsid w:val="006F1789"/>
    <w:rsid w:val="00701304"/>
    <w:rsid w:val="00705F90"/>
    <w:rsid w:val="00706C5D"/>
    <w:rsid w:val="00710927"/>
    <w:rsid w:val="007118E6"/>
    <w:rsid w:val="0071205A"/>
    <w:rsid w:val="007167B6"/>
    <w:rsid w:val="007200C4"/>
    <w:rsid w:val="007225C9"/>
    <w:rsid w:val="0072299E"/>
    <w:rsid w:val="00723B81"/>
    <w:rsid w:val="007274C3"/>
    <w:rsid w:val="007303AA"/>
    <w:rsid w:val="00734099"/>
    <w:rsid w:val="00735CD7"/>
    <w:rsid w:val="007374E2"/>
    <w:rsid w:val="00753765"/>
    <w:rsid w:val="00753F5F"/>
    <w:rsid w:val="00754034"/>
    <w:rsid w:val="00754BF1"/>
    <w:rsid w:val="00755A30"/>
    <w:rsid w:val="00755E1C"/>
    <w:rsid w:val="00756556"/>
    <w:rsid w:val="007574EE"/>
    <w:rsid w:val="0076132B"/>
    <w:rsid w:val="0076169A"/>
    <w:rsid w:val="007623AE"/>
    <w:rsid w:val="00764B55"/>
    <w:rsid w:val="00766BED"/>
    <w:rsid w:val="00767054"/>
    <w:rsid w:val="00770B19"/>
    <w:rsid w:val="00773401"/>
    <w:rsid w:val="00774FA0"/>
    <w:rsid w:val="00775AB4"/>
    <w:rsid w:val="00776620"/>
    <w:rsid w:val="00776ACD"/>
    <w:rsid w:val="00776EC8"/>
    <w:rsid w:val="007772FD"/>
    <w:rsid w:val="007773A4"/>
    <w:rsid w:val="00777B6D"/>
    <w:rsid w:val="00783DCC"/>
    <w:rsid w:val="00784855"/>
    <w:rsid w:val="00784F39"/>
    <w:rsid w:val="00785350"/>
    <w:rsid w:val="0078545C"/>
    <w:rsid w:val="00786897"/>
    <w:rsid w:val="007906C4"/>
    <w:rsid w:val="007912C4"/>
    <w:rsid w:val="007940EA"/>
    <w:rsid w:val="007967E8"/>
    <w:rsid w:val="0079694A"/>
    <w:rsid w:val="007A63F2"/>
    <w:rsid w:val="007B1398"/>
    <w:rsid w:val="007B25E1"/>
    <w:rsid w:val="007B34C6"/>
    <w:rsid w:val="007B39C9"/>
    <w:rsid w:val="007B51CE"/>
    <w:rsid w:val="007B56F9"/>
    <w:rsid w:val="007B68DE"/>
    <w:rsid w:val="007B717D"/>
    <w:rsid w:val="007B7D86"/>
    <w:rsid w:val="007C1857"/>
    <w:rsid w:val="007C4D5F"/>
    <w:rsid w:val="007C514F"/>
    <w:rsid w:val="007C564E"/>
    <w:rsid w:val="007C5E93"/>
    <w:rsid w:val="007D0F95"/>
    <w:rsid w:val="007D7ECB"/>
    <w:rsid w:val="007E037E"/>
    <w:rsid w:val="007E0FBC"/>
    <w:rsid w:val="007E25A1"/>
    <w:rsid w:val="007E4BD2"/>
    <w:rsid w:val="007E6037"/>
    <w:rsid w:val="007E7145"/>
    <w:rsid w:val="007F3916"/>
    <w:rsid w:val="00801179"/>
    <w:rsid w:val="00802479"/>
    <w:rsid w:val="00802B97"/>
    <w:rsid w:val="00803874"/>
    <w:rsid w:val="00805372"/>
    <w:rsid w:val="00805B7B"/>
    <w:rsid w:val="008060EC"/>
    <w:rsid w:val="00811352"/>
    <w:rsid w:val="0081293E"/>
    <w:rsid w:val="00812BE7"/>
    <w:rsid w:val="00814FFB"/>
    <w:rsid w:val="00820568"/>
    <w:rsid w:val="00831A80"/>
    <w:rsid w:val="008332C8"/>
    <w:rsid w:val="00833743"/>
    <w:rsid w:val="008340A4"/>
    <w:rsid w:val="00836799"/>
    <w:rsid w:val="00837028"/>
    <w:rsid w:val="00837131"/>
    <w:rsid w:val="0084145D"/>
    <w:rsid w:val="00845F57"/>
    <w:rsid w:val="0085003C"/>
    <w:rsid w:val="00850FD5"/>
    <w:rsid w:val="008521E0"/>
    <w:rsid w:val="008525B0"/>
    <w:rsid w:val="00856FDA"/>
    <w:rsid w:val="008570A5"/>
    <w:rsid w:val="00857507"/>
    <w:rsid w:val="00862211"/>
    <w:rsid w:val="00867CBC"/>
    <w:rsid w:val="008721D3"/>
    <w:rsid w:val="00875757"/>
    <w:rsid w:val="00876C30"/>
    <w:rsid w:val="00877017"/>
    <w:rsid w:val="008773C0"/>
    <w:rsid w:val="00880364"/>
    <w:rsid w:val="00884DBB"/>
    <w:rsid w:val="00885561"/>
    <w:rsid w:val="00886C4C"/>
    <w:rsid w:val="0088711C"/>
    <w:rsid w:val="0089029A"/>
    <w:rsid w:val="00892ECF"/>
    <w:rsid w:val="00892F06"/>
    <w:rsid w:val="00894285"/>
    <w:rsid w:val="008A00BB"/>
    <w:rsid w:val="008A40AE"/>
    <w:rsid w:val="008A4E19"/>
    <w:rsid w:val="008A67C5"/>
    <w:rsid w:val="008B19B1"/>
    <w:rsid w:val="008B22E1"/>
    <w:rsid w:val="008B397F"/>
    <w:rsid w:val="008B3C78"/>
    <w:rsid w:val="008B4AE9"/>
    <w:rsid w:val="008C138F"/>
    <w:rsid w:val="008C30AD"/>
    <w:rsid w:val="008C6B00"/>
    <w:rsid w:val="008C6D29"/>
    <w:rsid w:val="008D068E"/>
    <w:rsid w:val="008D0F7A"/>
    <w:rsid w:val="008D2E96"/>
    <w:rsid w:val="008D5FC3"/>
    <w:rsid w:val="008D63BE"/>
    <w:rsid w:val="008D79A1"/>
    <w:rsid w:val="008D7A5C"/>
    <w:rsid w:val="008E0CFF"/>
    <w:rsid w:val="008E5AEE"/>
    <w:rsid w:val="008E5D6B"/>
    <w:rsid w:val="008E689B"/>
    <w:rsid w:val="008E76F0"/>
    <w:rsid w:val="008F15FE"/>
    <w:rsid w:val="008F2A94"/>
    <w:rsid w:val="008F5187"/>
    <w:rsid w:val="008F709C"/>
    <w:rsid w:val="0090312B"/>
    <w:rsid w:val="00904961"/>
    <w:rsid w:val="0091566B"/>
    <w:rsid w:val="0091736D"/>
    <w:rsid w:val="0091769E"/>
    <w:rsid w:val="00931001"/>
    <w:rsid w:val="00931863"/>
    <w:rsid w:val="00933524"/>
    <w:rsid w:val="00933CDB"/>
    <w:rsid w:val="0093514E"/>
    <w:rsid w:val="0094278D"/>
    <w:rsid w:val="00946B22"/>
    <w:rsid w:val="0095030D"/>
    <w:rsid w:val="00952ACC"/>
    <w:rsid w:val="0095308A"/>
    <w:rsid w:val="00955AEE"/>
    <w:rsid w:val="00956F14"/>
    <w:rsid w:val="009620FD"/>
    <w:rsid w:val="0096247A"/>
    <w:rsid w:val="00962CD2"/>
    <w:rsid w:val="00965EB7"/>
    <w:rsid w:val="00965F4B"/>
    <w:rsid w:val="00970F8A"/>
    <w:rsid w:val="00971FB5"/>
    <w:rsid w:val="00972D2A"/>
    <w:rsid w:val="00975CC5"/>
    <w:rsid w:val="00976328"/>
    <w:rsid w:val="00976B4E"/>
    <w:rsid w:val="0098150F"/>
    <w:rsid w:val="00983D7E"/>
    <w:rsid w:val="00984458"/>
    <w:rsid w:val="00985283"/>
    <w:rsid w:val="00987322"/>
    <w:rsid w:val="00990241"/>
    <w:rsid w:val="009A0491"/>
    <w:rsid w:val="009A0F3B"/>
    <w:rsid w:val="009A34A8"/>
    <w:rsid w:val="009A4310"/>
    <w:rsid w:val="009A72C7"/>
    <w:rsid w:val="009B0897"/>
    <w:rsid w:val="009B2DFF"/>
    <w:rsid w:val="009B453D"/>
    <w:rsid w:val="009C0166"/>
    <w:rsid w:val="009C4385"/>
    <w:rsid w:val="009C5092"/>
    <w:rsid w:val="009C5E52"/>
    <w:rsid w:val="009C5F0E"/>
    <w:rsid w:val="009D0852"/>
    <w:rsid w:val="009D1FBF"/>
    <w:rsid w:val="009D7463"/>
    <w:rsid w:val="009E13EE"/>
    <w:rsid w:val="009E399C"/>
    <w:rsid w:val="009E43C1"/>
    <w:rsid w:val="009E7E95"/>
    <w:rsid w:val="009F1107"/>
    <w:rsid w:val="009F116F"/>
    <w:rsid w:val="009F13FA"/>
    <w:rsid w:val="009F329E"/>
    <w:rsid w:val="009F3818"/>
    <w:rsid w:val="009F5046"/>
    <w:rsid w:val="009F5126"/>
    <w:rsid w:val="009F7CAA"/>
    <w:rsid w:val="009F7ED3"/>
    <w:rsid w:val="00A03607"/>
    <w:rsid w:val="00A047FF"/>
    <w:rsid w:val="00A04FEF"/>
    <w:rsid w:val="00A050B2"/>
    <w:rsid w:val="00A058FD"/>
    <w:rsid w:val="00A1145E"/>
    <w:rsid w:val="00A122CD"/>
    <w:rsid w:val="00A12A32"/>
    <w:rsid w:val="00A13189"/>
    <w:rsid w:val="00A139D7"/>
    <w:rsid w:val="00A14248"/>
    <w:rsid w:val="00A14947"/>
    <w:rsid w:val="00A16C98"/>
    <w:rsid w:val="00A20615"/>
    <w:rsid w:val="00A23DC5"/>
    <w:rsid w:val="00A34028"/>
    <w:rsid w:val="00A35568"/>
    <w:rsid w:val="00A35F58"/>
    <w:rsid w:val="00A36F64"/>
    <w:rsid w:val="00A37056"/>
    <w:rsid w:val="00A42F7A"/>
    <w:rsid w:val="00A4358F"/>
    <w:rsid w:val="00A46F67"/>
    <w:rsid w:val="00A51CBC"/>
    <w:rsid w:val="00A54AA1"/>
    <w:rsid w:val="00A56436"/>
    <w:rsid w:val="00A568FF"/>
    <w:rsid w:val="00A61496"/>
    <w:rsid w:val="00A61833"/>
    <w:rsid w:val="00A624C6"/>
    <w:rsid w:val="00A63CEC"/>
    <w:rsid w:val="00A644E5"/>
    <w:rsid w:val="00A7031E"/>
    <w:rsid w:val="00A728B1"/>
    <w:rsid w:val="00A73E73"/>
    <w:rsid w:val="00A7444E"/>
    <w:rsid w:val="00A74F97"/>
    <w:rsid w:val="00A763DE"/>
    <w:rsid w:val="00A803D6"/>
    <w:rsid w:val="00A809AC"/>
    <w:rsid w:val="00A81282"/>
    <w:rsid w:val="00A8713F"/>
    <w:rsid w:val="00A90E22"/>
    <w:rsid w:val="00A910D2"/>
    <w:rsid w:val="00A91167"/>
    <w:rsid w:val="00A91680"/>
    <w:rsid w:val="00A9171C"/>
    <w:rsid w:val="00A92FFD"/>
    <w:rsid w:val="00A940BE"/>
    <w:rsid w:val="00A95975"/>
    <w:rsid w:val="00A96A0E"/>
    <w:rsid w:val="00A9708D"/>
    <w:rsid w:val="00AA2C17"/>
    <w:rsid w:val="00AA4172"/>
    <w:rsid w:val="00AB1914"/>
    <w:rsid w:val="00AB4A3A"/>
    <w:rsid w:val="00AB5330"/>
    <w:rsid w:val="00AB7747"/>
    <w:rsid w:val="00AC2532"/>
    <w:rsid w:val="00AD1507"/>
    <w:rsid w:val="00AD1556"/>
    <w:rsid w:val="00AD393A"/>
    <w:rsid w:val="00AD4FC2"/>
    <w:rsid w:val="00AD5A70"/>
    <w:rsid w:val="00AD738B"/>
    <w:rsid w:val="00AE0F3F"/>
    <w:rsid w:val="00AE1BF4"/>
    <w:rsid w:val="00AE5D97"/>
    <w:rsid w:val="00AE6794"/>
    <w:rsid w:val="00AE7919"/>
    <w:rsid w:val="00AE7C66"/>
    <w:rsid w:val="00AF4623"/>
    <w:rsid w:val="00AF742F"/>
    <w:rsid w:val="00B01110"/>
    <w:rsid w:val="00B02262"/>
    <w:rsid w:val="00B029B2"/>
    <w:rsid w:val="00B03CEC"/>
    <w:rsid w:val="00B042F5"/>
    <w:rsid w:val="00B04341"/>
    <w:rsid w:val="00B04961"/>
    <w:rsid w:val="00B1004F"/>
    <w:rsid w:val="00B1022E"/>
    <w:rsid w:val="00B1209F"/>
    <w:rsid w:val="00B1260E"/>
    <w:rsid w:val="00B12AD0"/>
    <w:rsid w:val="00B14F72"/>
    <w:rsid w:val="00B16644"/>
    <w:rsid w:val="00B2346A"/>
    <w:rsid w:val="00B24F30"/>
    <w:rsid w:val="00B27AB8"/>
    <w:rsid w:val="00B31ABF"/>
    <w:rsid w:val="00B335AE"/>
    <w:rsid w:val="00B379CE"/>
    <w:rsid w:val="00B37CE1"/>
    <w:rsid w:val="00B40ACF"/>
    <w:rsid w:val="00B467C9"/>
    <w:rsid w:val="00B46BAA"/>
    <w:rsid w:val="00B472BC"/>
    <w:rsid w:val="00B5058D"/>
    <w:rsid w:val="00B50B5F"/>
    <w:rsid w:val="00B512F1"/>
    <w:rsid w:val="00B53456"/>
    <w:rsid w:val="00B54128"/>
    <w:rsid w:val="00B55826"/>
    <w:rsid w:val="00B55B21"/>
    <w:rsid w:val="00B60426"/>
    <w:rsid w:val="00B610BF"/>
    <w:rsid w:val="00B622DD"/>
    <w:rsid w:val="00B63134"/>
    <w:rsid w:val="00B63522"/>
    <w:rsid w:val="00B67431"/>
    <w:rsid w:val="00B722B8"/>
    <w:rsid w:val="00B76F1D"/>
    <w:rsid w:val="00B84C24"/>
    <w:rsid w:val="00B84CDD"/>
    <w:rsid w:val="00B8679F"/>
    <w:rsid w:val="00B92A19"/>
    <w:rsid w:val="00B93858"/>
    <w:rsid w:val="00B93BD5"/>
    <w:rsid w:val="00B9544C"/>
    <w:rsid w:val="00BA01DE"/>
    <w:rsid w:val="00BA122F"/>
    <w:rsid w:val="00BA29E9"/>
    <w:rsid w:val="00BA3AAC"/>
    <w:rsid w:val="00BA5A25"/>
    <w:rsid w:val="00BA61D3"/>
    <w:rsid w:val="00BA6F9E"/>
    <w:rsid w:val="00BB006E"/>
    <w:rsid w:val="00BB3618"/>
    <w:rsid w:val="00BB4B4C"/>
    <w:rsid w:val="00BC0C9E"/>
    <w:rsid w:val="00BC0DD1"/>
    <w:rsid w:val="00BC32DC"/>
    <w:rsid w:val="00BC420B"/>
    <w:rsid w:val="00BC79D4"/>
    <w:rsid w:val="00BD18C2"/>
    <w:rsid w:val="00BD1B51"/>
    <w:rsid w:val="00BD3A2F"/>
    <w:rsid w:val="00BD47F6"/>
    <w:rsid w:val="00BE312D"/>
    <w:rsid w:val="00BE3FCA"/>
    <w:rsid w:val="00BF0237"/>
    <w:rsid w:val="00BF0E73"/>
    <w:rsid w:val="00BF4E3C"/>
    <w:rsid w:val="00C05719"/>
    <w:rsid w:val="00C062AB"/>
    <w:rsid w:val="00C10578"/>
    <w:rsid w:val="00C11C46"/>
    <w:rsid w:val="00C17A70"/>
    <w:rsid w:val="00C17D62"/>
    <w:rsid w:val="00C21FDC"/>
    <w:rsid w:val="00C24EE7"/>
    <w:rsid w:val="00C2596A"/>
    <w:rsid w:val="00C25D29"/>
    <w:rsid w:val="00C26C11"/>
    <w:rsid w:val="00C271BE"/>
    <w:rsid w:val="00C27425"/>
    <w:rsid w:val="00C328FE"/>
    <w:rsid w:val="00C32AE6"/>
    <w:rsid w:val="00C32B43"/>
    <w:rsid w:val="00C33A05"/>
    <w:rsid w:val="00C36E2C"/>
    <w:rsid w:val="00C42500"/>
    <w:rsid w:val="00C4409D"/>
    <w:rsid w:val="00C455BE"/>
    <w:rsid w:val="00C45E1A"/>
    <w:rsid w:val="00C50913"/>
    <w:rsid w:val="00C51E5F"/>
    <w:rsid w:val="00C60771"/>
    <w:rsid w:val="00C617C6"/>
    <w:rsid w:val="00C61E4B"/>
    <w:rsid w:val="00C62348"/>
    <w:rsid w:val="00C62E3A"/>
    <w:rsid w:val="00C64503"/>
    <w:rsid w:val="00C64A1F"/>
    <w:rsid w:val="00C64BFF"/>
    <w:rsid w:val="00C72B40"/>
    <w:rsid w:val="00C763C9"/>
    <w:rsid w:val="00C80057"/>
    <w:rsid w:val="00C82613"/>
    <w:rsid w:val="00C82924"/>
    <w:rsid w:val="00C82C79"/>
    <w:rsid w:val="00C82E32"/>
    <w:rsid w:val="00C84753"/>
    <w:rsid w:val="00C8659B"/>
    <w:rsid w:val="00C87240"/>
    <w:rsid w:val="00C87279"/>
    <w:rsid w:val="00C87359"/>
    <w:rsid w:val="00C91362"/>
    <w:rsid w:val="00C91611"/>
    <w:rsid w:val="00C95B30"/>
    <w:rsid w:val="00CA3585"/>
    <w:rsid w:val="00CA3D5A"/>
    <w:rsid w:val="00CA4C7C"/>
    <w:rsid w:val="00CA500F"/>
    <w:rsid w:val="00CA58EC"/>
    <w:rsid w:val="00CA6A73"/>
    <w:rsid w:val="00CB0183"/>
    <w:rsid w:val="00CB081D"/>
    <w:rsid w:val="00CB1EA3"/>
    <w:rsid w:val="00CB3BE3"/>
    <w:rsid w:val="00CB552C"/>
    <w:rsid w:val="00CB6A9E"/>
    <w:rsid w:val="00CC6181"/>
    <w:rsid w:val="00CC738D"/>
    <w:rsid w:val="00CD2BCD"/>
    <w:rsid w:val="00CD36AA"/>
    <w:rsid w:val="00CD3791"/>
    <w:rsid w:val="00CD5DB4"/>
    <w:rsid w:val="00CD65B0"/>
    <w:rsid w:val="00CE02CD"/>
    <w:rsid w:val="00CE10E9"/>
    <w:rsid w:val="00CE15D0"/>
    <w:rsid w:val="00CE30C5"/>
    <w:rsid w:val="00CE4B7E"/>
    <w:rsid w:val="00CF3606"/>
    <w:rsid w:val="00D000B9"/>
    <w:rsid w:val="00D0072E"/>
    <w:rsid w:val="00D00FA0"/>
    <w:rsid w:val="00D04073"/>
    <w:rsid w:val="00D10E31"/>
    <w:rsid w:val="00D15727"/>
    <w:rsid w:val="00D16332"/>
    <w:rsid w:val="00D17D12"/>
    <w:rsid w:val="00D17F6B"/>
    <w:rsid w:val="00D21FD0"/>
    <w:rsid w:val="00D23374"/>
    <w:rsid w:val="00D24972"/>
    <w:rsid w:val="00D2515E"/>
    <w:rsid w:val="00D27C27"/>
    <w:rsid w:val="00D308ED"/>
    <w:rsid w:val="00D37292"/>
    <w:rsid w:val="00D403ED"/>
    <w:rsid w:val="00D439EE"/>
    <w:rsid w:val="00D44184"/>
    <w:rsid w:val="00D4473D"/>
    <w:rsid w:val="00D44BB6"/>
    <w:rsid w:val="00D4716C"/>
    <w:rsid w:val="00D512FB"/>
    <w:rsid w:val="00D521A9"/>
    <w:rsid w:val="00D53447"/>
    <w:rsid w:val="00D56178"/>
    <w:rsid w:val="00D56BA5"/>
    <w:rsid w:val="00D56CF0"/>
    <w:rsid w:val="00D56F5C"/>
    <w:rsid w:val="00D5760D"/>
    <w:rsid w:val="00D62E1A"/>
    <w:rsid w:val="00D704B1"/>
    <w:rsid w:val="00D70B63"/>
    <w:rsid w:val="00D72B92"/>
    <w:rsid w:val="00D72ED4"/>
    <w:rsid w:val="00D735D3"/>
    <w:rsid w:val="00D73F61"/>
    <w:rsid w:val="00D74122"/>
    <w:rsid w:val="00D754C0"/>
    <w:rsid w:val="00D776A2"/>
    <w:rsid w:val="00D77DB3"/>
    <w:rsid w:val="00D801C4"/>
    <w:rsid w:val="00D84494"/>
    <w:rsid w:val="00D90836"/>
    <w:rsid w:val="00D91643"/>
    <w:rsid w:val="00D94CC6"/>
    <w:rsid w:val="00D95896"/>
    <w:rsid w:val="00D95CC6"/>
    <w:rsid w:val="00D9746E"/>
    <w:rsid w:val="00DA2DA3"/>
    <w:rsid w:val="00DA6615"/>
    <w:rsid w:val="00DA76AE"/>
    <w:rsid w:val="00DA7C39"/>
    <w:rsid w:val="00DB181E"/>
    <w:rsid w:val="00DB1C7A"/>
    <w:rsid w:val="00DB1E5C"/>
    <w:rsid w:val="00DB2983"/>
    <w:rsid w:val="00DB343D"/>
    <w:rsid w:val="00DB4D44"/>
    <w:rsid w:val="00DB5579"/>
    <w:rsid w:val="00DB5CFE"/>
    <w:rsid w:val="00DC0FBD"/>
    <w:rsid w:val="00DC72A6"/>
    <w:rsid w:val="00DD2113"/>
    <w:rsid w:val="00DD265E"/>
    <w:rsid w:val="00DD2C93"/>
    <w:rsid w:val="00DD7A3C"/>
    <w:rsid w:val="00DE5071"/>
    <w:rsid w:val="00DF1930"/>
    <w:rsid w:val="00DF514A"/>
    <w:rsid w:val="00DF7AB9"/>
    <w:rsid w:val="00E0358D"/>
    <w:rsid w:val="00E06327"/>
    <w:rsid w:val="00E06AA7"/>
    <w:rsid w:val="00E06E2B"/>
    <w:rsid w:val="00E06ECB"/>
    <w:rsid w:val="00E07A38"/>
    <w:rsid w:val="00E16591"/>
    <w:rsid w:val="00E2064B"/>
    <w:rsid w:val="00E20781"/>
    <w:rsid w:val="00E20943"/>
    <w:rsid w:val="00E25239"/>
    <w:rsid w:val="00E253A0"/>
    <w:rsid w:val="00E265B1"/>
    <w:rsid w:val="00E275B0"/>
    <w:rsid w:val="00E3274B"/>
    <w:rsid w:val="00E32EF4"/>
    <w:rsid w:val="00E34CE5"/>
    <w:rsid w:val="00E412D0"/>
    <w:rsid w:val="00E429CE"/>
    <w:rsid w:val="00E45725"/>
    <w:rsid w:val="00E47349"/>
    <w:rsid w:val="00E477F2"/>
    <w:rsid w:val="00E47CDB"/>
    <w:rsid w:val="00E517D5"/>
    <w:rsid w:val="00E566BC"/>
    <w:rsid w:val="00E60982"/>
    <w:rsid w:val="00E60C8D"/>
    <w:rsid w:val="00E6162F"/>
    <w:rsid w:val="00E62148"/>
    <w:rsid w:val="00E6311B"/>
    <w:rsid w:val="00E65D97"/>
    <w:rsid w:val="00E67EFD"/>
    <w:rsid w:val="00E702DC"/>
    <w:rsid w:val="00E71FFB"/>
    <w:rsid w:val="00E72B4B"/>
    <w:rsid w:val="00E730B5"/>
    <w:rsid w:val="00E76D1D"/>
    <w:rsid w:val="00E77450"/>
    <w:rsid w:val="00E806F8"/>
    <w:rsid w:val="00E84AB7"/>
    <w:rsid w:val="00E87272"/>
    <w:rsid w:val="00E87752"/>
    <w:rsid w:val="00E8793B"/>
    <w:rsid w:val="00E90F81"/>
    <w:rsid w:val="00E91A6D"/>
    <w:rsid w:val="00E9242D"/>
    <w:rsid w:val="00E92D4E"/>
    <w:rsid w:val="00E9572A"/>
    <w:rsid w:val="00EB00AE"/>
    <w:rsid w:val="00EB041C"/>
    <w:rsid w:val="00EB0789"/>
    <w:rsid w:val="00EB312E"/>
    <w:rsid w:val="00EC2F15"/>
    <w:rsid w:val="00EC3065"/>
    <w:rsid w:val="00EC5874"/>
    <w:rsid w:val="00ED192D"/>
    <w:rsid w:val="00ED2604"/>
    <w:rsid w:val="00ED30B4"/>
    <w:rsid w:val="00ED31F5"/>
    <w:rsid w:val="00EE30F7"/>
    <w:rsid w:val="00EF19E5"/>
    <w:rsid w:val="00EF2759"/>
    <w:rsid w:val="00EF4138"/>
    <w:rsid w:val="00EF45EB"/>
    <w:rsid w:val="00EF5099"/>
    <w:rsid w:val="00EF5E33"/>
    <w:rsid w:val="00F00075"/>
    <w:rsid w:val="00F07822"/>
    <w:rsid w:val="00F15C95"/>
    <w:rsid w:val="00F165FA"/>
    <w:rsid w:val="00F22985"/>
    <w:rsid w:val="00F241AB"/>
    <w:rsid w:val="00F244FB"/>
    <w:rsid w:val="00F24BA8"/>
    <w:rsid w:val="00F31382"/>
    <w:rsid w:val="00F32A54"/>
    <w:rsid w:val="00F33F19"/>
    <w:rsid w:val="00F34C17"/>
    <w:rsid w:val="00F35829"/>
    <w:rsid w:val="00F412EC"/>
    <w:rsid w:val="00F42868"/>
    <w:rsid w:val="00F42E3A"/>
    <w:rsid w:val="00F465A7"/>
    <w:rsid w:val="00F47FBB"/>
    <w:rsid w:val="00F50B7C"/>
    <w:rsid w:val="00F5202D"/>
    <w:rsid w:val="00F52CF6"/>
    <w:rsid w:val="00F54192"/>
    <w:rsid w:val="00F54496"/>
    <w:rsid w:val="00F61038"/>
    <w:rsid w:val="00F61097"/>
    <w:rsid w:val="00F67424"/>
    <w:rsid w:val="00F73DBA"/>
    <w:rsid w:val="00F74154"/>
    <w:rsid w:val="00F74345"/>
    <w:rsid w:val="00F74441"/>
    <w:rsid w:val="00F76F36"/>
    <w:rsid w:val="00F77F30"/>
    <w:rsid w:val="00F8152E"/>
    <w:rsid w:val="00F82589"/>
    <w:rsid w:val="00F82B19"/>
    <w:rsid w:val="00F840D9"/>
    <w:rsid w:val="00F85ADC"/>
    <w:rsid w:val="00F90050"/>
    <w:rsid w:val="00F90AA7"/>
    <w:rsid w:val="00F9212D"/>
    <w:rsid w:val="00F93FA0"/>
    <w:rsid w:val="00FA2EE3"/>
    <w:rsid w:val="00FA301A"/>
    <w:rsid w:val="00FA406A"/>
    <w:rsid w:val="00FA5CB6"/>
    <w:rsid w:val="00FB2C4A"/>
    <w:rsid w:val="00FB4322"/>
    <w:rsid w:val="00FB51DE"/>
    <w:rsid w:val="00FB7A17"/>
    <w:rsid w:val="00FB7C5C"/>
    <w:rsid w:val="00FB7E59"/>
    <w:rsid w:val="00FC66AC"/>
    <w:rsid w:val="00FC707B"/>
    <w:rsid w:val="00FC7598"/>
    <w:rsid w:val="00FD18F4"/>
    <w:rsid w:val="00FD74B4"/>
    <w:rsid w:val="00FE37AD"/>
    <w:rsid w:val="00FE5EA0"/>
    <w:rsid w:val="00FE706F"/>
    <w:rsid w:val="00FF12E8"/>
    <w:rsid w:val="00FF37A0"/>
    <w:rsid w:val="00FF3FF6"/>
    <w:rsid w:val="00FF57EC"/>
    <w:rsid w:val="00FF6C64"/>
    <w:rsid w:val="00FF6FCE"/>
    <w:rsid w:val="00FF7518"/>
    <w:rsid w:val="00FF7FD8"/>
    <w:rsid w:val="01192C1F"/>
    <w:rsid w:val="01542412"/>
    <w:rsid w:val="016013A4"/>
    <w:rsid w:val="0162000B"/>
    <w:rsid w:val="016B2FC0"/>
    <w:rsid w:val="017308CD"/>
    <w:rsid w:val="018E52D4"/>
    <w:rsid w:val="01913706"/>
    <w:rsid w:val="019F31F3"/>
    <w:rsid w:val="01A03BAA"/>
    <w:rsid w:val="01B76829"/>
    <w:rsid w:val="01BC79C8"/>
    <w:rsid w:val="01C13BB4"/>
    <w:rsid w:val="01DD070C"/>
    <w:rsid w:val="01F76329"/>
    <w:rsid w:val="021138F7"/>
    <w:rsid w:val="02251150"/>
    <w:rsid w:val="023716DE"/>
    <w:rsid w:val="0241237B"/>
    <w:rsid w:val="02614FC7"/>
    <w:rsid w:val="02685C0C"/>
    <w:rsid w:val="02936534"/>
    <w:rsid w:val="02A62291"/>
    <w:rsid w:val="02BB4193"/>
    <w:rsid w:val="02C275BE"/>
    <w:rsid w:val="02CD7578"/>
    <w:rsid w:val="02F23728"/>
    <w:rsid w:val="02F33DDA"/>
    <w:rsid w:val="02F474A0"/>
    <w:rsid w:val="02F6716B"/>
    <w:rsid w:val="031449CA"/>
    <w:rsid w:val="03231B33"/>
    <w:rsid w:val="03353615"/>
    <w:rsid w:val="034C6C8C"/>
    <w:rsid w:val="03634626"/>
    <w:rsid w:val="0376333F"/>
    <w:rsid w:val="037D3E18"/>
    <w:rsid w:val="03885E3A"/>
    <w:rsid w:val="03956EEA"/>
    <w:rsid w:val="03E57E12"/>
    <w:rsid w:val="03EC0177"/>
    <w:rsid w:val="03EF0D74"/>
    <w:rsid w:val="03F71581"/>
    <w:rsid w:val="03FC71EA"/>
    <w:rsid w:val="03FF4786"/>
    <w:rsid w:val="040B2C55"/>
    <w:rsid w:val="041C5CA2"/>
    <w:rsid w:val="04273E18"/>
    <w:rsid w:val="045B031C"/>
    <w:rsid w:val="045B52FD"/>
    <w:rsid w:val="048B485E"/>
    <w:rsid w:val="049673A3"/>
    <w:rsid w:val="04AB1B81"/>
    <w:rsid w:val="04B51648"/>
    <w:rsid w:val="04B90DC9"/>
    <w:rsid w:val="04D87F3B"/>
    <w:rsid w:val="04E27BF2"/>
    <w:rsid w:val="04FD0162"/>
    <w:rsid w:val="05072F01"/>
    <w:rsid w:val="051145AC"/>
    <w:rsid w:val="0520708F"/>
    <w:rsid w:val="05237F4F"/>
    <w:rsid w:val="05341DD6"/>
    <w:rsid w:val="05512C42"/>
    <w:rsid w:val="055939A9"/>
    <w:rsid w:val="05706B86"/>
    <w:rsid w:val="0571055A"/>
    <w:rsid w:val="05742AC8"/>
    <w:rsid w:val="05971D90"/>
    <w:rsid w:val="059E3CE6"/>
    <w:rsid w:val="05AE5556"/>
    <w:rsid w:val="05D37D25"/>
    <w:rsid w:val="05DA7447"/>
    <w:rsid w:val="05DD50C3"/>
    <w:rsid w:val="05E71A59"/>
    <w:rsid w:val="06032AF1"/>
    <w:rsid w:val="0607005F"/>
    <w:rsid w:val="060F0580"/>
    <w:rsid w:val="06133EBC"/>
    <w:rsid w:val="063124F6"/>
    <w:rsid w:val="06352F05"/>
    <w:rsid w:val="063E7D85"/>
    <w:rsid w:val="064B3CDD"/>
    <w:rsid w:val="06582F81"/>
    <w:rsid w:val="06731513"/>
    <w:rsid w:val="06755730"/>
    <w:rsid w:val="06787E06"/>
    <w:rsid w:val="068C37F7"/>
    <w:rsid w:val="06B12517"/>
    <w:rsid w:val="06BA3765"/>
    <w:rsid w:val="06BC6527"/>
    <w:rsid w:val="06BD650E"/>
    <w:rsid w:val="06C47189"/>
    <w:rsid w:val="06EA0626"/>
    <w:rsid w:val="06EE64D1"/>
    <w:rsid w:val="070875E0"/>
    <w:rsid w:val="07287718"/>
    <w:rsid w:val="07293586"/>
    <w:rsid w:val="07295285"/>
    <w:rsid w:val="072D4D2F"/>
    <w:rsid w:val="074F1B65"/>
    <w:rsid w:val="07500A1D"/>
    <w:rsid w:val="075C73C2"/>
    <w:rsid w:val="07770C56"/>
    <w:rsid w:val="07B7536C"/>
    <w:rsid w:val="07CA7893"/>
    <w:rsid w:val="07D67F6D"/>
    <w:rsid w:val="07E8334B"/>
    <w:rsid w:val="07F43A9E"/>
    <w:rsid w:val="08140B49"/>
    <w:rsid w:val="081F0C0A"/>
    <w:rsid w:val="08210426"/>
    <w:rsid w:val="08346B23"/>
    <w:rsid w:val="0840356C"/>
    <w:rsid w:val="08517143"/>
    <w:rsid w:val="08915791"/>
    <w:rsid w:val="08A87796"/>
    <w:rsid w:val="08BE0AE8"/>
    <w:rsid w:val="08CE42EF"/>
    <w:rsid w:val="08D359AD"/>
    <w:rsid w:val="08EA27E6"/>
    <w:rsid w:val="08EF2449"/>
    <w:rsid w:val="08FF69B4"/>
    <w:rsid w:val="091D4B74"/>
    <w:rsid w:val="092217DD"/>
    <w:rsid w:val="093A7294"/>
    <w:rsid w:val="098A06BB"/>
    <w:rsid w:val="09A474B7"/>
    <w:rsid w:val="09B23C11"/>
    <w:rsid w:val="09B3301B"/>
    <w:rsid w:val="09B57B0D"/>
    <w:rsid w:val="09BA4874"/>
    <w:rsid w:val="09F01F47"/>
    <w:rsid w:val="09F77876"/>
    <w:rsid w:val="0A2020DC"/>
    <w:rsid w:val="0A207E53"/>
    <w:rsid w:val="0A4C7A2E"/>
    <w:rsid w:val="0A513293"/>
    <w:rsid w:val="0A682522"/>
    <w:rsid w:val="0A81203A"/>
    <w:rsid w:val="0A946130"/>
    <w:rsid w:val="0AB26935"/>
    <w:rsid w:val="0AB445DE"/>
    <w:rsid w:val="0AC80A48"/>
    <w:rsid w:val="0ACD78AC"/>
    <w:rsid w:val="0AEE2302"/>
    <w:rsid w:val="0AF57D7E"/>
    <w:rsid w:val="0AF942F3"/>
    <w:rsid w:val="0B08013C"/>
    <w:rsid w:val="0B0C655A"/>
    <w:rsid w:val="0B155905"/>
    <w:rsid w:val="0B2D79F3"/>
    <w:rsid w:val="0B4B4BF3"/>
    <w:rsid w:val="0B4E7969"/>
    <w:rsid w:val="0B7047CC"/>
    <w:rsid w:val="0B741CAD"/>
    <w:rsid w:val="0B8B2EB3"/>
    <w:rsid w:val="0B93537C"/>
    <w:rsid w:val="0B9A5B86"/>
    <w:rsid w:val="0BBB7089"/>
    <w:rsid w:val="0BD27BF6"/>
    <w:rsid w:val="0BE21DBE"/>
    <w:rsid w:val="0BF209C6"/>
    <w:rsid w:val="0BF5425F"/>
    <w:rsid w:val="0C0046F4"/>
    <w:rsid w:val="0C08482E"/>
    <w:rsid w:val="0C232BA4"/>
    <w:rsid w:val="0C3C3C66"/>
    <w:rsid w:val="0C40500E"/>
    <w:rsid w:val="0C442A39"/>
    <w:rsid w:val="0C445B70"/>
    <w:rsid w:val="0C487E55"/>
    <w:rsid w:val="0C6B6A6D"/>
    <w:rsid w:val="0C783830"/>
    <w:rsid w:val="0C7D22B4"/>
    <w:rsid w:val="0C874EE1"/>
    <w:rsid w:val="0C952992"/>
    <w:rsid w:val="0CB3296E"/>
    <w:rsid w:val="0CC577A6"/>
    <w:rsid w:val="0CCF6888"/>
    <w:rsid w:val="0CD9696E"/>
    <w:rsid w:val="0CDB64C6"/>
    <w:rsid w:val="0D185629"/>
    <w:rsid w:val="0D3049E7"/>
    <w:rsid w:val="0D307327"/>
    <w:rsid w:val="0D36681E"/>
    <w:rsid w:val="0D453F85"/>
    <w:rsid w:val="0D49488C"/>
    <w:rsid w:val="0D5374B9"/>
    <w:rsid w:val="0D626FBC"/>
    <w:rsid w:val="0D643474"/>
    <w:rsid w:val="0D7D62E4"/>
    <w:rsid w:val="0DA1448F"/>
    <w:rsid w:val="0DA815B3"/>
    <w:rsid w:val="0DAD0977"/>
    <w:rsid w:val="0DCF275C"/>
    <w:rsid w:val="0DCF4839"/>
    <w:rsid w:val="0DE03FAE"/>
    <w:rsid w:val="0DE06BDA"/>
    <w:rsid w:val="0E0B783B"/>
    <w:rsid w:val="0E100F06"/>
    <w:rsid w:val="0E110D06"/>
    <w:rsid w:val="0E134732"/>
    <w:rsid w:val="0E15651D"/>
    <w:rsid w:val="0E1F1149"/>
    <w:rsid w:val="0E3A5F83"/>
    <w:rsid w:val="0E4312DC"/>
    <w:rsid w:val="0E4915E7"/>
    <w:rsid w:val="0E621326"/>
    <w:rsid w:val="0E686877"/>
    <w:rsid w:val="0E6A1537"/>
    <w:rsid w:val="0E865403"/>
    <w:rsid w:val="0E8747B4"/>
    <w:rsid w:val="0E925342"/>
    <w:rsid w:val="0EA578A0"/>
    <w:rsid w:val="0EC73D7F"/>
    <w:rsid w:val="0EC962CE"/>
    <w:rsid w:val="0ED52A0B"/>
    <w:rsid w:val="0ED63D33"/>
    <w:rsid w:val="0ED677E6"/>
    <w:rsid w:val="0F0349E7"/>
    <w:rsid w:val="0F0A1DF9"/>
    <w:rsid w:val="0F0D580E"/>
    <w:rsid w:val="0F13775A"/>
    <w:rsid w:val="0F2F0F6B"/>
    <w:rsid w:val="0F400E31"/>
    <w:rsid w:val="0F490BEF"/>
    <w:rsid w:val="0F4F753E"/>
    <w:rsid w:val="0F601A19"/>
    <w:rsid w:val="0F616644"/>
    <w:rsid w:val="0F665460"/>
    <w:rsid w:val="0F7E1732"/>
    <w:rsid w:val="0F8D7625"/>
    <w:rsid w:val="0F965280"/>
    <w:rsid w:val="0F9A112B"/>
    <w:rsid w:val="0FB063F9"/>
    <w:rsid w:val="0FB56209"/>
    <w:rsid w:val="0FC21753"/>
    <w:rsid w:val="10021CE1"/>
    <w:rsid w:val="10243D88"/>
    <w:rsid w:val="10260EB5"/>
    <w:rsid w:val="10385539"/>
    <w:rsid w:val="10487171"/>
    <w:rsid w:val="105A6A5A"/>
    <w:rsid w:val="106D2F64"/>
    <w:rsid w:val="10866596"/>
    <w:rsid w:val="108F46F0"/>
    <w:rsid w:val="109202F8"/>
    <w:rsid w:val="10937F1A"/>
    <w:rsid w:val="109E0A4B"/>
    <w:rsid w:val="10AB7087"/>
    <w:rsid w:val="10AF731E"/>
    <w:rsid w:val="10B01F3A"/>
    <w:rsid w:val="10B63710"/>
    <w:rsid w:val="10DB3A9A"/>
    <w:rsid w:val="10DB6C18"/>
    <w:rsid w:val="10DC4D6D"/>
    <w:rsid w:val="10F3183B"/>
    <w:rsid w:val="111C2F7A"/>
    <w:rsid w:val="113013DE"/>
    <w:rsid w:val="113E61F3"/>
    <w:rsid w:val="115741EB"/>
    <w:rsid w:val="11931D33"/>
    <w:rsid w:val="11977894"/>
    <w:rsid w:val="11AA60B4"/>
    <w:rsid w:val="11AC31FB"/>
    <w:rsid w:val="11AC6DAC"/>
    <w:rsid w:val="11B447D7"/>
    <w:rsid w:val="11EC318A"/>
    <w:rsid w:val="122B06C2"/>
    <w:rsid w:val="123C6B5F"/>
    <w:rsid w:val="123F2D3D"/>
    <w:rsid w:val="123F4E25"/>
    <w:rsid w:val="12582116"/>
    <w:rsid w:val="126A39D4"/>
    <w:rsid w:val="12701BC0"/>
    <w:rsid w:val="127B080C"/>
    <w:rsid w:val="128D4B4D"/>
    <w:rsid w:val="128F1845"/>
    <w:rsid w:val="129835D7"/>
    <w:rsid w:val="12A50708"/>
    <w:rsid w:val="12AB206A"/>
    <w:rsid w:val="12AF4946"/>
    <w:rsid w:val="12C71466"/>
    <w:rsid w:val="12DE5E7F"/>
    <w:rsid w:val="12F2592D"/>
    <w:rsid w:val="12F65052"/>
    <w:rsid w:val="12F86185"/>
    <w:rsid w:val="130432FB"/>
    <w:rsid w:val="131B2590"/>
    <w:rsid w:val="13761EAE"/>
    <w:rsid w:val="138A1A52"/>
    <w:rsid w:val="138F702D"/>
    <w:rsid w:val="13951726"/>
    <w:rsid w:val="13974D17"/>
    <w:rsid w:val="13CB5FFB"/>
    <w:rsid w:val="13E959C6"/>
    <w:rsid w:val="14033108"/>
    <w:rsid w:val="140C5BC9"/>
    <w:rsid w:val="141A663B"/>
    <w:rsid w:val="141C290C"/>
    <w:rsid w:val="141F346D"/>
    <w:rsid w:val="14223EB3"/>
    <w:rsid w:val="142603A2"/>
    <w:rsid w:val="14324784"/>
    <w:rsid w:val="14396509"/>
    <w:rsid w:val="143A57C7"/>
    <w:rsid w:val="1447165C"/>
    <w:rsid w:val="144F3356"/>
    <w:rsid w:val="145214E3"/>
    <w:rsid w:val="146975C2"/>
    <w:rsid w:val="147C536C"/>
    <w:rsid w:val="147E4E1C"/>
    <w:rsid w:val="148D505F"/>
    <w:rsid w:val="14A57E39"/>
    <w:rsid w:val="14C0167F"/>
    <w:rsid w:val="14DC5FE6"/>
    <w:rsid w:val="14DE1D5E"/>
    <w:rsid w:val="14E245BB"/>
    <w:rsid w:val="14F5074A"/>
    <w:rsid w:val="15026C11"/>
    <w:rsid w:val="15170884"/>
    <w:rsid w:val="151E03AD"/>
    <w:rsid w:val="15273F31"/>
    <w:rsid w:val="152F760F"/>
    <w:rsid w:val="153663FC"/>
    <w:rsid w:val="15373C5E"/>
    <w:rsid w:val="154062EC"/>
    <w:rsid w:val="15501232"/>
    <w:rsid w:val="15925981"/>
    <w:rsid w:val="15927FE3"/>
    <w:rsid w:val="159D78AD"/>
    <w:rsid w:val="15A649ED"/>
    <w:rsid w:val="15AC0C45"/>
    <w:rsid w:val="15B14D7D"/>
    <w:rsid w:val="15BE0150"/>
    <w:rsid w:val="15DB629E"/>
    <w:rsid w:val="15E23A36"/>
    <w:rsid w:val="1601789E"/>
    <w:rsid w:val="163A6C6B"/>
    <w:rsid w:val="164522A9"/>
    <w:rsid w:val="165F2A2B"/>
    <w:rsid w:val="165F6ECF"/>
    <w:rsid w:val="166041CE"/>
    <w:rsid w:val="1675298F"/>
    <w:rsid w:val="16777D74"/>
    <w:rsid w:val="16851A16"/>
    <w:rsid w:val="168F7329"/>
    <w:rsid w:val="1690370A"/>
    <w:rsid w:val="169E33B0"/>
    <w:rsid w:val="16A4630C"/>
    <w:rsid w:val="16A83A00"/>
    <w:rsid w:val="16B6449B"/>
    <w:rsid w:val="16CC45CE"/>
    <w:rsid w:val="16CD3E38"/>
    <w:rsid w:val="170D2487"/>
    <w:rsid w:val="17147CB9"/>
    <w:rsid w:val="171D7811"/>
    <w:rsid w:val="17201292"/>
    <w:rsid w:val="172243B5"/>
    <w:rsid w:val="17240259"/>
    <w:rsid w:val="174A67DB"/>
    <w:rsid w:val="174D4ED7"/>
    <w:rsid w:val="175F5160"/>
    <w:rsid w:val="1762503C"/>
    <w:rsid w:val="176F7BEF"/>
    <w:rsid w:val="17713AFE"/>
    <w:rsid w:val="1772694D"/>
    <w:rsid w:val="17735226"/>
    <w:rsid w:val="177F3D17"/>
    <w:rsid w:val="178525EC"/>
    <w:rsid w:val="17872239"/>
    <w:rsid w:val="178E480D"/>
    <w:rsid w:val="17991E45"/>
    <w:rsid w:val="17BD3861"/>
    <w:rsid w:val="17DE0E8D"/>
    <w:rsid w:val="17DF1E7D"/>
    <w:rsid w:val="17E40549"/>
    <w:rsid w:val="17EC7004"/>
    <w:rsid w:val="18065016"/>
    <w:rsid w:val="180A515D"/>
    <w:rsid w:val="181B4845"/>
    <w:rsid w:val="181D1B4B"/>
    <w:rsid w:val="182268B9"/>
    <w:rsid w:val="183F0D66"/>
    <w:rsid w:val="184620F4"/>
    <w:rsid w:val="18704F1E"/>
    <w:rsid w:val="18734559"/>
    <w:rsid w:val="18846443"/>
    <w:rsid w:val="18977409"/>
    <w:rsid w:val="18AA2C29"/>
    <w:rsid w:val="18BA03EC"/>
    <w:rsid w:val="18C272A1"/>
    <w:rsid w:val="18CA609F"/>
    <w:rsid w:val="18D31AE6"/>
    <w:rsid w:val="18D31F94"/>
    <w:rsid w:val="18EF360B"/>
    <w:rsid w:val="18FC4A33"/>
    <w:rsid w:val="18FD5B1B"/>
    <w:rsid w:val="19375EE1"/>
    <w:rsid w:val="193948C5"/>
    <w:rsid w:val="193F130B"/>
    <w:rsid w:val="19490A2E"/>
    <w:rsid w:val="195E2633"/>
    <w:rsid w:val="19614EE5"/>
    <w:rsid w:val="19690DF0"/>
    <w:rsid w:val="19841393"/>
    <w:rsid w:val="19A467AD"/>
    <w:rsid w:val="19AA66B3"/>
    <w:rsid w:val="19BA177B"/>
    <w:rsid w:val="19BF51E7"/>
    <w:rsid w:val="19C00865"/>
    <w:rsid w:val="19C24A59"/>
    <w:rsid w:val="19E90653"/>
    <w:rsid w:val="19EC0DCD"/>
    <w:rsid w:val="1A134A8F"/>
    <w:rsid w:val="1A1A5A79"/>
    <w:rsid w:val="1A1C66C0"/>
    <w:rsid w:val="1A273FE9"/>
    <w:rsid w:val="1A42393B"/>
    <w:rsid w:val="1A7016AA"/>
    <w:rsid w:val="1A710F7F"/>
    <w:rsid w:val="1A941B2F"/>
    <w:rsid w:val="1AAC599E"/>
    <w:rsid w:val="1AB7222D"/>
    <w:rsid w:val="1AB84A8D"/>
    <w:rsid w:val="1AE14A63"/>
    <w:rsid w:val="1AF776D6"/>
    <w:rsid w:val="1AF90FCD"/>
    <w:rsid w:val="1AFB73D3"/>
    <w:rsid w:val="1AFC2F3E"/>
    <w:rsid w:val="1B046F80"/>
    <w:rsid w:val="1B0D20ED"/>
    <w:rsid w:val="1B201BE1"/>
    <w:rsid w:val="1B3267B5"/>
    <w:rsid w:val="1B4A561C"/>
    <w:rsid w:val="1B530684"/>
    <w:rsid w:val="1B605817"/>
    <w:rsid w:val="1B6D40CE"/>
    <w:rsid w:val="1B7D5788"/>
    <w:rsid w:val="1B800B3E"/>
    <w:rsid w:val="1B861AFD"/>
    <w:rsid w:val="1B925650"/>
    <w:rsid w:val="1B9B1535"/>
    <w:rsid w:val="1B9B191B"/>
    <w:rsid w:val="1B9F38C9"/>
    <w:rsid w:val="1BA120CE"/>
    <w:rsid w:val="1BB730B2"/>
    <w:rsid w:val="1BC25DC8"/>
    <w:rsid w:val="1BC538DB"/>
    <w:rsid w:val="1BCB2DA2"/>
    <w:rsid w:val="1BD21B87"/>
    <w:rsid w:val="1BFB3265"/>
    <w:rsid w:val="1C206126"/>
    <w:rsid w:val="1C2344FA"/>
    <w:rsid w:val="1C297AE0"/>
    <w:rsid w:val="1C3636B3"/>
    <w:rsid w:val="1C3B4DCB"/>
    <w:rsid w:val="1C455AA6"/>
    <w:rsid w:val="1C5365F7"/>
    <w:rsid w:val="1C5E7925"/>
    <w:rsid w:val="1C6F7740"/>
    <w:rsid w:val="1C704FA7"/>
    <w:rsid w:val="1C782A98"/>
    <w:rsid w:val="1C887FC8"/>
    <w:rsid w:val="1CA16E1C"/>
    <w:rsid w:val="1CAA12B7"/>
    <w:rsid w:val="1CB84D21"/>
    <w:rsid w:val="1CE61D7E"/>
    <w:rsid w:val="1CFB72AD"/>
    <w:rsid w:val="1D1735EF"/>
    <w:rsid w:val="1D1A05F7"/>
    <w:rsid w:val="1D295618"/>
    <w:rsid w:val="1D5F6196"/>
    <w:rsid w:val="1D6132A5"/>
    <w:rsid w:val="1D6A7819"/>
    <w:rsid w:val="1D8311E2"/>
    <w:rsid w:val="1D8A0A6D"/>
    <w:rsid w:val="1D8E56D5"/>
    <w:rsid w:val="1DAD6772"/>
    <w:rsid w:val="1DC840A8"/>
    <w:rsid w:val="1DC87746"/>
    <w:rsid w:val="1DD2132F"/>
    <w:rsid w:val="1DD678F3"/>
    <w:rsid w:val="1DDE4B7D"/>
    <w:rsid w:val="1DE859FC"/>
    <w:rsid w:val="1DF66423"/>
    <w:rsid w:val="1DF8411E"/>
    <w:rsid w:val="1DF9765E"/>
    <w:rsid w:val="1E0A5972"/>
    <w:rsid w:val="1E1C3AAA"/>
    <w:rsid w:val="1E1E141D"/>
    <w:rsid w:val="1E4E1D03"/>
    <w:rsid w:val="1E5455A2"/>
    <w:rsid w:val="1E7A43DA"/>
    <w:rsid w:val="1E813720"/>
    <w:rsid w:val="1E8F7C25"/>
    <w:rsid w:val="1EAC29EB"/>
    <w:rsid w:val="1EB277FE"/>
    <w:rsid w:val="1EBB0A1A"/>
    <w:rsid w:val="1EC71AB5"/>
    <w:rsid w:val="1ECF6909"/>
    <w:rsid w:val="1EEA4937"/>
    <w:rsid w:val="1EF94842"/>
    <w:rsid w:val="1EFB0506"/>
    <w:rsid w:val="1EFF0BFE"/>
    <w:rsid w:val="1F010FFE"/>
    <w:rsid w:val="1F093FE9"/>
    <w:rsid w:val="1F0D0F7A"/>
    <w:rsid w:val="1F1D720B"/>
    <w:rsid w:val="1F247A4D"/>
    <w:rsid w:val="1F264149"/>
    <w:rsid w:val="1F2B2926"/>
    <w:rsid w:val="1F427367"/>
    <w:rsid w:val="1F511827"/>
    <w:rsid w:val="1F551826"/>
    <w:rsid w:val="1F62011C"/>
    <w:rsid w:val="1F7170FC"/>
    <w:rsid w:val="1FA053FD"/>
    <w:rsid w:val="1FA13104"/>
    <w:rsid w:val="1FAD0ED5"/>
    <w:rsid w:val="1FB07AC3"/>
    <w:rsid w:val="1FBE4C66"/>
    <w:rsid w:val="1FC17307"/>
    <w:rsid w:val="1FCD440F"/>
    <w:rsid w:val="1FE7539E"/>
    <w:rsid w:val="203E5DA7"/>
    <w:rsid w:val="20423DFD"/>
    <w:rsid w:val="20453E77"/>
    <w:rsid w:val="204B52AE"/>
    <w:rsid w:val="205F4149"/>
    <w:rsid w:val="207675EB"/>
    <w:rsid w:val="207F2647"/>
    <w:rsid w:val="20823EE5"/>
    <w:rsid w:val="208366E4"/>
    <w:rsid w:val="20867C32"/>
    <w:rsid w:val="20963CB8"/>
    <w:rsid w:val="20A26F1F"/>
    <w:rsid w:val="20B07FB6"/>
    <w:rsid w:val="20B21E1A"/>
    <w:rsid w:val="20B3409F"/>
    <w:rsid w:val="20B44A1A"/>
    <w:rsid w:val="20BB3625"/>
    <w:rsid w:val="20C7153A"/>
    <w:rsid w:val="20D90A87"/>
    <w:rsid w:val="20DD2ECA"/>
    <w:rsid w:val="20EF11D8"/>
    <w:rsid w:val="211A0BFC"/>
    <w:rsid w:val="2127085B"/>
    <w:rsid w:val="212D27E6"/>
    <w:rsid w:val="213466B9"/>
    <w:rsid w:val="213570B2"/>
    <w:rsid w:val="213B74B1"/>
    <w:rsid w:val="214116AB"/>
    <w:rsid w:val="21543E5D"/>
    <w:rsid w:val="215A2310"/>
    <w:rsid w:val="215E0285"/>
    <w:rsid w:val="21613C05"/>
    <w:rsid w:val="21661A29"/>
    <w:rsid w:val="21752F23"/>
    <w:rsid w:val="21AC19FE"/>
    <w:rsid w:val="21DE318A"/>
    <w:rsid w:val="21E87E58"/>
    <w:rsid w:val="21EF5B80"/>
    <w:rsid w:val="21F4168E"/>
    <w:rsid w:val="22051CFB"/>
    <w:rsid w:val="220F17A9"/>
    <w:rsid w:val="22122D7A"/>
    <w:rsid w:val="221F4542"/>
    <w:rsid w:val="223B5A2C"/>
    <w:rsid w:val="224F3364"/>
    <w:rsid w:val="224F7DF7"/>
    <w:rsid w:val="22576990"/>
    <w:rsid w:val="22833F45"/>
    <w:rsid w:val="229C4EAB"/>
    <w:rsid w:val="22A77C33"/>
    <w:rsid w:val="22C57A15"/>
    <w:rsid w:val="22D34477"/>
    <w:rsid w:val="23384D2F"/>
    <w:rsid w:val="235368F2"/>
    <w:rsid w:val="236D0BD1"/>
    <w:rsid w:val="236F6D80"/>
    <w:rsid w:val="23885788"/>
    <w:rsid w:val="238B0EFB"/>
    <w:rsid w:val="239E65D5"/>
    <w:rsid w:val="23A23FF9"/>
    <w:rsid w:val="23C12240"/>
    <w:rsid w:val="23CD5478"/>
    <w:rsid w:val="23E2027A"/>
    <w:rsid w:val="23E550AF"/>
    <w:rsid w:val="23FC3FAF"/>
    <w:rsid w:val="241430A6"/>
    <w:rsid w:val="244E3C99"/>
    <w:rsid w:val="24597720"/>
    <w:rsid w:val="24653A07"/>
    <w:rsid w:val="247F2687"/>
    <w:rsid w:val="249841FA"/>
    <w:rsid w:val="24AA7BFE"/>
    <w:rsid w:val="24B76319"/>
    <w:rsid w:val="24C750E6"/>
    <w:rsid w:val="24D2342C"/>
    <w:rsid w:val="24D74561"/>
    <w:rsid w:val="24F739BD"/>
    <w:rsid w:val="250F5F82"/>
    <w:rsid w:val="251F6B65"/>
    <w:rsid w:val="251F7F55"/>
    <w:rsid w:val="25262C79"/>
    <w:rsid w:val="252D53FE"/>
    <w:rsid w:val="25345930"/>
    <w:rsid w:val="254A0D4A"/>
    <w:rsid w:val="257551A2"/>
    <w:rsid w:val="25CB1E8B"/>
    <w:rsid w:val="25CB2462"/>
    <w:rsid w:val="25E41F07"/>
    <w:rsid w:val="25EC2D81"/>
    <w:rsid w:val="25F969F8"/>
    <w:rsid w:val="26343F2A"/>
    <w:rsid w:val="26372D57"/>
    <w:rsid w:val="264528BD"/>
    <w:rsid w:val="26485F81"/>
    <w:rsid w:val="264B24E8"/>
    <w:rsid w:val="264C3E84"/>
    <w:rsid w:val="264E780F"/>
    <w:rsid w:val="266876DA"/>
    <w:rsid w:val="26791763"/>
    <w:rsid w:val="268F1252"/>
    <w:rsid w:val="26982102"/>
    <w:rsid w:val="26A55390"/>
    <w:rsid w:val="26AC3A6A"/>
    <w:rsid w:val="26B406F5"/>
    <w:rsid w:val="26CD4794"/>
    <w:rsid w:val="26CD797D"/>
    <w:rsid w:val="26D54F1D"/>
    <w:rsid w:val="26DA2456"/>
    <w:rsid w:val="26DC702B"/>
    <w:rsid w:val="26E50978"/>
    <w:rsid w:val="26EF4472"/>
    <w:rsid w:val="26F50808"/>
    <w:rsid w:val="271236FE"/>
    <w:rsid w:val="272430AC"/>
    <w:rsid w:val="27271343"/>
    <w:rsid w:val="27356DEA"/>
    <w:rsid w:val="275B665F"/>
    <w:rsid w:val="27842743"/>
    <w:rsid w:val="27926EB2"/>
    <w:rsid w:val="27A24E6D"/>
    <w:rsid w:val="27CB1015"/>
    <w:rsid w:val="27D15DD1"/>
    <w:rsid w:val="27DD0D39"/>
    <w:rsid w:val="27F31E28"/>
    <w:rsid w:val="27FB5C62"/>
    <w:rsid w:val="28132E22"/>
    <w:rsid w:val="28373807"/>
    <w:rsid w:val="284133FD"/>
    <w:rsid w:val="284B0D5B"/>
    <w:rsid w:val="28526FE1"/>
    <w:rsid w:val="28620159"/>
    <w:rsid w:val="28655875"/>
    <w:rsid w:val="286C26A1"/>
    <w:rsid w:val="286F11F3"/>
    <w:rsid w:val="2871647E"/>
    <w:rsid w:val="28793E20"/>
    <w:rsid w:val="289869A7"/>
    <w:rsid w:val="28A76295"/>
    <w:rsid w:val="28B058CA"/>
    <w:rsid w:val="28C601C5"/>
    <w:rsid w:val="28C751BC"/>
    <w:rsid w:val="28C75F55"/>
    <w:rsid w:val="28D76DCE"/>
    <w:rsid w:val="28E601FD"/>
    <w:rsid w:val="28E63E8B"/>
    <w:rsid w:val="28FE3812"/>
    <w:rsid w:val="290C697E"/>
    <w:rsid w:val="290D27BA"/>
    <w:rsid w:val="29205148"/>
    <w:rsid w:val="29206EB8"/>
    <w:rsid w:val="29226C1E"/>
    <w:rsid w:val="29252C8D"/>
    <w:rsid w:val="293168F8"/>
    <w:rsid w:val="294C79CC"/>
    <w:rsid w:val="295A2FAC"/>
    <w:rsid w:val="29890093"/>
    <w:rsid w:val="29893837"/>
    <w:rsid w:val="29927477"/>
    <w:rsid w:val="29AD6068"/>
    <w:rsid w:val="29AE7AF9"/>
    <w:rsid w:val="29D049D8"/>
    <w:rsid w:val="29DD577D"/>
    <w:rsid w:val="29DE595E"/>
    <w:rsid w:val="29E325E0"/>
    <w:rsid w:val="29EC3253"/>
    <w:rsid w:val="2A261D85"/>
    <w:rsid w:val="2A2D729B"/>
    <w:rsid w:val="2A2F70E9"/>
    <w:rsid w:val="2A391AB9"/>
    <w:rsid w:val="2A3E0B87"/>
    <w:rsid w:val="2A452503"/>
    <w:rsid w:val="2A5D139C"/>
    <w:rsid w:val="2A756869"/>
    <w:rsid w:val="2A763C9D"/>
    <w:rsid w:val="2A9F3BC6"/>
    <w:rsid w:val="2AA95768"/>
    <w:rsid w:val="2ABC5A31"/>
    <w:rsid w:val="2ACD2879"/>
    <w:rsid w:val="2AD42D2C"/>
    <w:rsid w:val="2ADE61BC"/>
    <w:rsid w:val="2AEF4E4D"/>
    <w:rsid w:val="2AF96930"/>
    <w:rsid w:val="2B1151B3"/>
    <w:rsid w:val="2B157BB0"/>
    <w:rsid w:val="2B1E7BE5"/>
    <w:rsid w:val="2B283ABE"/>
    <w:rsid w:val="2B290977"/>
    <w:rsid w:val="2B2B6ED1"/>
    <w:rsid w:val="2B336306"/>
    <w:rsid w:val="2B3555C1"/>
    <w:rsid w:val="2B6577D7"/>
    <w:rsid w:val="2B6C34BC"/>
    <w:rsid w:val="2B7F6B4B"/>
    <w:rsid w:val="2B89485E"/>
    <w:rsid w:val="2B8D3118"/>
    <w:rsid w:val="2B911481"/>
    <w:rsid w:val="2B942B59"/>
    <w:rsid w:val="2BA1664E"/>
    <w:rsid w:val="2BA936A8"/>
    <w:rsid w:val="2BAB2499"/>
    <w:rsid w:val="2BAC5771"/>
    <w:rsid w:val="2BAD1411"/>
    <w:rsid w:val="2BB90ED0"/>
    <w:rsid w:val="2BBE4C18"/>
    <w:rsid w:val="2BDD0222"/>
    <w:rsid w:val="2BE2653A"/>
    <w:rsid w:val="2BF02877"/>
    <w:rsid w:val="2BF63938"/>
    <w:rsid w:val="2BF7123A"/>
    <w:rsid w:val="2C161986"/>
    <w:rsid w:val="2C232A43"/>
    <w:rsid w:val="2C315A5A"/>
    <w:rsid w:val="2C574478"/>
    <w:rsid w:val="2C5B220D"/>
    <w:rsid w:val="2C904EDD"/>
    <w:rsid w:val="2CC82C80"/>
    <w:rsid w:val="2CCA64D9"/>
    <w:rsid w:val="2CDF7FCA"/>
    <w:rsid w:val="2CEB2E12"/>
    <w:rsid w:val="2CEF5FCD"/>
    <w:rsid w:val="2CF36163"/>
    <w:rsid w:val="2CF433A7"/>
    <w:rsid w:val="2D274957"/>
    <w:rsid w:val="2D305FD7"/>
    <w:rsid w:val="2D32459D"/>
    <w:rsid w:val="2D4367AA"/>
    <w:rsid w:val="2D727090"/>
    <w:rsid w:val="2D76740D"/>
    <w:rsid w:val="2D7774F8"/>
    <w:rsid w:val="2D825545"/>
    <w:rsid w:val="2D954F24"/>
    <w:rsid w:val="2D976DEB"/>
    <w:rsid w:val="2D9E56F5"/>
    <w:rsid w:val="2D9E5740"/>
    <w:rsid w:val="2DA31D38"/>
    <w:rsid w:val="2DC01BA9"/>
    <w:rsid w:val="2E1F0FC6"/>
    <w:rsid w:val="2E232026"/>
    <w:rsid w:val="2E2B6BDF"/>
    <w:rsid w:val="2E2C2094"/>
    <w:rsid w:val="2E5A7688"/>
    <w:rsid w:val="2E667F96"/>
    <w:rsid w:val="2E710B9F"/>
    <w:rsid w:val="2E7A61FC"/>
    <w:rsid w:val="2E8226AB"/>
    <w:rsid w:val="2E825EE3"/>
    <w:rsid w:val="2E8C5F2F"/>
    <w:rsid w:val="2E903C71"/>
    <w:rsid w:val="2E95698F"/>
    <w:rsid w:val="2E96703E"/>
    <w:rsid w:val="2E9E0E62"/>
    <w:rsid w:val="2EAC3C24"/>
    <w:rsid w:val="2EDA4EED"/>
    <w:rsid w:val="2EEF2250"/>
    <w:rsid w:val="2F01295A"/>
    <w:rsid w:val="2F1F5E27"/>
    <w:rsid w:val="2F3634B4"/>
    <w:rsid w:val="2F4405B8"/>
    <w:rsid w:val="2F5D5BC5"/>
    <w:rsid w:val="2F6A7623"/>
    <w:rsid w:val="2F715184"/>
    <w:rsid w:val="2F7A5BEC"/>
    <w:rsid w:val="2F832C79"/>
    <w:rsid w:val="2F8B799C"/>
    <w:rsid w:val="2F904AFB"/>
    <w:rsid w:val="2FA11189"/>
    <w:rsid w:val="2FA95230"/>
    <w:rsid w:val="2FAF45CB"/>
    <w:rsid w:val="2FB252BA"/>
    <w:rsid w:val="2FB82320"/>
    <w:rsid w:val="2FBF2545"/>
    <w:rsid w:val="2FEF2D58"/>
    <w:rsid w:val="30027326"/>
    <w:rsid w:val="30580BC9"/>
    <w:rsid w:val="305E2125"/>
    <w:rsid w:val="30841E9E"/>
    <w:rsid w:val="30AD6445"/>
    <w:rsid w:val="30BF5A6E"/>
    <w:rsid w:val="30C23412"/>
    <w:rsid w:val="30DC66D2"/>
    <w:rsid w:val="30F34FAB"/>
    <w:rsid w:val="30F45F41"/>
    <w:rsid w:val="310821E5"/>
    <w:rsid w:val="311E2ED7"/>
    <w:rsid w:val="312452B7"/>
    <w:rsid w:val="312468F3"/>
    <w:rsid w:val="31293F09"/>
    <w:rsid w:val="312A28E8"/>
    <w:rsid w:val="31457DBA"/>
    <w:rsid w:val="315232FC"/>
    <w:rsid w:val="3154007D"/>
    <w:rsid w:val="315444B4"/>
    <w:rsid w:val="315B2E21"/>
    <w:rsid w:val="315C449C"/>
    <w:rsid w:val="316D5E0E"/>
    <w:rsid w:val="3178368F"/>
    <w:rsid w:val="31885C13"/>
    <w:rsid w:val="318B727C"/>
    <w:rsid w:val="319B18DA"/>
    <w:rsid w:val="31B00D66"/>
    <w:rsid w:val="31B82709"/>
    <w:rsid w:val="31B954D9"/>
    <w:rsid w:val="31BD645D"/>
    <w:rsid w:val="31C54C95"/>
    <w:rsid w:val="31D75713"/>
    <w:rsid w:val="31E26BC8"/>
    <w:rsid w:val="31F723E5"/>
    <w:rsid w:val="322A0463"/>
    <w:rsid w:val="32400B34"/>
    <w:rsid w:val="324C7D2D"/>
    <w:rsid w:val="325D7651"/>
    <w:rsid w:val="32630C11"/>
    <w:rsid w:val="326D5E8D"/>
    <w:rsid w:val="326D7A16"/>
    <w:rsid w:val="3278142A"/>
    <w:rsid w:val="327E7160"/>
    <w:rsid w:val="3286099B"/>
    <w:rsid w:val="329E6876"/>
    <w:rsid w:val="32AF7972"/>
    <w:rsid w:val="32BA0319"/>
    <w:rsid w:val="32CF5928"/>
    <w:rsid w:val="32E00E0D"/>
    <w:rsid w:val="32FC5DEB"/>
    <w:rsid w:val="33136C1F"/>
    <w:rsid w:val="3315290A"/>
    <w:rsid w:val="33194EB3"/>
    <w:rsid w:val="332B3F69"/>
    <w:rsid w:val="334D31D6"/>
    <w:rsid w:val="335477EE"/>
    <w:rsid w:val="336D04EB"/>
    <w:rsid w:val="338843BB"/>
    <w:rsid w:val="33896EE1"/>
    <w:rsid w:val="33A4310B"/>
    <w:rsid w:val="33A47A6A"/>
    <w:rsid w:val="33C341A1"/>
    <w:rsid w:val="33C61EE3"/>
    <w:rsid w:val="33D61C65"/>
    <w:rsid w:val="33D934D4"/>
    <w:rsid w:val="33E65B1A"/>
    <w:rsid w:val="33F425AD"/>
    <w:rsid w:val="33F94295"/>
    <w:rsid w:val="33FA3005"/>
    <w:rsid w:val="33FE2F6A"/>
    <w:rsid w:val="340640FA"/>
    <w:rsid w:val="34080046"/>
    <w:rsid w:val="341B38E5"/>
    <w:rsid w:val="342B6606"/>
    <w:rsid w:val="343B642D"/>
    <w:rsid w:val="34426FE1"/>
    <w:rsid w:val="344637CB"/>
    <w:rsid w:val="34623BF0"/>
    <w:rsid w:val="3466742F"/>
    <w:rsid w:val="3468172F"/>
    <w:rsid w:val="347B474E"/>
    <w:rsid w:val="348C0A37"/>
    <w:rsid w:val="34931D82"/>
    <w:rsid w:val="34A75871"/>
    <w:rsid w:val="34AE0F37"/>
    <w:rsid w:val="34BA1A48"/>
    <w:rsid w:val="34CE72A2"/>
    <w:rsid w:val="34E622D6"/>
    <w:rsid w:val="34E62693"/>
    <w:rsid w:val="34EE47FD"/>
    <w:rsid w:val="34FA0097"/>
    <w:rsid w:val="35037C8B"/>
    <w:rsid w:val="35154937"/>
    <w:rsid w:val="35204BD0"/>
    <w:rsid w:val="35380676"/>
    <w:rsid w:val="353E4427"/>
    <w:rsid w:val="35405834"/>
    <w:rsid w:val="354727FA"/>
    <w:rsid w:val="35511EAD"/>
    <w:rsid w:val="355B4908"/>
    <w:rsid w:val="35847960"/>
    <w:rsid w:val="35C44A43"/>
    <w:rsid w:val="35D21B18"/>
    <w:rsid w:val="35D23D5C"/>
    <w:rsid w:val="35DA0055"/>
    <w:rsid w:val="35DC4A53"/>
    <w:rsid w:val="36020911"/>
    <w:rsid w:val="36074A7F"/>
    <w:rsid w:val="36090DC5"/>
    <w:rsid w:val="3613710F"/>
    <w:rsid w:val="3615276A"/>
    <w:rsid w:val="36157141"/>
    <w:rsid w:val="361A2A04"/>
    <w:rsid w:val="361F0287"/>
    <w:rsid w:val="36392AAA"/>
    <w:rsid w:val="363D0E7E"/>
    <w:rsid w:val="364610BA"/>
    <w:rsid w:val="364D2448"/>
    <w:rsid w:val="3657755A"/>
    <w:rsid w:val="36715E01"/>
    <w:rsid w:val="36783969"/>
    <w:rsid w:val="36900FB6"/>
    <w:rsid w:val="36923549"/>
    <w:rsid w:val="36963DEF"/>
    <w:rsid w:val="36A4475E"/>
    <w:rsid w:val="36A81E33"/>
    <w:rsid w:val="36AA39B8"/>
    <w:rsid w:val="36B75FBF"/>
    <w:rsid w:val="36C669C5"/>
    <w:rsid w:val="36C76A7B"/>
    <w:rsid w:val="36D500B5"/>
    <w:rsid w:val="36E81A78"/>
    <w:rsid w:val="36F40B16"/>
    <w:rsid w:val="36FB4891"/>
    <w:rsid w:val="37074DD7"/>
    <w:rsid w:val="370C122A"/>
    <w:rsid w:val="370F76FD"/>
    <w:rsid w:val="37126385"/>
    <w:rsid w:val="371B748A"/>
    <w:rsid w:val="373553B6"/>
    <w:rsid w:val="37403D5B"/>
    <w:rsid w:val="375D2B5F"/>
    <w:rsid w:val="375F4832"/>
    <w:rsid w:val="377F284C"/>
    <w:rsid w:val="37B24C58"/>
    <w:rsid w:val="37B24E1E"/>
    <w:rsid w:val="37D11921"/>
    <w:rsid w:val="37F50CFA"/>
    <w:rsid w:val="37F52D97"/>
    <w:rsid w:val="3870488D"/>
    <w:rsid w:val="38797589"/>
    <w:rsid w:val="387D0E59"/>
    <w:rsid w:val="389B71D6"/>
    <w:rsid w:val="38AF12A8"/>
    <w:rsid w:val="38B2728C"/>
    <w:rsid w:val="38DC6813"/>
    <w:rsid w:val="38F12CD3"/>
    <w:rsid w:val="38F94775"/>
    <w:rsid w:val="39100662"/>
    <w:rsid w:val="39191D3C"/>
    <w:rsid w:val="392971ED"/>
    <w:rsid w:val="39406294"/>
    <w:rsid w:val="395F4740"/>
    <w:rsid w:val="396C73E2"/>
    <w:rsid w:val="397320DD"/>
    <w:rsid w:val="397D3044"/>
    <w:rsid w:val="397F2509"/>
    <w:rsid w:val="39897C3B"/>
    <w:rsid w:val="398E4CC6"/>
    <w:rsid w:val="39A11298"/>
    <w:rsid w:val="39AA5498"/>
    <w:rsid w:val="39B239D3"/>
    <w:rsid w:val="39BF365D"/>
    <w:rsid w:val="39D92448"/>
    <w:rsid w:val="39E73EE2"/>
    <w:rsid w:val="39F12511"/>
    <w:rsid w:val="3A12378C"/>
    <w:rsid w:val="3A21302E"/>
    <w:rsid w:val="3A281202"/>
    <w:rsid w:val="3A34221E"/>
    <w:rsid w:val="3A70604D"/>
    <w:rsid w:val="3A7C2A0E"/>
    <w:rsid w:val="3AB14584"/>
    <w:rsid w:val="3ACF5B21"/>
    <w:rsid w:val="3AD51AF7"/>
    <w:rsid w:val="3AE64A80"/>
    <w:rsid w:val="3B0B2F91"/>
    <w:rsid w:val="3B3763D1"/>
    <w:rsid w:val="3B3E66D8"/>
    <w:rsid w:val="3B53544C"/>
    <w:rsid w:val="3B583D69"/>
    <w:rsid w:val="3B672BCC"/>
    <w:rsid w:val="3B820EA8"/>
    <w:rsid w:val="3BCB2E5B"/>
    <w:rsid w:val="3BD22F89"/>
    <w:rsid w:val="3BDD4CDD"/>
    <w:rsid w:val="3BE06D5E"/>
    <w:rsid w:val="3C0021D7"/>
    <w:rsid w:val="3C065573"/>
    <w:rsid w:val="3C0F5918"/>
    <w:rsid w:val="3C103F89"/>
    <w:rsid w:val="3C16166D"/>
    <w:rsid w:val="3C187054"/>
    <w:rsid w:val="3C1A323C"/>
    <w:rsid w:val="3C1C4D96"/>
    <w:rsid w:val="3C1F191F"/>
    <w:rsid w:val="3C1F3796"/>
    <w:rsid w:val="3C22119A"/>
    <w:rsid w:val="3C395948"/>
    <w:rsid w:val="3C5E7C1D"/>
    <w:rsid w:val="3C633B2D"/>
    <w:rsid w:val="3C665F0C"/>
    <w:rsid w:val="3C90308E"/>
    <w:rsid w:val="3CB40F8F"/>
    <w:rsid w:val="3CBF12EB"/>
    <w:rsid w:val="3CC52F75"/>
    <w:rsid w:val="3CD653EC"/>
    <w:rsid w:val="3CD73BDF"/>
    <w:rsid w:val="3CD932CA"/>
    <w:rsid w:val="3CDA245A"/>
    <w:rsid w:val="3CE25270"/>
    <w:rsid w:val="3CEE0A37"/>
    <w:rsid w:val="3D050147"/>
    <w:rsid w:val="3D0A2E41"/>
    <w:rsid w:val="3D16040F"/>
    <w:rsid w:val="3D301E09"/>
    <w:rsid w:val="3D404AB5"/>
    <w:rsid w:val="3D522FAA"/>
    <w:rsid w:val="3D6A509F"/>
    <w:rsid w:val="3D6C3AFB"/>
    <w:rsid w:val="3D714C6E"/>
    <w:rsid w:val="3D842BF3"/>
    <w:rsid w:val="3D8F15CC"/>
    <w:rsid w:val="3DBD1D98"/>
    <w:rsid w:val="3DBF4C87"/>
    <w:rsid w:val="3DC23028"/>
    <w:rsid w:val="3DC647EF"/>
    <w:rsid w:val="3DC85112"/>
    <w:rsid w:val="3DD94C1B"/>
    <w:rsid w:val="3E411D1E"/>
    <w:rsid w:val="3E531726"/>
    <w:rsid w:val="3E5A4588"/>
    <w:rsid w:val="3E5C04C3"/>
    <w:rsid w:val="3E5D4420"/>
    <w:rsid w:val="3E6F1080"/>
    <w:rsid w:val="3E7476F3"/>
    <w:rsid w:val="3E774741"/>
    <w:rsid w:val="3E883FA2"/>
    <w:rsid w:val="3E96478D"/>
    <w:rsid w:val="3EB92D70"/>
    <w:rsid w:val="3EBA63FB"/>
    <w:rsid w:val="3ED90D1D"/>
    <w:rsid w:val="3EE651E8"/>
    <w:rsid w:val="3EF826BE"/>
    <w:rsid w:val="3F014E33"/>
    <w:rsid w:val="3F4B0797"/>
    <w:rsid w:val="3F517B91"/>
    <w:rsid w:val="3F576A0D"/>
    <w:rsid w:val="3F584337"/>
    <w:rsid w:val="3F660E74"/>
    <w:rsid w:val="3F7945D8"/>
    <w:rsid w:val="3F7C06AB"/>
    <w:rsid w:val="3FB62E0C"/>
    <w:rsid w:val="3FCA696F"/>
    <w:rsid w:val="3FD149F8"/>
    <w:rsid w:val="3FDA0210"/>
    <w:rsid w:val="3FDA0DE9"/>
    <w:rsid w:val="3FE00B59"/>
    <w:rsid w:val="3FEC3E42"/>
    <w:rsid w:val="3FF22F07"/>
    <w:rsid w:val="3FFF77DC"/>
    <w:rsid w:val="400960E6"/>
    <w:rsid w:val="400E2C48"/>
    <w:rsid w:val="401E77FD"/>
    <w:rsid w:val="404D3421"/>
    <w:rsid w:val="405B72BF"/>
    <w:rsid w:val="407927B7"/>
    <w:rsid w:val="407A6407"/>
    <w:rsid w:val="407C75FB"/>
    <w:rsid w:val="409273D5"/>
    <w:rsid w:val="40B97D06"/>
    <w:rsid w:val="40C65A03"/>
    <w:rsid w:val="40CF687B"/>
    <w:rsid w:val="40DD3116"/>
    <w:rsid w:val="40F954CC"/>
    <w:rsid w:val="40FB3677"/>
    <w:rsid w:val="41166258"/>
    <w:rsid w:val="41426D4E"/>
    <w:rsid w:val="414470C2"/>
    <w:rsid w:val="418F562E"/>
    <w:rsid w:val="41C619F5"/>
    <w:rsid w:val="41E212A8"/>
    <w:rsid w:val="41E45333"/>
    <w:rsid w:val="41E55C2A"/>
    <w:rsid w:val="41E7143A"/>
    <w:rsid w:val="41F017C7"/>
    <w:rsid w:val="420A54B1"/>
    <w:rsid w:val="421F1170"/>
    <w:rsid w:val="42302E6E"/>
    <w:rsid w:val="423A3BCC"/>
    <w:rsid w:val="423C4AB8"/>
    <w:rsid w:val="424B5495"/>
    <w:rsid w:val="425D5CBE"/>
    <w:rsid w:val="4262391B"/>
    <w:rsid w:val="426348C1"/>
    <w:rsid w:val="42712B7D"/>
    <w:rsid w:val="42937435"/>
    <w:rsid w:val="42B63673"/>
    <w:rsid w:val="42B950A6"/>
    <w:rsid w:val="42C637B8"/>
    <w:rsid w:val="42C7371B"/>
    <w:rsid w:val="42CD46CB"/>
    <w:rsid w:val="42D71A17"/>
    <w:rsid w:val="42E92C62"/>
    <w:rsid w:val="43133B07"/>
    <w:rsid w:val="43163088"/>
    <w:rsid w:val="43212404"/>
    <w:rsid w:val="43217136"/>
    <w:rsid w:val="432B7C7A"/>
    <w:rsid w:val="433A6FE6"/>
    <w:rsid w:val="434A3428"/>
    <w:rsid w:val="4350713C"/>
    <w:rsid w:val="436653E0"/>
    <w:rsid w:val="43681387"/>
    <w:rsid w:val="438309A0"/>
    <w:rsid w:val="438D20D6"/>
    <w:rsid w:val="43D227F3"/>
    <w:rsid w:val="43D915FE"/>
    <w:rsid w:val="43EA6480"/>
    <w:rsid w:val="43F9561B"/>
    <w:rsid w:val="4407582C"/>
    <w:rsid w:val="440E5BC7"/>
    <w:rsid w:val="44184DCF"/>
    <w:rsid w:val="441A2268"/>
    <w:rsid w:val="4421444F"/>
    <w:rsid w:val="44224F14"/>
    <w:rsid w:val="44277193"/>
    <w:rsid w:val="44305F59"/>
    <w:rsid w:val="444C5E74"/>
    <w:rsid w:val="44513A04"/>
    <w:rsid w:val="445E3797"/>
    <w:rsid w:val="446F729E"/>
    <w:rsid w:val="44702BEF"/>
    <w:rsid w:val="447119F7"/>
    <w:rsid w:val="44844D81"/>
    <w:rsid w:val="448E4011"/>
    <w:rsid w:val="449A480F"/>
    <w:rsid w:val="44A32125"/>
    <w:rsid w:val="44A3730F"/>
    <w:rsid w:val="44C55E6E"/>
    <w:rsid w:val="44CD14E0"/>
    <w:rsid w:val="44D511D9"/>
    <w:rsid w:val="44DA0049"/>
    <w:rsid w:val="44EE170D"/>
    <w:rsid w:val="44F3240C"/>
    <w:rsid w:val="44FC022C"/>
    <w:rsid w:val="44FD51BD"/>
    <w:rsid w:val="450B1E4C"/>
    <w:rsid w:val="45253AB7"/>
    <w:rsid w:val="45296FC6"/>
    <w:rsid w:val="452D7C32"/>
    <w:rsid w:val="453749EF"/>
    <w:rsid w:val="45500AC3"/>
    <w:rsid w:val="45505B10"/>
    <w:rsid w:val="456C7723"/>
    <w:rsid w:val="457121D3"/>
    <w:rsid w:val="458946E9"/>
    <w:rsid w:val="458D1E80"/>
    <w:rsid w:val="458D6025"/>
    <w:rsid w:val="45A656D1"/>
    <w:rsid w:val="45A9358D"/>
    <w:rsid w:val="45B5274A"/>
    <w:rsid w:val="45C7463B"/>
    <w:rsid w:val="45C9168A"/>
    <w:rsid w:val="45DA5C4C"/>
    <w:rsid w:val="462D7248"/>
    <w:rsid w:val="463D6A5B"/>
    <w:rsid w:val="463E140B"/>
    <w:rsid w:val="466E4440"/>
    <w:rsid w:val="46767799"/>
    <w:rsid w:val="468B503D"/>
    <w:rsid w:val="46A40D8D"/>
    <w:rsid w:val="46BD2A03"/>
    <w:rsid w:val="46BF52CA"/>
    <w:rsid w:val="46C23807"/>
    <w:rsid w:val="46CF5D7A"/>
    <w:rsid w:val="46D36999"/>
    <w:rsid w:val="46D544C0"/>
    <w:rsid w:val="46D64877"/>
    <w:rsid w:val="46D955A7"/>
    <w:rsid w:val="46F443A3"/>
    <w:rsid w:val="46F963D5"/>
    <w:rsid w:val="470556D1"/>
    <w:rsid w:val="471072A6"/>
    <w:rsid w:val="47133957"/>
    <w:rsid w:val="47451645"/>
    <w:rsid w:val="4760647F"/>
    <w:rsid w:val="47767586"/>
    <w:rsid w:val="4779329E"/>
    <w:rsid w:val="478530CB"/>
    <w:rsid w:val="478F64E9"/>
    <w:rsid w:val="47A07E0C"/>
    <w:rsid w:val="47A81166"/>
    <w:rsid w:val="481D289F"/>
    <w:rsid w:val="482943E4"/>
    <w:rsid w:val="482C5DCA"/>
    <w:rsid w:val="484F18C2"/>
    <w:rsid w:val="48547CD4"/>
    <w:rsid w:val="485B567C"/>
    <w:rsid w:val="48624334"/>
    <w:rsid w:val="4870272E"/>
    <w:rsid w:val="48747695"/>
    <w:rsid w:val="48782955"/>
    <w:rsid w:val="48923DC4"/>
    <w:rsid w:val="489302FA"/>
    <w:rsid w:val="48C36520"/>
    <w:rsid w:val="48C61DDC"/>
    <w:rsid w:val="49494CF1"/>
    <w:rsid w:val="49534B1C"/>
    <w:rsid w:val="495518E8"/>
    <w:rsid w:val="495A10BD"/>
    <w:rsid w:val="496D2281"/>
    <w:rsid w:val="49746212"/>
    <w:rsid w:val="49836455"/>
    <w:rsid w:val="49872002"/>
    <w:rsid w:val="49A42E30"/>
    <w:rsid w:val="49AD5781"/>
    <w:rsid w:val="49B849EA"/>
    <w:rsid w:val="49C12AD9"/>
    <w:rsid w:val="49D84086"/>
    <w:rsid w:val="49D9361E"/>
    <w:rsid w:val="49D97EC7"/>
    <w:rsid w:val="49DC7715"/>
    <w:rsid w:val="4A023139"/>
    <w:rsid w:val="4A050342"/>
    <w:rsid w:val="4A0E65F5"/>
    <w:rsid w:val="4A1452FF"/>
    <w:rsid w:val="4A3D1B41"/>
    <w:rsid w:val="4A4227F7"/>
    <w:rsid w:val="4A4D25BF"/>
    <w:rsid w:val="4A5D1020"/>
    <w:rsid w:val="4A5E37D0"/>
    <w:rsid w:val="4A6E7BA5"/>
    <w:rsid w:val="4A790390"/>
    <w:rsid w:val="4A7B576F"/>
    <w:rsid w:val="4A8E50B1"/>
    <w:rsid w:val="4AA3092D"/>
    <w:rsid w:val="4AA5064D"/>
    <w:rsid w:val="4ACD4234"/>
    <w:rsid w:val="4ADE51CA"/>
    <w:rsid w:val="4AE577E6"/>
    <w:rsid w:val="4AFA2747"/>
    <w:rsid w:val="4B055CCF"/>
    <w:rsid w:val="4B1C4FFA"/>
    <w:rsid w:val="4B350345"/>
    <w:rsid w:val="4B3B5348"/>
    <w:rsid w:val="4B3D7EB1"/>
    <w:rsid w:val="4B452F6D"/>
    <w:rsid w:val="4B4C04F4"/>
    <w:rsid w:val="4B4E2346"/>
    <w:rsid w:val="4B522EF9"/>
    <w:rsid w:val="4B5C47EB"/>
    <w:rsid w:val="4B5F417E"/>
    <w:rsid w:val="4B8160B1"/>
    <w:rsid w:val="4B9E7576"/>
    <w:rsid w:val="4BA601D9"/>
    <w:rsid w:val="4BBE2744"/>
    <w:rsid w:val="4BDC009E"/>
    <w:rsid w:val="4BE22A04"/>
    <w:rsid w:val="4BE72F58"/>
    <w:rsid w:val="4BE85782"/>
    <w:rsid w:val="4C0C49AD"/>
    <w:rsid w:val="4C1E78CE"/>
    <w:rsid w:val="4C242CFB"/>
    <w:rsid w:val="4C2555A1"/>
    <w:rsid w:val="4C475FD9"/>
    <w:rsid w:val="4C4A0649"/>
    <w:rsid w:val="4C4C5139"/>
    <w:rsid w:val="4C5305F1"/>
    <w:rsid w:val="4C592EBA"/>
    <w:rsid w:val="4C6256EF"/>
    <w:rsid w:val="4C633D3F"/>
    <w:rsid w:val="4C762928"/>
    <w:rsid w:val="4C7F33E1"/>
    <w:rsid w:val="4C8E547B"/>
    <w:rsid w:val="4CA129AF"/>
    <w:rsid w:val="4CB701C3"/>
    <w:rsid w:val="4CD05F49"/>
    <w:rsid w:val="4CD6689C"/>
    <w:rsid w:val="4CE470D3"/>
    <w:rsid w:val="4CEA4248"/>
    <w:rsid w:val="4D054B84"/>
    <w:rsid w:val="4D0819DE"/>
    <w:rsid w:val="4D153868"/>
    <w:rsid w:val="4D2718B0"/>
    <w:rsid w:val="4D2C7F64"/>
    <w:rsid w:val="4D3116FB"/>
    <w:rsid w:val="4D471547"/>
    <w:rsid w:val="4D491763"/>
    <w:rsid w:val="4D55429F"/>
    <w:rsid w:val="4D66798B"/>
    <w:rsid w:val="4D6C56FA"/>
    <w:rsid w:val="4D73727C"/>
    <w:rsid w:val="4D7A191D"/>
    <w:rsid w:val="4D835843"/>
    <w:rsid w:val="4D8B3ED4"/>
    <w:rsid w:val="4D922B7A"/>
    <w:rsid w:val="4DB860EA"/>
    <w:rsid w:val="4DBC07E4"/>
    <w:rsid w:val="4DC95151"/>
    <w:rsid w:val="4DD32D63"/>
    <w:rsid w:val="4DE5701F"/>
    <w:rsid w:val="4DEC4FB0"/>
    <w:rsid w:val="4E075D8A"/>
    <w:rsid w:val="4E1E00BB"/>
    <w:rsid w:val="4E21623C"/>
    <w:rsid w:val="4E2604CC"/>
    <w:rsid w:val="4E331F2D"/>
    <w:rsid w:val="4E437E94"/>
    <w:rsid w:val="4E466FB6"/>
    <w:rsid w:val="4E593C28"/>
    <w:rsid w:val="4E732C6F"/>
    <w:rsid w:val="4E7628D8"/>
    <w:rsid w:val="4E781497"/>
    <w:rsid w:val="4EA64A07"/>
    <w:rsid w:val="4EC36010"/>
    <w:rsid w:val="4ED43D8A"/>
    <w:rsid w:val="4ED80923"/>
    <w:rsid w:val="4EDD46E9"/>
    <w:rsid w:val="4EE52F3B"/>
    <w:rsid w:val="4EF63B51"/>
    <w:rsid w:val="4F355D1A"/>
    <w:rsid w:val="4F446E16"/>
    <w:rsid w:val="4F960564"/>
    <w:rsid w:val="4FC62A8C"/>
    <w:rsid w:val="4FCB2904"/>
    <w:rsid w:val="4FCD667C"/>
    <w:rsid w:val="4FD33566"/>
    <w:rsid w:val="4FD8438E"/>
    <w:rsid w:val="4FE20F0D"/>
    <w:rsid w:val="4FFA0CE0"/>
    <w:rsid w:val="50034913"/>
    <w:rsid w:val="500D0826"/>
    <w:rsid w:val="50130C0F"/>
    <w:rsid w:val="503A2055"/>
    <w:rsid w:val="504947BE"/>
    <w:rsid w:val="504A0043"/>
    <w:rsid w:val="50504C4B"/>
    <w:rsid w:val="505E5526"/>
    <w:rsid w:val="507C5F25"/>
    <w:rsid w:val="50997EA3"/>
    <w:rsid w:val="509C6E7C"/>
    <w:rsid w:val="50C07F8E"/>
    <w:rsid w:val="50E11B10"/>
    <w:rsid w:val="50EA0003"/>
    <w:rsid w:val="50EF4612"/>
    <w:rsid w:val="50F36E79"/>
    <w:rsid w:val="51077BCA"/>
    <w:rsid w:val="51245BB9"/>
    <w:rsid w:val="51357D9E"/>
    <w:rsid w:val="51364098"/>
    <w:rsid w:val="51564949"/>
    <w:rsid w:val="515801C7"/>
    <w:rsid w:val="515B7CB7"/>
    <w:rsid w:val="5162104E"/>
    <w:rsid w:val="51703763"/>
    <w:rsid w:val="51714DE5"/>
    <w:rsid w:val="517E40EB"/>
    <w:rsid w:val="518825E4"/>
    <w:rsid w:val="518D412E"/>
    <w:rsid w:val="519109DC"/>
    <w:rsid w:val="519D1F38"/>
    <w:rsid w:val="51AC22C1"/>
    <w:rsid w:val="51D27F79"/>
    <w:rsid w:val="51D96B05"/>
    <w:rsid w:val="51E87DED"/>
    <w:rsid w:val="51EA5FC3"/>
    <w:rsid w:val="51ED4B57"/>
    <w:rsid w:val="51FA51A7"/>
    <w:rsid w:val="521C3C37"/>
    <w:rsid w:val="522900C9"/>
    <w:rsid w:val="522F68D9"/>
    <w:rsid w:val="523A1E1D"/>
    <w:rsid w:val="523D7CE4"/>
    <w:rsid w:val="52540465"/>
    <w:rsid w:val="52577642"/>
    <w:rsid w:val="525B64BD"/>
    <w:rsid w:val="5269091F"/>
    <w:rsid w:val="527E1EAF"/>
    <w:rsid w:val="528374C6"/>
    <w:rsid w:val="529E60AD"/>
    <w:rsid w:val="52A60E49"/>
    <w:rsid w:val="52B0193D"/>
    <w:rsid w:val="52B64958"/>
    <w:rsid w:val="52DC6BD6"/>
    <w:rsid w:val="52E607AA"/>
    <w:rsid w:val="53071413"/>
    <w:rsid w:val="532C190B"/>
    <w:rsid w:val="5347497B"/>
    <w:rsid w:val="536D50B7"/>
    <w:rsid w:val="53963882"/>
    <w:rsid w:val="5398012A"/>
    <w:rsid w:val="539C1AFF"/>
    <w:rsid w:val="53A039CC"/>
    <w:rsid w:val="53A1505A"/>
    <w:rsid w:val="53A205DF"/>
    <w:rsid w:val="53AC0A46"/>
    <w:rsid w:val="53BE3E7E"/>
    <w:rsid w:val="53C3076B"/>
    <w:rsid w:val="53EA0BEA"/>
    <w:rsid w:val="54063E08"/>
    <w:rsid w:val="540939FA"/>
    <w:rsid w:val="540A3BE5"/>
    <w:rsid w:val="540E2C5F"/>
    <w:rsid w:val="543437E8"/>
    <w:rsid w:val="546C1D5F"/>
    <w:rsid w:val="5477195C"/>
    <w:rsid w:val="5491738D"/>
    <w:rsid w:val="54AF302D"/>
    <w:rsid w:val="54C6191E"/>
    <w:rsid w:val="54D04518"/>
    <w:rsid w:val="54D85918"/>
    <w:rsid w:val="54F13811"/>
    <w:rsid w:val="551E68BA"/>
    <w:rsid w:val="553324DF"/>
    <w:rsid w:val="55351A9E"/>
    <w:rsid w:val="55425416"/>
    <w:rsid w:val="55462E57"/>
    <w:rsid w:val="555D2250"/>
    <w:rsid w:val="557E3F74"/>
    <w:rsid w:val="55846F42"/>
    <w:rsid w:val="55903AC5"/>
    <w:rsid w:val="559218C2"/>
    <w:rsid w:val="559761B2"/>
    <w:rsid w:val="5597788F"/>
    <w:rsid w:val="559B174B"/>
    <w:rsid w:val="55B31E70"/>
    <w:rsid w:val="55B6370E"/>
    <w:rsid w:val="55BE74FE"/>
    <w:rsid w:val="55BF5B0E"/>
    <w:rsid w:val="55CE0CF4"/>
    <w:rsid w:val="55D3794A"/>
    <w:rsid w:val="55FD133D"/>
    <w:rsid w:val="560E6342"/>
    <w:rsid w:val="562021EF"/>
    <w:rsid w:val="562315B4"/>
    <w:rsid w:val="56290384"/>
    <w:rsid w:val="563805C7"/>
    <w:rsid w:val="56476F71"/>
    <w:rsid w:val="564D60F3"/>
    <w:rsid w:val="564F131D"/>
    <w:rsid w:val="56576922"/>
    <w:rsid w:val="565C6063"/>
    <w:rsid w:val="56745F9A"/>
    <w:rsid w:val="56806AD1"/>
    <w:rsid w:val="56846961"/>
    <w:rsid w:val="56B22A9C"/>
    <w:rsid w:val="56C37E91"/>
    <w:rsid w:val="56DC0A61"/>
    <w:rsid w:val="56F11256"/>
    <w:rsid w:val="56F168F0"/>
    <w:rsid w:val="570645D5"/>
    <w:rsid w:val="570B446F"/>
    <w:rsid w:val="57146841"/>
    <w:rsid w:val="571C7B4C"/>
    <w:rsid w:val="572154B4"/>
    <w:rsid w:val="572C2CC0"/>
    <w:rsid w:val="573906B6"/>
    <w:rsid w:val="57787224"/>
    <w:rsid w:val="57854509"/>
    <w:rsid w:val="57892684"/>
    <w:rsid w:val="5798756F"/>
    <w:rsid w:val="57995095"/>
    <w:rsid w:val="579A5EA4"/>
    <w:rsid w:val="57A10CDC"/>
    <w:rsid w:val="57A20437"/>
    <w:rsid w:val="57AA2DFF"/>
    <w:rsid w:val="57B14F25"/>
    <w:rsid w:val="57B72A76"/>
    <w:rsid w:val="57BF035B"/>
    <w:rsid w:val="57D167C3"/>
    <w:rsid w:val="57DC42FC"/>
    <w:rsid w:val="57E746A6"/>
    <w:rsid w:val="57E81314"/>
    <w:rsid w:val="57F0234F"/>
    <w:rsid w:val="57F57167"/>
    <w:rsid w:val="5800239B"/>
    <w:rsid w:val="5803681A"/>
    <w:rsid w:val="580764A3"/>
    <w:rsid w:val="580C5867"/>
    <w:rsid w:val="581A7F84"/>
    <w:rsid w:val="582E1C82"/>
    <w:rsid w:val="583E4816"/>
    <w:rsid w:val="58457D22"/>
    <w:rsid w:val="585B6C0F"/>
    <w:rsid w:val="585C3B5B"/>
    <w:rsid w:val="585D6828"/>
    <w:rsid w:val="586C492D"/>
    <w:rsid w:val="58775141"/>
    <w:rsid w:val="587F1548"/>
    <w:rsid w:val="58832D1A"/>
    <w:rsid w:val="58B80DB5"/>
    <w:rsid w:val="58B86332"/>
    <w:rsid w:val="58C83022"/>
    <w:rsid w:val="58CF5D10"/>
    <w:rsid w:val="58D425E1"/>
    <w:rsid w:val="591F15CA"/>
    <w:rsid w:val="59626A67"/>
    <w:rsid w:val="59720278"/>
    <w:rsid w:val="597A4A53"/>
    <w:rsid w:val="59853B23"/>
    <w:rsid w:val="59916C63"/>
    <w:rsid w:val="599751E5"/>
    <w:rsid w:val="59A85FD0"/>
    <w:rsid w:val="59AB1827"/>
    <w:rsid w:val="59B46F19"/>
    <w:rsid w:val="59C74953"/>
    <w:rsid w:val="59D51470"/>
    <w:rsid w:val="59DD0BB3"/>
    <w:rsid w:val="59E31A20"/>
    <w:rsid w:val="59F92989"/>
    <w:rsid w:val="59FA6E69"/>
    <w:rsid w:val="59FF327F"/>
    <w:rsid w:val="5A041D81"/>
    <w:rsid w:val="5A1B4488"/>
    <w:rsid w:val="5A251EDB"/>
    <w:rsid w:val="5A274BDA"/>
    <w:rsid w:val="5A317807"/>
    <w:rsid w:val="5A3C747D"/>
    <w:rsid w:val="5A5068BB"/>
    <w:rsid w:val="5A5A6D5E"/>
    <w:rsid w:val="5A9454B8"/>
    <w:rsid w:val="5A9A6067"/>
    <w:rsid w:val="5AB73843"/>
    <w:rsid w:val="5ABE2233"/>
    <w:rsid w:val="5AC92948"/>
    <w:rsid w:val="5AC96F8B"/>
    <w:rsid w:val="5ACB7C5C"/>
    <w:rsid w:val="5B040D10"/>
    <w:rsid w:val="5B045119"/>
    <w:rsid w:val="5B1436ED"/>
    <w:rsid w:val="5B276D18"/>
    <w:rsid w:val="5B2E7BE0"/>
    <w:rsid w:val="5B871DD5"/>
    <w:rsid w:val="5B8F0C89"/>
    <w:rsid w:val="5B904A5E"/>
    <w:rsid w:val="5B98322E"/>
    <w:rsid w:val="5B9A6731"/>
    <w:rsid w:val="5BCA1BC6"/>
    <w:rsid w:val="5BD635CD"/>
    <w:rsid w:val="5BDF5D95"/>
    <w:rsid w:val="5BE87C52"/>
    <w:rsid w:val="5BF82712"/>
    <w:rsid w:val="5C0B60BF"/>
    <w:rsid w:val="5C0F7DC2"/>
    <w:rsid w:val="5C13174F"/>
    <w:rsid w:val="5C1E4D5F"/>
    <w:rsid w:val="5C4924A5"/>
    <w:rsid w:val="5C767E34"/>
    <w:rsid w:val="5C9955F8"/>
    <w:rsid w:val="5CBA0D59"/>
    <w:rsid w:val="5CC95153"/>
    <w:rsid w:val="5CDA1B36"/>
    <w:rsid w:val="5CE8388D"/>
    <w:rsid w:val="5CE934CC"/>
    <w:rsid w:val="5D0607CD"/>
    <w:rsid w:val="5D060B6D"/>
    <w:rsid w:val="5D094F4D"/>
    <w:rsid w:val="5D0B5EA9"/>
    <w:rsid w:val="5D1E601F"/>
    <w:rsid w:val="5D1F20C8"/>
    <w:rsid w:val="5D251162"/>
    <w:rsid w:val="5D3715D8"/>
    <w:rsid w:val="5D704AEA"/>
    <w:rsid w:val="5D7C2F0F"/>
    <w:rsid w:val="5D851BFC"/>
    <w:rsid w:val="5DAE3A22"/>
    <w:rsid w:val="5DB90172"/>
    <w:rsid w:val="5DC56BE4"/>
    <w:rsid w:val="5DD20003"/>
    <w:rsid w:val="5DD21301"/>
    <w:rsid w:val="5DF87A0F"/>
    <w:rsid w:val="5E020D5A"/>
    <w:rsid w:val="5E0C65C1"/>
    <w:rsid w:val="5E1E00A2"/>
    <w:rsid w:val="5E3A57C1"/>
    <w:rsid w:val="5E4D5446"/>
    <w:rsid w:val="5E607B9C"/>
    <w:rsid w:val="5E622685"/>
    <w:rsid w:val="5E740652"/>
    <w:rsid w:val="5E800D5D"/>
    <w:rsid w:val="5E845A87"/>
    <w:rsid w:val="5E956B87"/>
    <w:rsid w:val="5ECB647C"/>
    <w:rsid w:val="5ED65B53"/>
    <w:rsid w:val="5EDE1CA3"/>
    <w:rsid w:val="5EEF1378"/>
    <w:rsid w:val="5EF129C4"/>
    <w:rsid w:val="5F1A2B43"/>
    <w:rsid w:val="5F264979"/>
    <w:rsid w:val="5F374E01"/>
    <w:rsid w:val="5F7108DB"/>
    <w:rsid w:val="5F724B4A"/>
    <w:rsid w:val="5F7E0C4A"/>
    <w:rsid w:val="5FB837BB"/>
    <w:rsid w:val="5FE21CB3"/>
    <w:rsid w:val="5FEF42F1"/>
    <w:rsid w:val="600F27C1"/>
    <w:rsid w:val="60192926"/>
    <w:rsid w:val="6022031E"/>
    <w:rsid w:val="60235147"/>
    <w:rsid w:val="60760696"/>
    <w:rsid w:val="608C5797"/>
    <w:rsid w:val="609300B8"/>
    <w:rsid w:val="60991EEF"/>
    <w:rsid w:val="60C018E5"/>
    <w:rsid w:val="60D34963"/>
    <w:rsid w:val="60E1153F"/>
    <w:rsid w:val="60E40384"/>
    <w:rsid w:val="60F13D98"/>
    <w:rsid w:val="60F3156A"/>
    <w:rsid w:val="610122D3"/>
    <w:rsid w:val="6102085C"/>
    <w:rsid w:val="61263346"/>
    <w:rsid w:val="613100ED"/>
    <w:rsid w:val="61346133"/>
    <w:rsid w:val="613A4947"/>
    <w:rsid w:val="614C4F26"/>
    <w:rsid w:val="61526BB7"/>
    <w:rsid w:val="61600619"/>
    <w:rsid w:val="617D18BA"/>
    <w:rsid w:val="61824FF8"/>
    <w:rsid w:val="61926E74"/>
    <w:rsid w:val="61972646"/>
    <w:rsid w:val="619A2136"/>
    <w:rsid w:val="619F5BD4"/>
    <w:rsid w:val="61A15272"/>
    <w:rsid w:val="61A60ADB"/>
    <w:rsid w:val="61A86618"/>
    <w:rsid w:val="61BE4076"/>
    <w:rsid w:val="61C06BE4"/>
    <w:rsid w:val="61C84EF5"/>
    <w:rsid w:val="61D15B0E"/>
    <w:rsid w:val="61FA0E2A"/>
    <w:rsid w:val="62015D11"/>
    <w:rsid w:val="620A1069"/>
    <w:rsid w:val="62364782"/>
    <w:rsid w:val="62497645"/>
    <w:rsid w:val="624A73E7"/>
    <w:rsid w:val="624E75AE"/>
    <w:rsid w:val="62567C4E"/>
    <w:rsid w:val="6257469A"/>
    <w:rsid w:val="62782028"/>
    <w:rsid w:val="6279392E"/>
    <w:rsid w:val="62830389"/>
    <w:rsid w:val="62856942"/>
    <w:rsid w:val="628726BA"/>
    <w:rsid w:val="62A5277C"/>
    <w:rsid w:val="62AC3BE9"/>
    <w:rsid w:val="62B56103"/>
    <w:rsid w:val="62C751AC"/>
    <w:rsid w:val="62C76210"/>
    <w:rsid w:val="62CF36C3"/>
    <w:rsid w:val="62D348C4"/>
    <w:rsid w:val="63093B51"/>
    <w:rsid w:val="631F6D97"/>
    <w:rsid w:val="634E0E3F"/>
    <w:rsid w:val="63624C8D"/>
    <w:rsid w:val="63814D51"/>
    <w:rsid w:val="638D1F52"/>
    <w:rsid w:val="639F0BF4"/>
    <w:rsid w:val="63AB1226"/>
    <w:rsid w:val="63BB665C"/>
    <w:rsid w:val="63CF1164"/>
    <w:rsid w:val="63D40BE9"/>
    <w:rsid w:val="63E0211F"/>
    <w:rsid w:val="640F5FE9"/>
    <w:rsid w:val="6410048D"/>
    <w:rsid w:val="641172DA"/>
    <w:rsid w:val="641A1124"/>
    <w:rsid w:val="643E4FFA"/>
    <w:rsid w:val="64406545"/>
    <w:rsid w:val="64570607"/>
    <w:rsid w:val="6459506F"/>
    <w:rsid w:val="645962D8"/>
    <w:rsid w:val="646D768E"/>
    <w:rsid w:val="64727E18"/>
    <w:rsid w:val="649D766B"/>
    <w:rsid w:val="64A62BA0"/>
    <w:rsid w:val="64D14E81"/>
    <w:rsid w:val="64EE6A20"/>
    <w:rsid w:val="64FA09BC"/>
    <w:rsid w:val="650173F8"/>
    <w:rsid w:val="65102355"/>
    <w:rsid w:val="65373578"/>
    <w:rsid w:val="65375B2D"/>
    <w:rsid w:val="654A0469"/>
    <w:rsid w:val="654C7BEB"/>
    <w:rsid w:val="654E3963"/>
    <w:rsid w:val="657405CE"/>
    <w:rsid w:val="657E2FDF"/>
    <w:rsid w:val="658C71DC"/>
    <w:rsid w:val="65B7249A"/>
    <w:rsid w:val="65CB44FF"/>
    <w:rsid w:val="65CD2ADA"/>
    <w:rsid w:val="65D11E9E"/>
    <w:rsid w:val="65DE018C"/>
    <w:rsid w:val="65F63B30"/>
    <w:rsid w:val="6608578D"/>
    <w:rsid w:val="66097354"/>
    <w:rsid w:val="660F3F41"/>
    <w:rsid w:val="6618187B"/>
    <w:rsid w:val="66205E9A"/>
    <w:rsid w:val="664C2331"/>
    <w:rsid w:val="66715C51"/>
    <w:rsid w:val="66932593"/>
    <w:rsid w:val="66BC7090"/>
    <w:rsid w:val="66BD4D5F"/>
    <w:rsid w:val="66BF0D4D"/>
    <w:rsid w:val="66CF03FD"/>
    <w:rsid w:val="66D10CB1"/>
    <w:rsid w:val="66D34ED2"/>
    <w:rsid w:val="66FE3431"/>
    <w:rsid w:val="672D1E43"/>
    <w:rsid w:val="6730490C"/>
    <w:rsid w:val="673E78D3"/>
    <w:rsid w:val="673F2C7A"/>
    <w:rsid w:val="6744501E"/>
    <w:rsid w:val="676F1C9E"/>
    <w:rsid w:val="67795C5E"/>
    <w:rsid w:val="677D0B9A"/>
    <w:rsid w:val="679A13AF"/>
    <w:rsid w:val="679F2254"/>
    <w:rsid w:val="67A80D74"/>
    <w:rsid w:val="67A86D33"/>
    <w:rsid w:val="67D671A0"/>
    <w:rsid w:val="67E751D8"/>
    <w:rsid w:val="67EB7247"/>
    <w:rsid w:val="67FA3EDA"/>
    <w:rsid w:val="681A7C14"/>
    <w:rsid w:val="681F6961"/>
    <w:rsid w:val="68276153"/>
    <w:rsid w:val="683154CE"/>
    <w:rsid w:val="6841155D"/>
    <w:rsid w:val="68610A2F"/>
    <w:rsid w:val="68761259"/>
    <w:rsid w:val="68805514"/>
    <w:rsid w:val="6897117D"/>
    <w:rsid w:val="689C1693"/>
    <w:rsid w:val="68AF22B2"/>
    <w:rsid w:val="68B204FA"/>
    <w:rsid w:val="68C4263E"/>
    <w:rsid w:val="68F15BCF"/>
    <w:rsid w:val="68FD36D6"/>
    <w:rsid w:val="691A194B"/>
    <w:rsid w:val="692C7DB2"/>
    <w:rsid w:val="693069CD"/>
    <w:rsid w:val="6931512E"/>
    <w:rsid w:val="693A4B04"/>
    <w:rsid w:val="694E2071"/>
    <w:rsid w:val="695D5F23"/>
    <w:rsid w:val="69670B4F"/>
    <w:rsid w:val="697414BE"/>
    <w:rsid w:val="697A3B33"/>
    <w:rsid w:val="699E2456"/>
    <w:rsid w:val="69A22B37"/>
    <w:rsid w:val="69AA4F67"/>
    <w:rsid w:val="69B43A53"/>
    <w:rsid w:val="69CB638C"/>
    <w:rsid w:val="69DA7573"/>
    <w:rsid w:val="69DE08C2"/>
    <w:rsid w:val="69F42BE7"/>
    <w:rsid w:val="6A247399"/>
    <w:rsid w:val="6A3773C9"/>
    <w:rsid w:val="6A4F0B5A"/>
    <w:rsid w:val="6A691CC0"/>
    <w:rsid w:val="6A75330A"/>
    <w:rsid w:val="6A7F231A"/>
    <w:rsid w:val="6A996311"/>
    <w:rsid w:val="6AA10091"/>
    <w:rsid w:val="6AAF599B"/>
    <w:rsid w:val="6AB84CF9"/>
    <w:rsid w:val="6ABC34B8"/>
    <w:rsid w:val="6AD77F57"/>
    <w:rsid w:val="6AEA6B9E"/>
    <w:rsid w:val="6AED0FAD"/>
    <w:rsid w:val="6AF96E7A"/>
    <w:rsid w:val="6B063986"/>
    <w:rsid w:val="6B0811B2"/>
    <w:rsid w:val="6B322639"/>
    <w:rsid w:val="6B3E3B32"/>
    <w:rsid w:val="6B41543E"/>
    <w:rsid w:val="6B422F1C"/>
    <w:rsid w:val="6B4C1D32"/>
    <w:rsid w:val="6B58362F"/>
    <w:rsid w:val="6B787DA5"/>
    <w:rsid w:val="6B886010"/>
    <w:rsid w:val="6B8974A3"/>
    <w:rsid w:val="6BC8435C"/>
    <w:rsid w:val="6BCF654B"/>
    <w:rsid w:val="6BD85E70"/>
    <w:rsid w:val="6BD91372"/>
    <w:rsid w:val="6BF95BF4"/>
    <w:rsid w:val="6C0338C5"/>
    <w:rsid w:val="6C1B1885"/>
    <w:rsid w:val="6C567DFF"/>
    <w:rsid w:val="6C5F6456"/>
    <w:rsid w:val="6C636C38"/>
    <w:rsid w:val="6C64581A"/>
    <w:rsid w:val="6C7358FA"/>
    <w:rsid w:val="6C782033"/>
    <w:rsid w:val="6C7E7B02"/>
    <w:rsid w:val="6C8B6444"/>
    <w:rsid w:val="6C8C1B43"/>
    <w:rsid w:val="6C8E2CC7"/>
    <w:rsid w:val="6C976C1F"/>
    <w:rsid w:val="6CCA71A3"/>
    <w:rsid w:val="6CFC0175"/>
    <w:rsid w:val="6D223821"/>
    <w:rsid w:val="6D2B4DAF"/>
    <w:rsid w:val="6D2E4DC7"/>
    <w:rsid w:val="6D350F65"/>
    <w:rsid w:val="6D3C0733"/>
    <w:rsid w:val="6D3D781B"/>
    <w:rsid w:val="6D3E21D6"/>
    <w:rsid w:val="6D3F5A69"/>
    <w:rsid w:val="6D4A4097"/>
    <w:rsid w:val="6D793547"/>
    <w:rsid w:val="6DB029A9"/>
    <w:rsid w:val="6DB34098"/>
    <w:rsid w:val="6DB545B6"/>
    <w:rsid w:val="6DB9234E"/>
    <w:rsid w:val="6DC02F24"/>
    <w:rsid w:val="6DC23AE8"/>
    <w:rsid w:val="6DDF1C1F"/>
    <w:rsid w:val="6DFC2D61"/>
    <w:rsid w:val="6DFC7126"/>
    <w:rsid w:val="6E0833B2"/>
    <w:rsid w:val="6E0E1EE1"/>
    <w:rsid w:val="6E4375A0"/>
    <w:rsid w:val="6E4F0B95"/>
    <w:rsid w:val="6E514CED"/>
    <w:rsid w:val="6E6503EE"/>
    <w:rsid w:val="6E664271"/>
    <w:rsid w:val="6E734B27"/>
    <w:rsid w:val="6E755ABD"/>
    <w:rsid w:val="6E79491A"/>
    <w:rsid w:val="6E863CC9"/>
    <w:rsid w:val="6E8C5829"/>
    <w:rsid w:val="6EB563D5"/>
    <w:rsid w:val="6ECB7354"/>
    <w:rsid w:val="6ED45323"/>
    <w:rsid w:val="6EDD3716"/>
    <w:rsid w:val="6EE3336E"/>
    <w:rsid w:val="6EE352C5"/>
    <w:rsid w:val="6EE669BA"/>
    <w:rsid w:val="6EE712F6"/>
    <w:rsid w:val="6EEC49B2"/>
    <w:rsid w:val="6F095162"/>
    <w:rsid w:val="6F112B4C"/>
    <w:rsid w:val="6F18578E"/>
    <w:rsid w:val="6F225983"/>
    <w:rsid w:val="6F2A2D4B"/>
    <w:rsid w:val="6F543924"/>
    <w:rsid w:val="6F564A4B"/>
    <w:rsid w:val="6F7446FB"/>
    <w:rsid w:val="6FAB04E9"/>
    <w:rsid w:val="6FCB7C9A"/>
    <w:rsid w:val="6FD06F3F"/>
    <w:rsid w:val="6FDB2297"/>
    <w:rsid w:val="6FEF1EAF"/>
    <w:rsid w:val="6FFB205D"/>
    <w:rsid w:val="6FFC5590"/>
    <w:rsid w:val="701356A3"/>
    <w:rsid w:val="702C664F"/>
    <w:rsid w:val="70300DCD"/>
    <w:rsid w:val="70301DA3"/>
    <w:rsid w:val="70491BD1"/>
    <w:rsid w:val="704C28A6"/>
    <w:rsid w:val="706D1DD0"/>
    <w:rsid w:val="70856B87"/>
    <w:rsid w:val="70A66F81"/>
    <w:rsid w:val="70A9634E"/>
    <w:rsid w:val="70B01994"/>
    <w:rsid w:val="70D527EE"/>
    <w:rsid w:val="70E10148"/>
    <w:rsid w:val="71040822"/>
    <w:rsid w:val="7107567E"/>
    <w:rsid w:val="710C3FE4"/>
    <w:rsid w:val="7117660E"/>
    <w:rsid w:val="711A6DEF"/>
    <w:rsid w:val="711E5C0E"/>
    <w:rsid w:val="712706EE"/>
    <w:rsid w:val="712E63F7"/>
    <w:rsid w:val="71467BE4"/>
    <w:rsid w:val="715B5300"/>
    <w:rsid w:val="715E6CDC"/>
    <w:rsid w:val="715F4BD7"/>
    <w:rsid w:val="718304F0"/>
    <w:rsid w:val="71884AD2"/>
    <w:rsid w:val="718903C4"/>
    <w:rsid w:val="7199636B"/>
    <w:rsid w:val="71A65878"/>
    <w:rsid w:val="71AE110F"/>
    <w:rsid w:val="71B96608"/>
    <w:rsid w:val="71D27F8A"/>
    <w:rsid w:val="71D64AC4"/>
    <w:rsid w:val="71E978A9"/>
    <w:rsid w:val="71EA67C2"/>
    <w:rsid w:val="71F744C6"/>
    <w:rsid w:val="71F960CF"/>
    <w:rsid w:val="71FB4297"/>
    <w:rsid w:val="71FD29A8"/>
    <w:rsid w:val="72026EB8"/>
    <w:rsid w:val="720E6BFD"/>
    <w:rsid w:val="72170875"/>
    <w:rsid w:val="72356F4F"/>
    <w:rsid w:val="72377E5B"/>
    <w:rsid w:val="724E4CE5"/>
    <w:rsid w:val="72563E57"/>
    <w:rsid w:val="72744A99"/>
    <w:rsid w:val="728848F2"/>
    <w:rsid w:val="72884EA1"/>
    <w:rsid w:val="72A22648"/>
    <w:rsid w:val="72C1383C"/>
    <w:rsid w:val="72E158E8"/>
    <w:rsid w:val="72EB0A43"/>
    <w:rsid w:val="731E469C"/>
    <w:rsid w:val="731F5D5E"/>
    <w:rsid w:val="733834ED"/>
    <w:rsid w:val="733976C6"/>
    <w:rsid w:val="734E58BB"/>
    <w:rsid w:val="73546A0E"/>
    <w:rsid w:val="736B3932"/>
    <w:rsid w:val="737A374E"/>
    <w:rsid w:val="737D0868"/>
    <w:rsid w:val="738443F9"/>
    <w:rsid w:val="73916BA0"/>
    <w:rsid w:val="73972979"/>
    <w:rsid w:val="73C1126D"/>
    <w:rsid w:val="73EB0168"/>
    <w:rsid w:val="73F012AD"/>
    <w:rsid w:val="74051E41"/>
    <w:rsid w:val="740D4134"/>
    <w:rsid w:val="74143FCA"/>
    <w:rsid w:val="74185FD6"/>
    <w:rsid w:val="741E793C"/>
    <w:rsid w:val="74265F2A"/>
    <w:rsid w:val="744B7BD9"/>
    <w:rsid w:val="7466689A"/>
    <w:rsid w:val="74D96DD9"/>
    <w:rsid w:val="74F2090D"/>
    <w:rsid w:val="7506213D"/>
    <w:rsid w:val="752B048F"/>
    <w:rsid w:val="75394A82"/>
    <w:rsid w:val="755723C0"/>
    <w:rsid w:val="75575F1C"/>
    <w:rsid w:val="755A0D49"/>
    <w:rsid w:val="757913F2"/>
    <w:rsid w:val="75887391"/>
    <w:rsid w:val="758C635C"/>
    <w:rsid w:val="758D75E2"/>
    <w:rsid w:val="75B00D6F"/>
    <w:rsid w:val="75BB43E0"/>
    <w:rsid w:val="75BC5701"/>
    <w:rsid w:val="75CE5B1D"/>
    <w:rsid w:val="75D24B03"/>
    <w:rsid w:val="75EF44B9"/>
    <w:rsid w:val="760822B8"/>
    <w:rsid w:val="7620634E"/>
    <w:rsid w:val="762F21E2"/>
    <w:rsid w:val="76382839"/>
    <w:rsid w:val="763B52D1"/>
    <w:rsid w:val="763D046B"/>
    <w:rsid w:val="764D4317"/>
    <w:rsid w:val="765654E8"/>
    <w:rsid w:val="7664175E"/>
    <w:rsid w:val="766C14CD"/>
    <w:rsid w:val="767C6F77"/>
    <w:rsid w:val="768418C9"/>
    <w:rsid w:val="769D0308"/>
    <w:rsid w:val="76A9415B"/>
    <w:rsid w:val="76B4739E"/>
    <w:rsid w:val="76C3538A"/>
    <w:rsid w:val="76DC03FF"/>
    <w:rsid w:val="76DE3768"/>
    <w:rsid w:val="76E25CB9"/>
    <w:rsid w:val="76E371D7"/>
    <w:rsid w:val="76E64ED3"/>
    <w:rsid w:val="76E87883"/>
    <w:rsid w:val="76EF55D2"/>
    <w:rsid w:val="76F062BC"/>
    <w:rsid w:val="7711659E"/>
    <w:rsid w:val="77530965"/>
    <w:rsid w:val="7754532F"/>
    <w:rsid w:val="77626FAE"/>
    <w:rsid w:val="776D699D"/>
    <w:rsid w:val="77762421"/>
    <w:rsid w:val="77856322"/>
    <w:rsid w:val="778D483A"/>
    <w:rsid w:val="77A4231B"/>
    <w:rsid w:val="77B53F09"/>
    <w:rsid w:val="77B65944"/>
    <w:rsid w:val="77D90C39"/>
    <w:rsid w:val="77E46676"/>
    <w:rsid w:val="77F216A2"/>
    <w:rsid w:val="780F09F4"/>
    <w:rsid w:val="782F4F2E"/>
    <w:rsid w:val="783B3D8A"/>
    <w:rsid w:val="78664E0A"/>
    <w:rsid w:val="786B246A"/>
    <w:rsid w:val="786C15CF"/>
    <w:rsid w:val="787E6FBC"/>
    <w:rsid w:val="78940766"/>
    <w:rsid w:val="789C4F47"/>
    <w:rsid w:val="78A90480"/>
    <w:rsid w:val="78B74F24"/>
    <w:rsid w:val="78C7160B"/>
    <w:rsid w:val="78DD0E2E"/>
    <w:rsid w:val="791A3E30"/>
    <w:rsid w:val="79222498"/>
    <w:rsid w:val="792D2924"/>
    <w:rsid w:val="79410308"/>
    <w:rsid w:val="79434726"/>
    <w:rsid w:val="79445A8E"/>
    <w:rsid w:val="795627BC"/>
    <w:rsid w:val="795B35A7"/>
    <w:rsid w:val="79626D13"/>
    <w:rsid w:val="796B01E8"/>
    <w:rsid w:val="79811327"/>
    <w:rsid w:val="799204F4"/>
    <w:rsid w:val="79A64D66"/>
    <w:rsid w:val="79AA42C0"/>
    <w:rsid w:val="79B60E3C"/>
    <w:rsid w:val="79D40F7F"/>
    <w:rsid w:val="79EE773C"/>
    <w:rsid w:val="79FE5B65"/>
    <w:rsid w:val="7A1D0DF3"/>
    <w:rsid w:val="7A1D26C5"/>
    <w:rsid w:val="7A325859"/>
    <w:rsid w:val="7A364017"/>
    <w:rsid w:val="7A607D5B"/>
    <w:rsid w:val="7A6B2EFE"/>
    <w:rsid w:val="7A6D7B8F"/>
    <w:rsid w:val="7A724023"/>
    <w:rsid w:val="7A73287D"/>
    <w:rsid w:val="7A790F41"/>
    <w:rsid w:val="7A7C5359"/>
    <w:rsid w:val="7A7E7A7B"/>
    <w:rsid w:val="7A8265E1"/>
    <w:rsid w:val="7A8F3CFA"/>
    <w:rsid w:val="7A97325F"/>
    <w:rsid w:val="7A9D050D"/>
    <w:rsid w:val="7AB05E94"/>
    <w:rsid w:val="7ACF6151"/>
    <w:rsid w:val="7ADA5471"/>
    <w:rsid w:val="7ADA7CBB"/>
    <w:rsid w:val="7AE2272C"/>
    <w:rsid w:val="7B000E97"/>
    <w:rsid w:val="7B0B0891"/>
    <w:rsid w:val="7B120042"/>
    <w:rsid w:val="7B194D72"/>
    <w:rsid w:val="7B1A27DF"/>
    <w:rsid w:val="7B2C39A7"/>
    <w:rsid w:val="7B3539D8"/>
    <w:rsid w:val="7B686D42"/>
    <w:rsid w:val="7B7338A9"/>
    <w:rsid w:val="7B7517F2"/>
    <w:rsid w:val="7B841746"/>
    <w:rsid w:val="7BA71215"/>
    <w:rsid w:val="7BB37C24"/>
    <w:rsid w:val="7BCD518A"/>
    <w:rsid w:val="7BCF5C49"/>
    <w:rsid w:val="7BD842EC"/>
    <w:rsid w:val="7BDA3403"/>
    <w:rsid w:val="7BEE48BB"/>
    <w:rsid w:val="7C006A4F"/>
    <w:rsid w:val="7C1E21EF"/>
    <w:rsid w:val="7C2A5808"/>
    <w:rsid w:val="7C4E5B9F"/>
    <w:rsid w:val="7C5468F4"/>
    <w:rsid w:val="7C5F7DAC"/>
    <w:rsid w:val="7C685F2C"/>
    <w:rsid w:val="7C6A73F8"/>
    <w:rsid w:val="7C6C563C"/>
    <w:rsid w:val="7C6D2056"/>
    <w:rsid w:val="7C6E716B"/>
    <w:rsid w:val="7C765821"/>
    <w:rsid w:val="7C8024CC"/>
    <w:rsid w:val="7CB447E1"/>
    <w:rsid w:val="7CB95EE0"/>
    <w:rsid w:val="7CBA267F"/>
    <w:rsid w:val="7CC76F9B"/>
    <w:rsid w:val="7CD05E42"/>
    <w:rsid w:val="7CD42548"/>
    <w:rsid w:val="7CD96854"/>
    <w:rsid w:val="7CE3633D"/>
    <w:rsid w:val="7CF60710"/>
    <w:rsid w:val="7D0239FF"/>
    <w:rsid w:val="7D082761"/>
    <w:rsid w:val="7D140BCF"/>
    <w:rsid w:val="7D384885"/>
    <w:rsid w:val="7D3F1FFF"/>
    <w:rsid w:val="7D553689"/>
    <w:rsid w:val="7D5E40CD"/>
    <w:rsid w:val="7D641B1E"/>
    <w:rsid w:val="7D693BED"/>
    <w:rsid w:val="7D6C741B"/>
    <w:rsid w:val="7D782ED3"/>
    <w:rsid w:val="7D7D04EA"/>
    <w:rsid w:val="7D9475F2"/>
    <w:rsid w:val="7DA751E9"/>
    <w:rsid w:val="7DB90092"/>
    <w:rsid w:val="7DC205F3"/>
    <w:rsid w:val="7DEC61AE"/>
    <w:rsid w:val="7DF472E8"/>
    <w:rsid w:val="7E0724A9"/>
    <w:rsid w:val="7E08449B"/>
    <w:rsid w:val="7E3C3F8F"/>
    <w:rsid w:val="7E3F1C43"/>
    <w:rsid w:val="7E417516"/>
    <w:rsid w:val="7E492AC2"/>
    <w:rsid w:val="7E552627"/>
    <w:rsid w:val="7E5703E2"/>
    <w:rsid w:val="7E6660B0"/>
    <w:rsid w:val="7E7C1BC1"/>
    <w:rsid w:val="7E9A5A22"/>
    <w:rsid w:val="7E9B4FB7"/>
    <w:rsid w:val="7E9E6A89"/>
    <w:rsid w:val="7EB10D93"/>
    <w:rsid w:val="7EB40EB6"/>
    <w:rsid w:val="7EC87E8B"/>
    <w:rsid w:val="7ECB797B"/>
    <w:rsid w:val="7ECF0BF0"/>
    <w:rsid w:val="7ED70C48"/>
    <w:rsid w:val="7EDB04AB"/>
    <w:rsid w:val="7EF30997"/>
    <w:rsid w:val="7EF720D3"/>
    <w:rsid w:val="7F032A9F"/>
    <w:rsid w:val="7F04762B"/>
    <w:rsid w:val="7F182B70"/>
    <w:rsid w:val="7F225BA8"/>
    <w:rsid w:val="7F2C0419"/>
    <w:rsid w:val="7F361298"/>
    <w:rsid w:val="7F3902C6"/>
    <w:rsid w:val="7F3B2144"/>
    <w:rsid w:val="7F496747"/>
    <w:rsid w:val="7F90497C"/>
    <w:rsid w:val="7F9B42F0"/>
    <w:rsid w:val="7F9D27D1"/>
    <w:rsid w:val="7FA97CBC"/>
    <w:rsid w:val="7FB10F05"/>
    <w:rsid w:val="7FC81F6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99" w:semiHidden="0" w:name="heading 3" w:locked="1"/>
    <w:lsdException w:qFormat="1" w:unhideWhenUsed="0" w:uiPriority="99" w:semiHidden="0" w:name="heading 4" w:locked="1"/>
    <w:lsdException w:qFormat="1" w:unhideWhenUsed="0" w:uiPriority="9" w:semiHidden="0" w:name="heading 5" w:locked="1"/>
    <w:lsdException w:qFormat="1" w:unhideWhenUsed="0" w:uiPriority="9"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ocked="1"/>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link w:val="5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Next/>
      <w:keepLines/>
      <w:spacing w:line="360" w:lineRule="auto"/>
      <w:jc w:val="left"/>
      <w:outlineLvl w:val="1"/>
    </w:pPr>
    <w:rPr>
      <w:rFonts w:ascii="Times New Roman" w:hAnsi="Times New Roman" w:eastAsia="黑体"/>
      <w:b/>
      <w:bCs/>
      <w:sz w:val="24"/>
      <w:szCs w:val="32"/>
    </w:rPr>
  </w:style>
  <w:style w:type="paragraph" w:styleId="7">
    <w:name w:val="heading 3"/>
    <w:basedOn w:val="1"/>
    <w:next w:val="1"/>
    <w:qFormat/>
    <w:locked/>
    <w:uiPriority w:val="99"/>
    <w:pPr>
      <w:keepNext/>
      <w:ind w:firstLine="0" w:firstLineChars="0"/>
      <w:jc w:val="left"/>
      <w:outlineLvl w:val="2"/>
    </w:pPr>
    <w:rPr>
      <w:b/>
      <w:bCs/>
    </w:rPr>
  </w:style>
  <w:style w:type="paragraph" w:styleId="8">
    <w:name w:val="heading 4"/>
    <w:basedOn w:val="1"/>
    <w:next w:val="1"/>
    <w:qFormat/>
    <w:locked/>
    <w:uiPriority w:val="99"/>
    <w:pPr>
      <w:keepNext/>
      <w:keepLines/>
      <w:numPr>
        <w:ilvl w:val="3"/>
        <w:numId w:val="1"/>
      </w:numPr>
      <w:spacing w:before="163"/>
      <w:ind w:left="-2" w:leftChars="-59" w:hanging="140" w:hangingChars="58"/>
      <w:outlineLvl w:val="3"/>
    </w:pPr>
    <w:rPr>
      <w:rFonts w:ascii="楷体" w:hAnsi="楷体"/>
      <w:b/>
      <w:bCs/>
    </w:rPr>
  </w:style>
  <w:style w:type="paragraph" w:styleId="9">
    <w:name w:val="heading 5"/>
    <w:basedOn w:val="1"/>
    <w:next w:val="1"/>
    <w:qFormat/>
    <w:locked/>
    <w:uiPriority w:val="9"/>
    <w:pPr>
      <w:keepNext/>
      <w:keepLines/>
      <w:spacing w:before="280" w:after="290" w:line="376" w:lineRule="auto"/>
      <w:outlineLvl w:val="4"/>
    </w:pPr>
    <w:rPr>
      <w:b/>
      <w:bCs/>
      <w:sz w:val="28"/>
      <w:szCs w:val="28"/>
    </w:rPr>
  </w:style>
  <w:style w:type="paragraph" w:styleId="10">
    <w:name w:val="heading 6"/>
    <w:basedOn w:val="1"/>
    <w:next w:val="1"/>
    <w:qFormat/>
    <w:locked/>
    <w:uiPriority w:val="9"/>
    <w:pPr>
      <w:keepNext/>
      <w:keepLines/>
      <w:numPr>
        <w:ilvl w:val="5"/>
        <w:numId w:val="1"/>
      </w:numPr>
      <w:ind w:left="0" w:firstLine="0" w:firstLineChars="0"/>
      <w:outlineLvl w:val="5"/>
    </w:pPr>
    <w:rPr>
      <w:rFonts w:ascii="Cambria" w:hAnsi="Cambria" w:eastAsia="楷体"/>
      <w:b/>
      <w:bCs/>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8"/>
    <w:qFormat/>
    <w:uiPriority w:val="0"/>
    <w:pPr>
      <w:widowControl/>
      <w:snapToGrid w:val="0"/>
      <w:spacing w:before="60" w:after="160" w:line="259" w:lineRule="auto"/>
      <w:ind w:right="113"/>
    </w:pPr>
    <w:rPr>
      <w:kern w:val="0"/>
      <w:sz w:val="18"/>
      <w:szCs w:val="20"/>
    </w:rPr>
  </w:style>
  <w:style w:type="paragraph" w:customStyle="1" w:styleId="3">
    <w:name w:val="xl27"/>
    <w:basedOn w:val="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table of authorities"/>
    <w:basedOn w:val="1"/>
    <w:next w:val="1"/>
    <w:qFormat/>
    <w:uiPriority w:val="0"/>
    <w:pPr>
      <w:ind w:left="420" w:leftChars="200"/>
    </w:pPr>
  </w:style>
  <w:style w:type="paragraph" w:styleId="11">
    <w:name w:val="Normal Indent"/>
    <w:basedOn w:val="1"/>
    <w:qFormat/>
    <w:uiPriority w:val="0"/>
    <w:pPr>
      <w:spacing w:line="360" w:lineRule="auto"/>
      <w:ind w:firstLine="200"/>
    </w:pPr>
  </w:style>
  <w:style w:type="paragraph" w:styleId="12">
    <w:name w:val="caption"/>
    <w:basedOn w:val="1"/>
    <w:next w:val="1"/>
    <w:qFormat/>
    <w:locked/>
    <w:uiPriority w:val="99"/>
    <w:pPr>
      <w:jc w:val="center"/>
    </w:pPr>
    <w:rPr>
      <w:b/>
      <w:szCs w:val="20"/>
    </w:rPr>
  </w:style>
  <w:style w:type="paragraph" w:styleId="13">
    <w:name w:val="annotation text"/>
    <w:basedOn w:val="1"/>
    <w:link w:val="45"/>
    <w:semiHidden/>
    <w:qFormat/>
    <w:uiPriority w:val="0"/>
    <w:pPr>
      <w:jc w:val="left"/>
    </w:pPr>
    <w:rPr>
      <w:rFonts w:ascii="Times New Roman" w:hAnsi="Times New Roman"/>
      <w:kern w:val="0"/>
      <w:sz w:val="24"/>
      <w:szCs w:val="20"/>
    </w:rPr>
  </w:style>
  <w:style w:type="paragraph" w:styleId="14">
    <w:name w:val="Body Text Indent"/>
    <w:basedOn w:val="1"/>
    <w:next w:val="15"/>
    <w:link w:val="59"/>
    <w:semiHidden/>
    <w:qFormat/>
    <w:uiPriority w:val="0"/>
    <w:pPr>
      <w:spacing w:after="120"/>
      <w:ind w:left="420" w:leftChars="200"/>
    </w:pPr>
  </w:style>
  <w:style w:type="paragraph" w:styleId="15">
    <w:name w:val="Body Text First Indent 2"/>
    <w:basedOn w:val="14"/>
    <w:next w:val="1"/>
    <w:qFormat/>
    <w:uiPriority w:val="0"/>
    <w:pPr>
      <w:ind w:firstLine="420" w:firstLineChars="200"/>
    </w:pPr>
  </w:style>
  <w:style w:type="paragraph" w:styleId="16">
    <w:name w:val="toc 5"/>
    <w:basedOn w:val="1"/>
    <w:next w:val="1"/>
    <w:qFormat/>
    <w:locked/>
    <w:uiPriority w:val="0"/>
    <w:pPr>
      <w:ind w:left="1680" w:leftChars="800"/>
    </w:pPr>
  </w:style>
  <w:style w:type="paragraph" w:styleId="17">
    <w:name w:val="Plain Text"/>
    <w:basedOn w:val="1"/>
    <w:unhideWhenUsed/>
    <w:qFormat/>
    <w:uiPriority w:val="0"/>
    <w:rPr>
      <w:rFonts w:ascii="宋体" w:hAnsi="Courier New" w:cs="Courier New"/>
      <w:sz w:val="21"/>
      <w:szCs w:val="21"/>
    </w:rPr>
  </w:style>
  <w:style w:type="paragraph" w:styleId="18">
    <w:name w:val="Date"/>
    <w:basedOn w:val="1"/>
    <w:next w:val="1"/>
    <w:link w:val="50"/>
    <w:qFormat/>
    <w:uiPriority w:val="0"/>
    <w:pPr>
      <w:ind w:left="100" w:leftChars="2500"/>
    </w:pPr>
    <w:rPr>
      <w:rFonts w:ascii="Times New Roman" w:hAnsi="Times New Roman"/>
      <w:kern w:val="0"/>
      <w:sz w:val="24"/>
      <w:szCs w:val="20"/>
    </w:rPr>
  </w:style>
  <w:style w:type="paragraph" w:styleId="19">
    <w:name w:val="Body Text Indent 2"/>
    <w:basedOn w:val="1"/>
    <w:qFormat/>
    <w:uiPriority w:val="0"/>
    <w:pPr>
      <w:spacing w:line="360" w:lineRule="exact"/>
      <w:ind w:firstLine="420" w:firstLineChars="200"/>
    </w:pPr>
    <w:rPr>
      <w:rFonts w:ascii="仿宋_GB2312" w:eastAsia="仿宋_GB2312"/>
    </w:rPr>
  </w:style>
  <w:style w:type="paragraph" w:styleId="20">
    <w:name w:val="Balloon Text"/>
    <w:basedOn w:val="1"/>
    <w:link w:val="54"/>
    <w:semiHidden/>
    <w:qFormat/>
    <w:uiPriority w:val="0"/>
    <w:rPr>
      <w:sz w:val="18"/>
      <w:szCs w:val="18"/>
    </w:rPr>
  </w:style>
  <w:style w:type="paragraph" w:styleId="21">
    <w:name w:val="footer"/>
    <w:basedOn w:val="1"/>
    <w:link w:val="57"/>
    <w:qFormat/>
    <w:uiPriority w:val="99"/>
    <w:pPr>
      <w:tabs>
        <w:tab w:val="center" w:pos="4153"/>
        <w:tab w:val="right" w:pos="8306"/>
      </w:tabs>
      <w:snapToGrid w:val="0"/>
      <w:jc w:val="left"/>
    </w:pPr>
    <w:rPr>
      <w:sz w:val="18"/>
      <w:szCs w:val="18"/>
    </w:rPr>
  </w:style>
  <w:style w:type="paragraph" w:styleId="22">
    <w:name w:val="header"/>
    <w:basedOn w:val="1"/>
    <w:next w:val="1"/>
    <w:link w:val="49"/>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locked/>
    <w:uiPriority w:val="0"/>
  </w:style>
  <w:style w:type="paragraph" w:styleId="24">
    <w:name w:val="Subtitle"/>
    <w:basedOn w:val="1"/>
    <w:next w:val="1"/>
    <w:qFormat/>
    <w:locked/>
    <w:uiPriority w:val="11"/>
    <w:pPr>
      <w:spacing w:after="60" w:line="240" w:lineRule="auto"/>
      <w:ind w:firstLine="0" w:firstLineChars="0"/>
      <w:jc w:val="center"/>
      <w:outlineLvl w:val="1"/>
    </w:pPr>
    <w:rPr>
      <w:rFonts w:asciiTheme="majorHAnsi" w:hAnsiTheme="majorHAnsi"/>
      <w:sz w:val="18"/>
    </w:rPr>
  </w:style>
  <w:style w:type="paragraph" w:styleId="25">
    <w:name w:val="table of figures"/>
    <w:basedOn w:val="1"/>
    <w:next w:val="1"/>
    <w:unhideWhenUsed/>
    <w:qFormat/>
    <w:uiPriority w:val="99"/>
    <w:pPr>
      <w:adjustRightInd w:val="0"/>
      <w:spacing w:line="480" w:lineRule="auto"/>
      <w:ind w:left="200" w:leftChars="200" w:hanging="200" w:hangingChars="200"/>
      <w:textAlignment w:val="baseline"/>
    </w:pPr>
    <w:rPr>
      <w:kern w:val="0"/>
      <w:sz w:val="28"/>
      <w:szCs w:val="21"/>
      <w:lang w:val="zh-CN"/>
    </w:rPr>
  </w:style>
  <w:style w:type="paragraph" w:styleId="26">
    <w:name w:val="toc 2"/>
    <w:basedOn w:val="1"/>
    <w:next w:val="1"/>
    <w:qFormat/>
    <w:locked/>
    <w:uiPriority w:val="39"/>
    <w:pPr>
      <w:ind w:left="420" w:leftChars="200"/>
    </w:pPr>
  </w:style>
  <w:style w:type="paragraph" w:styleId="27">
    <w:name w:val="Normal (Web)"/>
    <w:basedOn w:val="1"/>
    <w:link w:val="55"/>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13"/>
    <w:next w:val="13"/>
    <w:link w:val="44"/>
    <w:semiHidden/>
    <w:qFormat/>
    <w:uiPriority w:val="0"/>
    <w:rPr>
      <w:b/>
      <w:bCs/>
    </w:rPr>
  </w:style>
  <w:style w:type="paragraph" w:styleId="29">
    <w:name w:val="Body Text First Indent"/>
    <w:basedOn w:val="2"/>
    <w:next w:val="15"/>
    <w:link w:val="74"/>
    <w:qFormat/>
    <w:uiPriority w:val="0"/>
    <w:pPr>
      <w:widowControl w:val="0"/>
      <w:snapToGrid/>
      <w:spacing w:before="0" w:after="120" w:line="240" w:lineRule="auto"/>
      <w:ind w:right="0" w:firstLine="420" w:firstLineChars="100"/>
    </w:pPr>
    <w:rPr>
      <w:kern w:val="2"/>
      <w:sz w:val="21"/>
      <w:szCs w:val="24"/>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locked/>
    <w:uiPriority w:val="0"/>
    <w:rPr>
      <w:b/>
    </w:rPr>
  </w:style>
  <w:style w:type="character" w:styleId="34">
    <w:name w:val="page number"/>
    <w:basedOn w:val="32"/>
    <w:qFormat/>
    <w:uiPriority w:val="0"/>
  </w:style>
  <w:style w:type="character" w:styleId="35">
    <w:name w:val="Hyperlink"/>
    <w:basedOn w:val="32"/>
    <w:qFormat/>
    <w:uiPriority w:val="0"/>
    <w:rPr>
      <w:color w:val="0000FF"/>
      <w:u w:val="single"/>
    </w:rPr>
  </w:style>
  <w:style w:type="character" w:styleId="36">
    <w:name w:val="annotation reference"/>
    <w:basedOn w:val="32"/>
    <w:semiHidden/>
    <w:qFormat/>
    <w:uiPriority w:val="0"/>
    <w:rPr>
      <w:sz w:val="21"/>
    </w:rPr>
  </w:style>
  <w:style w:type="paragraph" w:customStyle="1" w:styleId="37">
    <w:name w:val="Default"/>
    <w:basedOn w:val="3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纯文本1"/>
    <w:qFormat/>
    <w:uiPriority w:val="0"/>
    <w:pPr>
      <w:widowControl w:val="0"/>
      <w:adjustRightInd w:val="0"/>
      <w:jc w:val="both"/>
    </w:pPr>
    <w:rPr>
      <w:rFonts w:ascii="宋体" w:hAnsi="Courier New" w:eastAsia="宋体" w:cs="Times New Roman"/>
      <w:kern w:val="2"/>
      <w:sz w:val="21"/>
      <w:lang w:val="en-US" w:eastAsia="zh-CN" w:bidi="ar-SA"/>
    </w:rPr>
  </w:style>
  <w:style w:type="paragraph" w:customStyle="1" w:styleId="39">
    <w:name w:val="1正文"/>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0">
    <w:name w:val="列出段落1"/>
    <w:basedOn w:val="1"/>
    <w:qFormat/>
    <w:uiPriority w:val="34"/>
    <w:pPr>
      <w:ind w:firstLine="420" w:firstLineChars="200"/>
    </w:pPr>
    <w:rPr>
      <w:szCs w:val="22"/>
    </w:rPr>
  </w:style>
  <w:style w:type="paragraph" w:customStyle="1" w:styleId="41">
    <w:name w:val="Default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42">
    <w:name w:val="正文首行缩进1"/>
    <w:basedOn w:val="1"/>
    <w:qFormat/>
    <w:uiPriority w:val="99"/>
    <w:pPr>
      <w:spacing w:after="120"/>
      <w:ind w:firstLine="420" w:firstLineChars="100"/>
    </w:pPr>
  </w:style>
  <w:style w:type="paragraph" w:customStyle="1" w:styleId="43">
    <w:name w:val="lh-正文-报告表"/>
    <w:basedOn w:val="1"/>
    <w:qFormat/>
    <w:uiPriority w:val="0"/>
    <w:pPr>
      <w:spacing w:line="360" w:lineRule="auto"/>
      <w:ind w:firstLine="480" w:firstLineChars="200"/>
    </w:pPr>
    <w:rPr>
      <w:rFonts w:ascii="Times New Roman" w:hAnsi="Times New Roman"/>
      <w:kern w:val="0"/>
      <w:sz w:val="24"/>
    </w:rPr>
  </w:style>
  <w:style w:type="character" w:customStyle="1" w:styleId="44">
    <w:name w:val="批注主题 Char"/>
    <w:basedOn w:val="45"/>
    <w:link w:val="28"/>
    <w:semiHidden/>
    <w:qFormat/>
    <w:locked/>
    <w:uiPriority w:val="0"/>
    <w:rPr>
      <w:rFonts w:cs="Times New Roman"/>
      <w:b/>
      <w:bCs/>
      <w:kern w:val="2"/>
      <w:szCs w:val="24"/>
    </w:rPr>
  </w:style>
  <w:style w:type="character" w:customStyle="1" w:styleId="45">
    <w:name w:val="批注文字 Char"/>
    <w:link w:val="13"/>
    <w:qFormat/>
    <w:locked/>
    <w:uiPriority w:val="0"/>
    <w:rPr>
      <w:rFonts w:ascii="Times New Roman" w:hAnsi="Times New Roman" w:eastAsia="宋体"/>
      <w:sz w:val="24"/>
    </w:rPr>
  </w:style>
  <w:style w:type="character" w:customStyle="1" w:styleId="46">
    <w:name w:val="正文文本 字符1"/>
    <w:basedOn w:val="32"/>
    <w:semiHidden/>
    <w:qFormat/>
    <w:uiPriority w:val="0"/>
    <w:rPr>
      <w:rFonts w:ascii="Times New Roman" w:hAnsi="Times New Roman" w:eastAsia="宋体" w:cs="Times New Roman"/>
      <w:sz w:val="24"/>
      <w:szCs w:val="24"/>
    </w:rPr>
  </w:style>
  <w:style w:type="character" w:customStyle="1" w:styleId="47">
    <w:name w:val="表格 Char"/>
    <w:link w:val="48"/>
    <w:qFormat/>
    <w:locked/>
    <w:uiPriority w:val="0"/>
    <w:rPr>
      <w:rFonts w:ascii="宋体"/>
      <w:sz w:val="21"/>
    </w:rPr>
  </w:style>
  <w:style w:type="paragraph" w:customStyle="1" w:styleId="48">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页眉 Char"/>
    <w:basedOn w:val="32"/>
    <w:link w:val="22"/>
    <w:qFormat/>
    <w:locked/>
    <w:uiPriority w:val="0"/>
    <w:rPr>
      <w:rFonts w:cs="Times New Roman"/>
      <w:sz w:val="18"/>
      <w:szCs w:val="18"/>
    </w:rPr>
  </w:style>
  <w:style w:type="character" w:customStyle="1" w:styleId="50">
    <w:name w:val="日期 Char"/>
    <w:link w:val="18"/>
    <w:qFormat/>
    <w:locked/>
    <w:uiPriority w:val="0"/>
    <w:rPr>
      <w:rFonts w:ascii="Times New Roman" w:hAnsi="Times New Roman" w:eastAsia="宋体"/>
      <w:sz w:val="24"/>
    </w:rPr>
  </w:style>
  <w:style w:type="character" w:customStyle="1" w:styleId="51">
    <w:name w:val="标题 1 Char"/>
    <w:link w:val="5"/>
    <w:qFormat/>
    <w:uiPriority w:val="0"/>
    <w:rPr>
      <w:rFonts w:eastAsia="黑体"/>
      <w:b/>
      <w:bCs/>
      <w:color w:val="000000"/>
      <w:kern w:val="44"/>
      <w:sz w:val="30"/>
      <w:szCs w:val="30"/>
    </w:rPr>
  </w:style>
  <w:style w:type="character" w:customStyle="1" w:styleId="52">
    <w:name w:val="普通(网站) Char"/>
    <w:qFormat/>
    <w:locked/>
    <w:uiPriority w:val="0"/>
    <w:rPr>
      <w:rFonts w:ascii="宋体" w:hAnsi="宋体" w:eastAsia="宋体"/>
      <w:sz w:val="24"/>
    </w:rPr>
  </w:style>
  <w:style w:type="character" w:customStyle="1" w:styleId="53">
    <w:name w:val="批注文字 字符1"/>
    <w:basedOn w:val="32"/>
    <w:semiHidden/>
    <w:qFormat/>
    <w:uiPriority w:val="0"/>
    <w:rPr>
      <w:rFonts w:ascii="Times New Roman" w:hAnsi="Times New Roman" w:eastAsia="宋体" w:cs="Times New Roman"/>
      <w:sz w:val="24"/>
      <w:szCs w:val="24"/>
    </w:rPr>
  </w:style>
  <w:style w:type="character" w:customStyle="1" w:styleId="54">
    <w:name w:val="批注框文本 Char"/>
    <w:basedOn w:val="32"/>
    <w:link w:val="20"/>
    <w:semiHidden/>
    <w:qFormat/>
    <w:locked/>
    <w:uiPriority w:val="0"/>
    <w:rPr>
      <w:rFonts w:ascii="Times New Roman" w:hAnsi="Times New Roman" w:eastAsia="宋体" w:cs="Times New Roman"/>
      <w:sz w:val="18"/>
      <w:szCs w:val="18"/>
    </w:rPr>
  </w:style>
  <w:style w:type="character" w:customStyle="1" w:styleId="55">
    <w:name w:val="普通(网站) Char1"/>
    <w:link w:val="27"/>
    <w:qFormat/>
    <w:locked/>
    <w:uiPriority w:val="0"/>
    <w:rPr>
      <w:rFonts w:ascii="宋体" w:hAnsi="宋体" w:eastAsia="宋体"/>
      <w:sz w:val="24"/>
    </w:rPr>
  </w:style>
  <w:style w:type="character" w:customStyle="1" w:styleId="56">
    <w:name w:val="日期 字符"/>
    <w:basedOn w:val="32"/>
    <w:semiHidden/>
    <w:qFormat/>
    <w:uiPriority w:val="0"/>
    <w:rPr>
      <w:rFonts w:ascii="Times New Roman" w:hAnsi="Times New Roman" w:eastAsia="宋体" w:cs="Times New Roman"/>
      <w:sz w:val="24"/>
      <w:szCs w:val="24"/>
    </w:rPr>
  </w:style>
  <w:style w:type="character" w:customStyle="1" w:styleId="57">
    <w:name w:val="页脚 Char"/>
    <w:basedOn w:val="32"/>
    <w:link w:val="21"/>
    <w:qFormat/>
    <w:locked/>
    <w:uiPriority w:val="99"/>
    <w:rPr>
      <w:rFonts w:cs="Times New Roman"/>
      <w:sz w:val="18"/>
      <w:szCs w:val="18"/>
    </w:rPr>
  </w:style>
  <w:style w:type="character" w:customStyle="1" w:styleId="58">
    <w:name w:val="正文文本 Char"/>
    <w:link w:val="2"/>
    <w:qFormat/>
    <w:locked/>
    <w:uiPriority w:val="0"/>
    <w:rPr>
      <w:sz w:val="18"/>
    </w:rPr>
  </w:style>
  <w:style w:type="character" w:customStyle="1" w:styleId="59">
    <w:name w:val="正文文本缩进 Char"/>
    <w:basedOn w:val="32"/>
    <w:link w:val="14"/>
    <w:semiHidden/>
    <w:qFormat/>
    <w:locked/>
    <w:uiPriority w:val="0"/>
    <w:rPr>
      <w:rFonts w:ascii="Times New Roman" w:hAnsi="Times New Roman" w:eastAsia="宋体" w:cs="Times New Roman"/>
      <w:sz w:val="24"/>
      <w:szCs w:val="24"/>
    </w:rPr>
  </w:style>
  <w:style w:type="paragraph" w:customStyle="1" w:styleId="60">
    <w:name w:val="表格文字"/>
    <w:basedOn w:val="1"/>
    <w:link w:val="66"/>
    <w:qFormat/>
    <w:uiPriority w:val="0"/>
    <w:pPr>
      <w:adjustRightInd w:val="0"/>
      <w:snapToGrid w:val="0"/>
      <w:jc w:val="center"/>
    </w:pPr>
    <w:rPr>
      <w:rFonts w:ascii="宋体" w:hAnsi="宋体"/>
      <w:szCs w:val="20"/>
    </w:rPr>
  </w:style>
  <w:style w:type="paragraph" w:customStyle="1" w:styleId="61">
    <w:name w:val="普通(网站)1"/>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3">
    <w:name w:val="表头"/>
    <w:basedOn w:val="48"/>
    <w:next w:val="1"/>
    <w:qFormat/>
    <w:uiPriority w:val="0"/>
    <w:pPr>
      <w:spacing w:before="120" w:after="120" w:line="360" w:lineRule="auto"/>
      <w:ind w:firstLine="425"/>
      <w:jc w:val="center"/>
    </w:pPr>
    <w:rPr>
      <w:rFonts w:eastAsia="楷体_GB2312"/>
      <w:sz w:val="24"/>
      <w:szCs w:val="20"/>
    </w:rPr>
  </w:style>
  <w:style w:type="paragraph" w:customStyle="1" w:styleId="64">
    <w:name w:val="表格内容"/>
    <w:basedOn w:val="1"/>
    <w:link w:val="68"/>
    <w:qFormat/>
    <w:uiPriority w:val="0"/>
    <w:pPr>
      <w:widowControl/>
      <w:jc w:val="center"/>
    </w:pPr>
    <w:rPr>
      <w:rFonts w:cs="宋体"/>
      <w:kern w:val="0"/>
      <w:szCs w:val="20"/>
    </w:rPr>
  </w:style>
  <w:style w:type="paragraph" w:customStyle="1" w:styleId="65">
    <w:name w:val="表文字"/>
    <w:basedOn w:val="1"/>
    <w:qFormat/>
    <w:uiPriority w:val="0"/>
    <w:pPr>
      <w:overflowPunct w:val="0"/>
      <w:autoSpaceDE w:val="0"/>
      <w:autoSpaceDN w:val="0"/>
      <w:adjustRightInd w:val="0"/>
      <w:spacing w:line="240" w:lineRule="atLeast"/>
      <w:jc w:val="center"/>
      <w:textAlignment w:val="baseline"/>
    </w:pPr>
    <w:rPr>
      <w:kern w:val="0"/>
      <w:sz w:val="24"/>
    </w:rPr>
  </w:style>
  <w:style w:type="character" w:customStyle="1" w:styleId="66">
    <w:name w:val="表格文字 Char Char"/>
    <w:link w:val="60"/>
    <w:qFormat/>
    <w:locked/>
    <w:uiPriority w:val="0"/>
    <w:rPr>
      <w:rFonts w:ascii="宋体" w:hAnsi="宋体"/>
      <w:kern w:val="2"/>
      <w:sz w:val="21"/>
    </w:rPr>
  </w:style>
  <w:style w:type="paragraph" w:customStyle="1" w:styleId="67">
    <w:name w:val="表字居中"/>
    <w:basedOn w:val="1"/>
    <w:qFormat/>
    <w:uiPriority w:val="0"/>
    <w:pPr>
      <w:spacing w:line="400" w:lineRule="exact"/>
      <w:jc w:val="center"/>
    </w:pPr>
    <w:rPr>
      <w:rFonts w:ascii="Times New Roman" w:hAnsi="Times New Roman"/>
      <w:szCs w:val="21"/>
    </w:rPr>
  </w:style>
  <w:style w:type="character" w:customStyle="1" w:styleId="68">
    <w:name w:val="表格内容 Char"/>
    <w:basedOn w:val="32"/>
    <w:link w:val="64"/>
    <w:qFormat/>
    <w:uiPriority w:val="0"/>
    <w:rPr>
      <w:rFonts w:cs="宋体"/>
      <w:sz w:val="21"/>
    </w:rPr>
  </w:style>
  <w:style w:type="character" w:customStyle="1" w:styleId="69">
    <w:name w:val="表字体 Char"/>
    <w:link w:val="70"/>
    <w:qFormat/>
    <w:uiPriority w:val="0"/>
    <w:rPr>
      <w:rFonts w:ascii="Times New Roman" w:hAnsi="Times New Roman"/>
    </w:rPr>
  </w:style>
  <w:style w:type="paragraph" w:customStyle="1" w:styleId="70">
    <w:name w:val="表字体"/>
    <w:basedOn w:val="1"/>
    <w:next w:val="1"/>
    <w:link w:val="69"/>
    <w:qFormat/>
    <w:uiPriority w:val="0"/>
    <w:pPr>
      <w:jc w:val="center"/>
    </w:pPr>
    <w:rPr>
      <w:rFonts w:ascii="Times New Roman" w:hAnsi="Times New Roman"/>
      <w:kern w:val="0"/>
      <w:sz w:val="20"/>
      <w:szCs w:val="20"/>
    </w:rPr>
  </w:style>
  <w:style w:type="paragraph" w:customStyle="1" w:styleId="71">
    <w:name w:val="Table Paragraph"/>
    <w:basedOn w:val="1"/>
    <w:qFormat/>
    <w:uiPriority w:val="1"/>
    <w:pPr>
      <w:widowControl/>
      <w:jc w:val="left"/>
    </w:pPr>
    <w:rPr>
      <w:rFonts w:cs="宋体"/>
      <w:kern w:val="0"/>
      <w:sz w:val="22"/>
      <w:szCs w:val="22"/>
    </w:rPr>
  </w:style>
  <w:style w:type="paragraph" w:customStyle="1" w:styleId="72">
    <w:name w:val="Char Char Char Char Char Char Char Char Char Char"/>
    <w:basedOn w:val="1"/>
    <w:qFormat/>
    <w:uiPriority w:val="0"/>
    <w:pPr>
      <w:widowControl/>
      <w:spacing w:after="160" w:line="240" w:lineRule="exact"/>
      <w:jc w:val="left"/>
    </w:pPr>
    <w:rPr>
      <w:rFonts w:ascii="Times New Roman" w:hAnsi="Times New Roman"/>
    </w:rPr>
  </w:style>
  <w:style w:type="character" w:customStyle="1" w:styleId="73">
    <w:name w:val="正文首行缩进 Char"/>
    <w:basedOn w:val="58"/>
    <w:link w:val="29"/>
    <w:qFormat/>
    <w:uiPriority w:val="0"/>
    <w:rPr>
      <w:kern w:val="2"/>
      <w:sz w:val="21"/>
      <w:szCs w:val="24"/>
    </w:rPr>
  </w:style>
  <w:style w:type="character" w:customStyle="1" w:styleId="74">
    <w:name w:val="正文首行缩进 Char1"/>
    <w:basedOn w:val="58"/>
    <w:link w:val="29"/>
    <w:qFormat/>
    <w:uiPriority w:val="0"/>
    <w:rPr>
      <w:kern w:val="2"/>
      <w:sz w:val="21"/>
      <w:szCs w:val="24"/>
    </w:rPr>
  </w:style>
  <w:style w:type="paragraph" w:customStyle="1" w:styleId="75">
    <w:name w:val="正文001"/>
    <w:basedOn w:val="1"/>
    <w:qFormat/>
    <w:uiPriority w:val="0"/>
    <w:pPr>
      <w:spacing w:before="60" w:line="460" w:lineRule="exact"/>
      <w:ind w:firstLine="482"/>
    </w:pPr>
    <w:rPr>
      <w:rFonts w:ascii="Times New Roman" w:hAnsi="Times New Roman"/>
      <w:sz w:val="24"/>
      <w:szCs w:val="20"/>
    </w:rPr>
  </w:style>
  <w:style w:type="paragraph" w:customStyle="1" w:styleId="76">
    <w:name w:val="标题003"/>
    <w:basedOn w:val="1"/>
    <w:qFormat/>
    <w:uiPriority w:val="0"/>
    <w:pPr>
      <w:spacing w:before="120" w:line="440" w:lineRule="exact"/>
      <w:outlineLvl w:val="2"/>
    </w:pPr>
    <w:rPr>
      <w:rFonts w:ascii="Times New Roman" w:hAnsi="Times New Roman"/>
      <w:b/>
      <w:sz w:val="27"/>
      <w:szCs w:val="20"/>
    </w:rPr>
  </w:style>
  <w:style w:type="character" w:customStyle="1" w:styleId="77">
    <w:name w:val="正文1 Char"/>
    <w:link w:val="78"/>
    <w:qFormat/>
    <w:locked/>
    <w:uiPriority w:val="0"/>
    <w:rPr>
      <w:sz w:val="24"/>
    </w:rPr>
  </w:style>
  <w:style w:type="paragraph" w:customStyle="1" w:styleId="78">
    <w:name w:val="正文1"/>
    <w:basedOn w:val="1"/>
    <w:link w:val="77"/>
    <w:qFormat/>
    <w:uiPriority w:val="0"/>
    <w:pPr>
      <w:spacing w:line="360" w:lineRule="auto"/>
      <w:ind w:firstLine="723" w:firstLineChars="200"/>
    </w:pPr>
    <w:rPr>
      <w:kern w:val="0"/>
      <w:sz w:val="24"/>
      <w:szCs w:val="20"/>
    </w:rPr>
  </w:style>
  <w:style w:type="character" w:customStyle="1" w:styleId="79">
    <w:name w:val="表标题 Char"/>
    <w:link w:val="80"/>
    <w:qFormat/>
    <w:uiPriority w:val="0"/>
    <w:rPr>
      <w:b/>
    </w:rPr>
  </w:style>
  <w:style w:type="paragraph" w:customStyle="1" w:styleId="80">
    <w:name w:val="表标题"/>
    <w:basedOn w:val="1"/>
    <w:link w:val="79"/>
    <w:qFormat/>
    <w:uiPriority w:val="0"/>
    <w:pPr>
      <w:jc w:val="center"/>
    </w:pPr>
    <w:rPr>
      <w:b/>
      <w:kern w:val="0"/>
      <w:sz w:val="20"/>
      <w:szCs w:val="20"/>
    </w:rPr>
  </w:style>
  <w:style w:type="paragraph" w:customStyle="1" w:styleId="81">
    <w:name w:val="样式 首行缩进:  2 字符"/>
    <w:basedOn w:val="1"/>
    <w:qFormat/>
    <w:uiPriority w:val="0"/>
    <w:pPr>
      <w:spacing w:line="500" w:lineRule="exact"/>
      <w:ind w:firstLine="480" w:firstLineChars="200"/>
    </w:pPr>
    <w:rPr>
      <w:rFonts w:ascii="Times New Roman" w:hAnsi="Times New Roman"/>
      <w:sz w:val="24"/>
    </w:rPr>
  </w:style>
  <w:style w:type="paragraph" w:customStyle="1" w:styleId="82">
    <w:name w:val="WPSOffice手动目录 1"/>
    <w:qFormat/>
    <w:uiPriority w:val="0"/>
    <w:pPr>
      <w:ind w:leftChars="0"/>
    </w:pPr>
    <w:rPr>
      <w:rFonts w:ascii="Calibri" w:hAnsi="Calibri" w:eastAsia="宋体" w:cs="Times New Roman"/>
      <w:sz w:val="20"/>
      <w:szCs w:val="20"/>
    </w:rPr>
  </w:style>
  <w:style w:type="paragraph" w:customStyle="1" w:styleId="83">
    <w:name w:val="样式 样式 首行缩进:  2 字符1 + 首行缩进:  2 字符"/>
    <w:basedOn w:val="1"/>
    <w:qFormat/>
    <w:uiPriority w:val="0"/>
    <w:pPr>
      <w:tabs>
        <w:tab w:val="left" w:pos="720"/>
      </w:tabs>
      <w:spacing w:line="360" w:lineRule="auto"/>
    </w:pPr>
    <w:rPr>
      <w:rFonts w:ascii="宋体" w:hAnsi="宋体" w:cs="宋体"/>
      <w:color w:val="000000"/>
    </w:rPr>
  </w:style>
  <w:style w:type="table" w:customStyle="1" w:styleId="84">
    <w:name w:val="Table Normal"/>
    <w:semiHidden/>
    <w:unhideWhenUsed/>
    <w:qFormat/>
    <w:uiPriority w:val="0"/>
    <w:tblPr>
      <w:tblCellMar>
        <w:top w:w="0" w:type="dxa"/>
        <w:left w:w="0" w:type="dxa"/>
        <w:bottom w:w="0" w:type="dxa"/>
        <w:right w:w="0" w:type="dxa"/>
      </w:tblCellMar>
    </w:tblPr>
  </w:style>
  <w:style w:type="paragraph" w:customStyle="1" w:styleId="85">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 w:type="paragraph" w:customStyle="1" w:styleId="86">
    <w:name w:val="正文文字"/>
    <w:basedOn w:val="1"/>
    <w:qFormat/>
    <w:uiPriority w:val="0"/>
    <w:pPr>
      <w:spacing w:line="560" w:lineRule="exact"/>
      <w:ind w:firstLine="200"/>
    </w:pPr>
    <w:rPr>
      <w:rFonts w:ascii="Times New Roman" w:hAnsi="Times New Roman"/>
      <w:szCs w:val="20"/>
    </w:rPr>
  </w:style>
  <w:style w:type="paragraph" w:customStyle="1" w:styleId="87">
    <w:name w:val="Table Text"/>
    <w:basedOn w:val="1"/>
    <w:semiHidden/>
    <w:qFormat/>
    <w:uiPriority w:val="0"/>
    <w:rPr>
      <w:rFonts w:ascii="宋体" w:hAnsi="宋体" w:eastAsia="宋体" w:cs="宋体"/>
      <w:sz w:val="21"/>
      <w:szCs w:val="21"/>
      <w:lang w:val="en-US" w:eastAsia="en-US" w:bidi="ar-SA"/>
    </w:rPr>
  </w:style>
  <w:style w:type="paragraph" w:customStyle="1" w:styleId="88">
    <w:name w:val="表"/>
    <w:basedOn w:val="1"/>
    <w:qFormat/>
    <w:uiPriority w:val="0"/>
    <w:pPr>
      <w:kinsoku w:val="0"/>
      <w:adjustRightInd w:val="0"/>
      <w:snapToGrid w:val="0"/>
      <w:spacing w:line="240" w:lineRule="auto"/>
      <w:ind w:firstLine="0" w:firstLineChars="0"/>
      <w:jc w:val="center"/>
    </w:pPr>
    <w:rPr>
      <w:rFonts w:eastAsia="楷体"/>
      <w:spacing w:val="2"/>
      <w:kern w:val="0"/>
      <w:szCs w:val="20"/>
    </w:rPr>
  </w:style>
  <w:style w:type="paragraph" w:customStyle="1" w:styleId="89">
    <w:name w:val="正文正式用"/>
    <w:basedOn w:val="2"/>
    <w:qFormat/>
    <w:uiPriority w:val="0"/>
    <w:pPr>
      <w:snapToGrid w:val="0"/>
      <w:spacing w:after="0" w:line="360" w:lineRule="auto"/>
      <w:ind w:firstLine="200" w:firstLineChars="200"/>
    </w:pPr>
    <w:rPr>
      <w:color w:val="000000"/>
      <w:sz w:val="24"/>
    </w:rPr>
  </w:style>
  <w:style w:type="paragraph" w:customStyle="1" w:styleId="90">
    <w:name w:val="LNY正文样式"/>
    <w:basedOn w:val="91"/>
    <w:qFormat/>
    <w:uiPriority w:val="0"/>
    <w:pPr>
      <w:ind w:firstLine="480"/>
    </w:pPr>
    <w:rPr>
      <w:rFonts w:eastAsia="宋体" w:cs="Calibri"/>
      <w:color w:val="000000"/>
    </w:rPr>
  </w:style>
  <w:style w:type="paragraph" w:styleId="91">
    <w:name w:val="List Paragraph"/>
    <w:basedOn w:val="1"/>
    <w:qFormat/>
    <w:uiPriority w:val="0"/>
    <w:pPr>
      <w:snapToGrid/>
      <w:spacing w:line="240" w:lineRule="auto"/>
      <w:ind w:firstLine="420" w:firstLineChars="200"/>
    </w:pPr>
    <w:rPr>
      <w:sz w:val="21"/>
      <w:szCs w:val="24"/>
    </w:rPr>
  </w:style>
  <w:style w:type="paragraph" w:customStyle="1" w:styleId="92">
    <w:name w:val="z正文"/>
    <w:basedOn w:val="14"/>
    <w:next w:val="1"/>
    <w:qFormat/>
    <w:uiPriority w:val="0"/>
    <w:pPr>
      <w:adjustRightInd w:val="0"/>
      <w:snapToGrid w:val="0"/>
      <w:spacing w:line="360" w:lineRule="auto"/>
      <w:ind w:firstLine="200" w:firstLineChars="200"/>
      <w:textAlignment w:val="baseline"/>
    </w:pPr>
    <w:rPr>
      <w:sz w:val="24"/>
    </w:rPr>
  </w:style>
  <w:style w:type="paragraph" w:customStyle="1" w:styleId="93">
    <w:name w:val="（正文）"/>
    <w:qFormat/>
    <w:uiPriority w:val="0"/>
    <w:pPr>
      <w:adjustRightInd w:val="0"/>
      <w:snapToGrid w:val="0"/>
      <w:spacing w:line="360" w:lineRule="auto"/>
      <w:ind w:firstLine="200" w:firstLineChars="200"/>
    </w:pPr>
    <w:rPr>
      <w:rFonts w:ascii="Times New Roman" w:hAnsi="Times New Roman" w:eastAsia="Times New Roman" w:cs="Times New Roman"/>
      <w:sz w:val="24"/>
      <w:szCs w:val="24"/>
      <w:lang w:val="en-US" w:eastAsia="zh-CN" w:bidi="ar-SA"/>
    </w:rPr>
  </w:style>
  <w:style w:type="paragraph" w:customStyle="1" w:styleId="94">
    <w:name w:val="ff6"/>
    <w:basedOn w:val="11"/>
    <w:qFormat/>
    <w:uiPriority w:val="0"/>
    <w:pPr>
      <w:overflowPunct w:val="0"/>
      <w:adjustRightInd w:val="0"/>
      <w:snapToGrid w:val="0"/>
      <w:spacing w:after="156" w:afterLines="50" w:line="400" w:lineRule="atLeast"/>
      <w:ind w:firstLine="480"/>
    </w:pPr>
    <w:rPr>
      <w:rFonts w:cs="宋体"/>
      <w:kern w:val="2"/>
    </w:rPr>
  </w:style>
  <w:style w:type="paragraph" w:customStyle="1" w:styleId="95">
    <w:name w:val="样式 一号标题 + 段前: 0 磅 段后: 0 磅 行距: 固定值 25 磅"/>
    <w:basedOn w:val="1"/>
    <w:qFormat/>
    <w:uiPriority w:val="0"/>
    <w:pPr>
      <w:keepNext/>
      <w:keepLines/>
      <w:spacing w:before="156" w:beforeLines="50" w:after="156" w:afterLines="50"/>
      <w:jc w:val="left"/>
      <w:outlineLvl w:val="1"/>
    </w:pPr>
    <w:rPr>
      <w:rFonts w:ascii="Arial" w:hAnsi="Arial" w:eastAsia="黑体" w:cs="宋体"/>
      <w:kern w:val="24"/>
      <w:sz w:val="32"/>
      <w:szCs w:val="20"/>
    </w:rPr>
  </w:style>
  <w:style w:type="paragraph" w:customStyle="1" w:styleId="96">
    <w:name w:val="样式 (符号) 宋体 小四 行距: 1.5 倍行距"/>
    <w:basedOn w:val="1"/>
    <w:qFormat/>
    <w:uiPriority w:val="0"/>
    <w:pPr>
      <w:spacing w:line="360" w:lineRule="auto"/>
      <w:ind w:firstLine="480" w:firstLineChars="200"/>
    </w:pPr>
    <w:rPr>
      <w:rFonts w:ascii="Calibri" w:hAnsi="宋体" w:cs="宋体"/>
      <w:sz w:val="24"/>
      <w:szCs w:val="21"/>
    </w:rPr>
  </w:style>
  <w:style w:type="paragraph" w:customStyle="1" w:styleId="97">
    <w:name w:val="表格题注"/>
    <w:qFormat/>
    <w:uiPriority w:val="0"/>
    <w:pPr>
      <w:jc w:val="center"/>
    </w:pPr>
    <w:rPr>
      <w:rFonts w:ascii="Calibri" w:hAnsi="Calibri" w:eastAsia="宋体" w:cs="Times New Roman"/>
      <w:b/>
      <w:sz w:val="21"/>
      <w:szCs w:val="22"/>
      <w:lang w:val="en-US" w:eastAsia="zh-CN" w:bidi="ar-SA"/>
    </w:rPr>
  </w:style>
  <w:style w:type="paragraph" w:customStyle="1" w:styleId="98">
    <w:name w:val="表格格式"/>
    <w:basedOn w:val="1"/>
    <w:qFormat/>
    <w:uiPriority w:val="0"/>
    <w:pPr>
      <w:spacing w:line="240" w:lineRule="auto"/>
      <w:ind w:firstLine="0" w:firstLineChars="0"/>
      <w:jc w:val="center"/>
    </w:pPr>
    <w:rPr>
      <w:rFonts w:hint="eastAsia" w:cs="宋体"/>
      <w:sz w:val="21"/>
      <w:szCs w:val="24"/>
    </w:rPr>
  </w:style>
  <w:style w:type="paragraph" w:customStyle="1" w:styleId="99">
    <w:name w:val="表格标题"/>
    <w:basedOn w:val="100"/>
    <w:next w:val="1"/>
    <w:qFormat/>
    <w:uiPriority w:val="0"/>
    <w:pPr>
      <w:tabs>
        <w:tab w:val="left" w:pos="0"/>
      </w:tabs>
      <w:spacing w:line="240" w:lineRule="auto"/>
      <w:ind w:firstLine="0" w:firstLineChars="0"/>
      <w:jc w:val="center"/>
    </w:pPr>
    <w:rPr>
      <w:rFonts w:eastAsia="黑体"/>
    </w:rPr>
  </w:style>
  <w:style w:type="paragraph" w:customStyle="1" w:styleId="100">
    <w:name w:val="报告书正文"/>
    <w:basedOn w:val="1"/>
    <w:qFormat/>
    <w:uiPriority w:val="0"/>
    <w:pPr>
      <w:widowControl/>
      <w:tabs>
        <w:tab w:val="left" w:pos="0"/>
      </w:tabs>
      <w:spacing w:line="360" w:lineRule="auto"/>
      <w:ind w:firstLine="200" w:firstLineChars="200"/>
    </w:pPr>
    <w:rPr>
      <w:snapToGrid w:val="0"/>
      <w:kern w:val="0"/>
      <w:sz w:val="24"/>
      <w:szCs w:val="24"/>
    </w:rPr>
  </w:style>
  <w:style w:type="paragraph" w:customStyle="1" w:styleId="101">
    <w:name w:val="单元格格式"/>
    <w:qFormat/>
    <w:uiPriority w:val="0"/>
    <w:pPr>
      <w:widowControl w:val="0"/>
      <w:adjustRightInd w:val="0"/>
      <w:spacing w:before="60" w:after="60" w:line="280" w:lineRule="exact"/>
      <w:jc w:val="center"/>
      <w:textAlignment w:val="baseline"/>
    </w:pPr>
    <w:rPr>
      <w:rFonts w:ascii="宋体" w:hAnsi="宋体" w:eastAsia="宋体" w:cs="Times New Roman"/>
      <w:sz w:val="28"/>
      <w:lang w:val="en-US" w:eastAsia="zh-CN" w:bidi="ar-SA"/>
    </w:rPr>
  </w:style>
  <w:style w:type="paragraph" w:customStyle="1" w:styleId="102">
    <w:name w:val="段落 Char1"/>
    <w:basedOn w:val="1"/>
    <w:qFormat/>
    <w:uiPriority w:val="0"/>
    <w:pPr>
      <w:tabs>
        <w:tab w:val="left" w:pos="1021"/>
      </w:tabs>
      <w:ind w:firstLine="504" w:firstLineChars="200"/>
    </w:pPr>
    <w:rPr>
      <w:rFonts w:ascii="Times New Roman" w:hAnsi="Times New Roman"/>
      <w:bCs/>
      <w:color w:val="000000"/>
      <w:spacing w:val="6"/>
      <w:kern w:val="0"/>
    </w:rPr>
  </w:style>
  <w:style w:type="paragraph" w:customStyle="1" w:styleId="103">
    <w:name w:val="1文章"/>
    <w:basedOn w:val="1"/>
    <w:qFormat/>
    <w:uiPriority w:val="0"/>
    <w:pPr>
      <w:snapToGrid w:val="0"/>
      <w:spacing w:line="360" w:lineRule="auto"/>
      <w:ind w:firstLine="573"/>
    </w:pPr>
    <w:rPr>
      <w:rFonts w:eastAsia="仿宋_GB2312"/>
      <w:sz w:val="28"/>
      <w:szCs w:val="20"/>
    </w:rPr>
  </w:style>
  <w:style w:type="paragraph" w:customStyle="1" w:styleId="104">
    <w:name w:val="图名"/>
    <w:qFormat/>
    <w:uiPriority w:val="0"/>
    <w:pPr>
      <w:widowControl w:val="0"/>
      <w:tabs>
        <w:tab w:val="left" w:pos="1021"/>
      </w:tabs>
      <w:snapToGrid w:val="0"/>
      <w:jc w:val="center"/>
    </w:pPr>
    <w:rPr>
      <w:rFonts w:ascii="Times New Roman" w:hAnsi="Times New Roman" w:eastAsia="黑体" w:cs="Times New Roman"/>
      <w:kern w:val="0"/>
      <w:sz w:val="24"/>
      <w:szCs w:val="24"/>
      <w:lang w:val="en-US" w:eastAsia="zh-CN" w:bidi="ar-SA"/>
    </w:rPr>
  </w:style>
  <w:style w:type="paragraph" w:customStyle="1" w:styleId="105">
    <w:name w:val="图表标题"/>
    <w:next w:val="11"/>
    <w:qFormat/>
    <w:uiPriority w:val="0"/>
    <w:pPr>
      <w:spacing w:line="360" w:lineRule="auto"/>
      <w:jc w:val="center"/>
    </w:pPr>
    <w:rPr>
      <w:rFonts w:ascii="Times New Roman" w:hAnsi="Times New Roman" w:eastAsia="宋体" w:cs="Times New Roman"/>
      <w:b/>
      <w:kern w:val="2"/>
      <w:sz w:val="21"/>
      <w:szCs w:val="24"/>
      <w:lang w:val="en-US" w:eastAsia="zh-CN" w:bidi="ar-SA"/>
    </w:rPr>
  </w:style>
  <w:style w:type="paragraph" w:customStyle="1" w:styleId="106">
    <w:name w:val="样式 小四 行距: 1.5 倍行距 首行缩进:  2 字符"/>
    <w:basedOn w:val="1"/>
    <w:qFormat/>
    <w:uiPriority w:val="99"/>
    <w:pPr>
      <w:adjustRightInd w:val="0"/>
      <w:snapToGrid w:val="0"/>
      <w:spacing w:line="360" w:lineRule="auto"/>
      <w:ind w:firstLine="200" w:firstLineChars="200"/>
    </w:pPr>
    <w:rPr>
      <w:rFonts w:cs="宋体"/>
      <w:kern w:val="0"/>
      <w:sz w:val="24"/>
      <w:szCs w:val="20"/>
    </w:rPr>
  </w:style>
  <w:style w:type="character" w:customStyle="1" w:styleId="107">
    <w:name w:val="fontstyle01"/>
    <w:basedOn w:val="32"/>
    <w:qFormat/>
    <w:uiPriority w:val="0"/>
    <w:rPr>
      <w:rFonts w:hint="eastAsia" w:ascii="宋体" w:hAnsi="宋体" w:eastAsia="宋体" w:cs="宋体"/>
      <w:color w:val="000000"/>
      <w:sz w:val="24"/>
      <w:szCs w:val="24"/>
    </w:rPr>
  </w:style>
  <w:style w:type="paragraph" w:customStyle="1" w:styleId="108">
    <w:name w:val="样式 样式 (符号) 宋体 小四 行距: 1.5 倍行距 + (符号) Times New Roman 上标"/>
    <w:basedOn w:val="96"/>
    <w:qFormat/>
    <w:uiPriority w:val="99"/>
    <w:pPr>
      <w:spacing w:line="480" w:lineRule="exact"/>
      <w:ind w:firstLine="200"/>
    </w:pPr>
    <w:rPr>
      <w:rFonts w:hAnsi="Times New Roman"/>
    </w:rPr>
  </w:style>
  <w:style w:type="paragraph" w:customStyle="1" w:styleId="109">
    <w:name w:val="表格正文"/>
    <w:basedOn w:val="1"/>
    <w:qFormat/>
    <w:uiPriority w:val="0"/>
    <w:pPr>
      <w:jc w:val="center"/>
    </w:pPr>
    <w:rPr>
      <w:rFonts w:ascii="Times New Roman" w:hAnsi="Times New Roman" w:eastAsia="宋体"/>
    </w:rPr>
  </w:style>
  <w:style w:type="paragraph" w:customStyle="1" w:styleId="110">
    <w:name w:val="表格 小四"/>
    <w:basedOn w:val="1"/>
    <w:qFormat/>
    <w:uiPriority w:val="0"/>
    <w:pPr>
      <w:widowControl/>
      <w:topLinePunct w:val="0"/>
      <w:adjustRightInd w:val="0"/>
      <w:snapToGrid w:val="0"/>
      <w:spacing w:line="240" w:lineRule="exact"/>
      <w:ind w:firstLine="0" w:firstLineChars="0"/>
      <w:jc w:val="center"/>
    </w:pPr>
    <w:rPr>
      <w:rFonts w:ascii="宋体" w:hAnsi="宋体"/>
      <w:snapToGrid w:val="0"/>
      <w:kern w:val="0"/>
      <w:sz w:val="21"/>
      <w:szCs w:val="21"/>
    </w:rPr>
  </w:style>
  <w:style w:type="paragraph" w:customStyle="1" w:styleId="111">
    <w:name w:val="zw"/>
    <w:basedOn w:val="1"/>
    <w:qFormat/>
    <w:uiPriority w:val="0"/>
  </w:style>
  <w:style w:type="paragraph" w:customStyle="1" w:styleId="112">
    <w:name w:val="1表格"/>
    <w:basedOn w:val="24"/>
    <w:qFormat/>
    <w:uiPriority w:val="0"/>
    <w:pPr>
      <w:spacing w:after="0"/>
      <w:textAlignment w:val="center"/>
      <w:outlineLvl w:val="9"/>
    </w:pPr>
    <w:rPr>
      <w:rFonts w:eastAsia="宋体" w:asciiTheme="majorAscii" w:hAnsiTheme="majorAscii"/>
      <w:sz w:val="21"/>
    </w:rPr>
  </w:style>
  <w:style w:type="paragraph" w:customStyle="1" w:styleId="113">
    <w:name w:val="WPS Plain"/>
    <w:qFormat/>
    <w:uiPriority w:val="0"/>
    <w:rPr>
      <w:rFonts w:ascii="Times New Roman" w:hAnsi="Times New Roman" w:eastAsia="宋体" w:cs="Times New Roman"/>
      <w:lang w:val="en-US" w:eastAsia="zh-CN" w:bidi="ar-SA"/>
    </w:rPr>
  </w:style>
  <w:style w:type="paragraph" w:customStyle="1" w:styleId="114">
    <w:name w:val="表格1"/>
    <w:qFormat/>
    <w:uiPriority w:val="0"/>
    <w:pPr>
      <w:adjustRightInd w:val="0"/>
      <w:snapToGrid w:val="0"/>
    </w:pPr>
    <w:rPr>
      <w:rFonts w:ascii="宋体" w:hAnsi="Times New Roman" w:eastAsia="宋体" w:cs="宋体"/>
      <w:sz w:val="24"/>
      <w:szCs w:val="21"/>
      <w:lang w:val="en-US" w:eastAsia="zh-CN" w:bidi="ar-SA"/>
    </w:rPr>
  </w:style>
  <w:style w:type="character" w:customStyle="1" w:styleId="115">
    <w:name w:val="正文缩进 Char"/>
    <w:qFormat/>
    <w:uiPriority w:val="0"/>
    <w:rPr>
      <w:rFonts w:ascii="宋体" w:eastAsia="宋体"/>
      <w:snapToGrid w:val="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38C7D1-0A7E-41B0-9591-FAE26E7C2F3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71</Pages>
  <Words>36287</Words>
  <Characters>39417</Characters>
  <Lines>335</Lines>
  <Paragraphs>94</Paragraphs>
  <TotalTime>1</TotalTime>
  <ScaleCrop>false</ScaleCrop>
  <LinksUpToDate>false</LinksUpToDate>
  <CharactersWithSpaces>39743</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2021-04-07T01:10:00Z</dcterms:created>
  <dc:creator>lhj</dc:creator>
  <cp:lastModifiedBy>Administrator</cp:lastModifiedBy>
  <cp:lastPrinted>2022-04-01T02:59:00Z</cp:lastPrinted>
  <dcterms:modified xsi:type="dcterms:W3CDTF">2025-09-08T06:35:42Z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F83A2FA6E17A4AF8BCF0D031B413194C</vt:lpwstr>
  </property>
  <property fmtid="{D5CDD505-2E9C-101B-9397-08002B2CF9AE}" pid="4" name="KSOTemplateDocerSaveRecord">
    <vt:lpwstr>eyJoZGlkIjoiY2QzNmM5Y2ZjMGZhYTBjMjc3ZWU3NTgzMWI5ZDY5M2IiLCJ1c2VySWQiOiIyNjk2OTQ5MzAifQ==</vt:lpwstr>
  </property>
</Properties>
</file>