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adjustRightInd w:val="0"/>
        <w:snapToGrid w:val="0"/>
        <w:spacing w:line="288" w:lineRule="auto"/>
        <w:jc w:val="center"/>
        <w:rPr>
          <w:rFonts w:eastAsia="华文仿宋"/>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30"/>
          <w:szCs w:val="30"/>
          <w:u w:val="single"/>
        </w:rPr>
      </w:pPr>
      <w:r>
        <w:rPr>
          <w:rFonts w:hint="eastAsia" w:ascii="宋体" w:hAnsi="宋体" w:eastAsia="宋体" w:cs="宋体"/>
          <w:sz w:val="30"/>
          <w:szCs w:val="30"/>
        </w:rPr>
        <w:t>项目名称：</w:t>
      </w:r>
      <w:r>
        <w:rPr>
          <w:rFonts w:hint="eastAsia" w:ascii="宋体" w:hAnsi="宋体" w:eastAsia="宋体" w:cs="宋体"/>
          <w:sz w:val="30"/>
          <w:szCs w:val="30"/>
          <w:u w:val="single"/>
        </w:rPr>
        <w:t>合雅木业木门建设及生产配套设施项目（年产8万条门）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30"/>
          <w:szCs w:val="30"/>
          <w:u w:val="single"/>
        </w:rPr>
      </w:pPr>
      <w:r>
        <w:rPr>
          <w:rFonts w:hint="eastAsia" w:ascii="宋体" w:hAnsi="宋体" w:eastAsia="宋体" w:cs="宋体"/>
          <w:sz w:val="30"/>
          <w:szCs w:val="30"/>
        </w:rPr>
        <w:t>建设单位（盖章）：</w:t>
      </w:r>
      <w:r>
        <w:rPr>
          <w:rFonts w:hint="eastAsia" w:ascii="宋体" w:hAnsi="宋体" w:eastAsia="宋体" w:cs="宋体"/>
          <w:sz w:val="30"/>
          <w:szCs w:val="30"/>
          <w:u w:val="single"/>
        </w:rPr>
        <w:t xml:space="preserve"> 湖南合雅木业有限公司</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30"/>
          <w:szCs w:val="30"/>
          <w:u w:val="single"/>
        </w:rPr>
      </w:pPr>
      <w:r>
        <w:rPr>
          <w:rFonts w:hint="eastAsia" w:ascii="宋体" w:hAnsi="宋体" w:eastAsia="宋体" w:cs="宋体"/>
          <w:sz w:val="30"/>
          <w:szCs w:val="30"/>
        </w:rPr>
        <w:t>编制日期：</w:t>
      </w:r>
      <w:r>
        <w:rPr>
          <w:rFonts w:hint="eastAsia" w:ascii="宋体" w:hAnsi="宋体" w:eastAsia="宋体" w:cs="宋体"/>
          <w:sz w:val="30"/>
          <w:szCs w:val="30"/>
          <w:u w:val="single"/>
        </w:rPr>
        <w:t>2025年</w:t>
      </w:r>
      <w:r>
        <w:rPr>
          <w:rFonts w:hint="eastAsia" w:ascii="宋体" w:hAnsi="宋体" w:cs="宋体"/>
          <w:sz w:val="30"/>
          <w:szCs w:val="30"/>
          <w:u w:val="single"/>
          <w:lang w:val="en-US" w:eastAsia="zh-CN"/>
        </w:rPr>
        <w:t>9</w:t>
      </w:r>
      <w:r>
        <w:rPr>
          <w:rFonts w:hint="eastAsia" w:ascii="宋体" w:hAnsi="宋体" w:eastAsia="宋体" w:cs="宋体"/>
          <w:sz w:val="30"/>
          <w:szCs w:val="30"/>
          <w:u w:val="single"/>
        </w:rPr>
        <w:t>月</w:t>
      </w:r>
    </w:p>
    <w:p>
      <w:pPr>
        <w:adjustRightInd w:val="0"/>
        <w:snapToGrid w:val="0"/>
        <w:spacing w:line="288" w:lineRule="auto"/>
        <w:ind w:firstLine="1040"/>
        <w:rPr>
          <w:rFonts w:eastAsia="仿宋_GB2312"/>
          <w:sz w:val="36"/>
          <w:szCs w:val="36"/>
          <w:u w:val="single"/>
        </w:rPr>
      </w:pPr>
      <w:bookmarkStart w:id="0" w:name="_Hlk57884087"/>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bookmarkEnd w:id="0"/>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jc w:val="center"/>
        <w:rPr>
          <w:rFonts w:eastAsia="楷体_GB2312"/>
          <w:sz w:val="36"/>
          <w:szCs w:val="36"/>
        </w:rPr>
      </w:pPr>
    </w:p>
    <w:p>
      <w:pPr>
        <w:adjustRightInd w:val="0"/>
        <w:snapToGrid w:val="0"/>
        <w:spacing w:line="288" w:lineRule="auto"/>
        <w:jc w:val="center"/>
        <w:rPr>
          <w:rFonts w:hint="eastAsia" w:eastAsia="宋体"/>
          <w:sz w:val="36"/>
          <w:szCs w:val="36"/>
          <w:lang w:val="en-US" w:eastAsia="zh-CN"/>
        </w:rPr>
      </w:pPr>
    </w:p>
    <w:p>
      <w:pPr>
        <w:jc w:val="center"/>
        <w:rPr>
          <w:rFonts w:eastAsia="黑体"/>
          <w:sz w:val="30"/>
          <w:szCs w:val="30"/>
        </w:rPr>
      </w:pPr>
      <w:r>
        <w:rPr>
          <w:rFonts w:eastAsia="黑体"/>
          <w:sz w:val="30"/>
          <w:szCs w:val="30"/>
        </w:rPr>
        <w:br w:type="column"/>
      </w:r>
      <w:r>
        <w:rPr>
          <w:rFonts w:eastAsia="黑体"/>
          <w:sz w:val="44"/>
          <w:szCs w:val="44"/>
        </w:rPr>
        <w:t>目  录</w:t>
      </w:r>
    </w:p>
    <w:p>
      <w:pPr>
        <w:pStyle w:val="12"/>
      </w:pPr>
    </w:p>
    <w:p>
      <w:pPr>
        <w:pStyle w:val="23"/>
        <w:tabs>
          <w:tab w:val="right" w:leader="dot" w:pos="8844"/>
        </w:tabs>
        <w:spacing w:line="360" w:lineRule="auto"/>
        <w:rPr>
          <w:sz w:val="24"/>
        </w:rPr>
      </w:pPr>
      <w:r>
        <w:rPr>
          <w:rFonts w:eastAsia="仿宋_GB2312"/>
          <w:sz w:val="24"/>
        </w:rPr>
        <w:fldChar w:fldCharType="begin"/>
      </w:r>
      <w:r>
        <w:rPr>
          <w:rFonts w:eastAsia="仿宋_GB2312"/>
          <w:sz w:val="24"/>
        </w:rPr>
        <w:instrText xml:space="preserve">TOC \o "1-2" \h \u </w:instrText>
      </w:r>
      <w:r>
        <w:rPr>
          <w:rFonts w:eastAsia="仿宋_GB2312"/>
          <w:sz w:val="24"/>
        </w:rPr>
        <w:fldChar w:fldCharType="separate"/>
      </w:r>
      <w:r>
        <w:fldChar w:fldCharType="begin"/>
      </w:r>
      <w:r>
        <w:instrText xml:space="preserve"> HYPERLINK \l "_Toc28009" </w:instrText>
      </w:r>
      <w:r>
        <w:fldChar w:fldCharType="separate"/>
      </w:r>
      <w:r>
        <w:rPr>
          <w:rFonts w:eastAsia="黑体"/>
          <w:snapToGrid w:val="0"/>
          <w:sz w:val="24"/>
        </w:rPr>
        <w:t>一、建设项目基本情况</w:t>
      </w:r>
      <w:r>
        <w:rPr>
          <w:sz w:val="24"/>
        </w:rPr>
        <w:tab/>
      </w:r>
      <w:r>
        <w:rPr>
          <w:sz w:val="24"/>
        </w:rPr>
        <w:fldChar w:fldCharType="begin"/>
      </w:r>
      <w:r>
        <w:rPr>
          <w:sz w:val="24"/>
        </w:rPr>
        <w:instrText xml:space="preserve"> PAGEREF _Toc28009 \h </w:instrText>
      </w:r>
      <w:r>
        <w:rPr>
          <w:sz w:val="24"/>
        </w:rPr>
        <w:fldChar w:fldCharType="separate"/>
      </w:r>
      <w:r>
        <w:rPr>
          <w:sz w:val="24"/>
        </w:rPr>
        <w:t>1</w:t>
      </w:r>
      <w:r>
        <w:rPr>
          <w:sz w:val="24"/>
        </w:rPr>
        <w:fldChar w:fldCharType="end"/>
      </w:r>
      <w:r>
        <w:rPr>
          <w:sz w:val="24"/>
        </w:rPr>
        <w:fldChar w:fldCharType="end"/>
      </w:r>
    </w:p>
    <w:p>
      <w:pPr>
        <w:pStyle w:val="23"/>
        <w:tabs>
          <w:tab w:val="right" w:leader="dot" w:pos="8844"/>
        </w:tabs>
        <w:spacing w:line="360" w:lineRule="auto"/>
        <w:rPr>
          <w:sz w:val="24"/>
        </w:rPr>
      </w:pPr>
      <w:r>
        <w:fldChar w:fldCharType="begin"/>
      </w:r>
      <w:r>
        <w:instrText xml:space="preserve"> HYPERLINK \l "_Toc24733" </w:instrText>
      </w:r>
      <w:r>
        <w:fldChar w:fldCharType="separate"/>
      </w:r>
      <w:r>
        <w:rPr>
          <w:rFonts w:eastAsia="黑体"/>
          <w:snapToGrid w:val="0"/>
          <w:sz w:val="24"/>
        </w:rPr>
        <w:t>二、建设项目工程分析</w:t>
      </w:r>
      <w:r>
        <w:rPr>
          <w:sz w:val="24"/>
        </w:rPr>
        <w:tab/>
      </w:r>
      <w:r>
        <w:rPr>
          <w:sz w:val="24"/>
        </w:rPr>
        <w:fldChar w:fldCharType="begin"/>
      </w:r>
      <w:r>
        <w:rPr>
          <w:sz w:val="24"/>
        </w:rPr>
        <w:instrText xml:space="preserve"> PAGEREF _Toc24733 \h </w:instrText>
      </w:r>
      <w:r>
        <w:rPr>
          <w:sz w:val="24"/>
        </w:rPr>
        <w:fldChar w:fldCharType="separate"/>
      </w:r>
      <w:r>
        <w:rPr>
          <w:sz w:val="24"/>
        </w:rPr>
        <w:t>20</w:t>
      </w:r>
      <w:r>
        <w:rPr>
          <w:sz w:val="24"/>
        </w:rPr>
        <w:fldChar w:fldCharType="end"/>
      </w:r>
      <w:r>
        <w:rPr>
          <w:sz w:val="24"/>
        </w:rPr>
        <w:fldChar w:fldCharType="end"/>
      </w:r>
    </w:p>
    <w:p>
      <w:pPr>
        <w:pStyle w:val="23"/>
        <w:tabs>
          <w:tab w:val="right" w:leader="dot" w:pos="8844"/>
        </w:tabs>
        <w:spacing w:line="360" w:lineRule="auto"/>
        <w:rPr>
          <w:sz w:val="24"/>
        </w:rPr>
      </w:pPr>
      <w:r>
        <w:fldChar w:fldCharType="begin"/>
      </w:r>
      <w:r>
        <w:instrText xml:space="preserve"> HYPERLINK \l "_Toc2071" </w:instrText>
      </w:r>
      <w:r>
        <w:fldChar w:fldCharType="separate"/>
      </w:r>
      <w:r>
        <w:rPr>
          <w:rFonts w:eastAsia="黑体"/>
          <w:snapToGrid w:val="0"/>
          <w:sz w:val="24"/>
        </w:rPr>
        <w:t>三、区域环境质量现状、环境保护目标及评价标准</w:t>
      </w:r>
      <w:r>
        <w:rPr>
          <w:sz w:val="24"/>
        </w:rPr>
        <w:tab/>
      </w:r>
      <w:r>
        <w:rPr>
          <w:sz w:val="24"/>
        </w:rPr>
        <w:fldChar w:fldCharType="begin"/>
      </w:r>
      <w:r>
        <w:rPr>
          <w:sz w:val="24"/>
        </w:rPr>
        <w:instrText xml:space="preserve"> PAGEREF _Toc2071 \h </w:instrText>
      </w:r>
      <w:r>
        <w:rPr>
          <w:sz w:val="24"/>
        </w:rPr>
        <w:fldChar w:fldCharType="separate"/>
      </w:r>
      <w:r>
        <w:rPr>
          <w:sz w:val="24"/>
        </w:rPr>
        <w:t>32</w:t>
      </w:r>
      <w:r>
        <w:rPr>
          <w:sz w:val="24"/>
        </w:rPr>
        <w:fldChar w:fldCharType="end"/>
      </w:r>
      <w:r>
        <w:rPr>
          <w:sz w:val="24"/>
        </w:rPr>
        <w:fldChar w:fldCharType="end"/>
      </w:r>
    </w:p>
    <w:p>
      <w:pPr>
        <w:pStyle w:val="23"/>
        <w:tabs>
          <w:tab w:val="right" w:leader="dot" w:pos="8844"/>
        </w:tabs>
        <w:spacing w:line="360" w:lineRule="auto"/>
        <w:rPr>
          <w:sz w:val="24"/>
        </w:rPr>
      </w:pPr>
      <w:r>
        <w:fldChar w:fldCharType="begin"/>
      </w:r>
      <w:r>
        <w:instrText xml:space="preserve"> HYPERLINK \l "_Toc148" </w:instrText>
      </w:r>
      <w:r>
        <w:fldChar w:fldCharType="separate"/>
      </w:r>
      <w:r>
        <w:rPr>
          <w:rFonts w:eastAsia="黑体"/>
          <w:snapToGrid w:val="0"/>
          <w:sz w:val="24"/>
        </w:rPr>
        <w:t>四、主要环境影响和保护措施</w:t>
      </w:r>
      <w:r>
        <w:rPr>
          <w:sz w:val="24"/>
        </w:rPr>
        <w:tab/>
      </w:r>
      <w:r>
        <w:rPr>
          <w:sz w:val="24"/>
        </w:rPr>
        <w:fldChar w:fldCharType="begin"/>
      </w:r>
      <w:r>
        <w:rPr>
          <w:sz w:val="24"/>
        </w:rPr>
        <w:instrText xml:space="preserve"> PAGEREF _Toc148 \h </w:instrText>
      </w:r>
      <w:r>
        <w:rPr>
          <w:sz w:val="24"/>
        </w:rPr>
        <w:fldChar w:fldCharType="separate"/>
      </w:r>
      <w:r>
        <w:rPr>
          <w:sz w:val="24"/>
        </w:rPr>
        <w:t>37</w:t>
      </w:r>
      <w:r>
        <w:rPr>
          <w:sz w:val="24"/>
        </w:rPr>
        <w:fldChar w:fldCharType="end"/>
      </w:r>
      <w:r>
        <w:rPr>
          <w:sz w:val="24"/>
        </w:rPr>
        <w:fldChar w:fldCharType="end"/>
      </w:r>
    </w:p>
    <w:p>
      <w:pPr>
        <w:pStyle w:val="23"/>
        <w:tabs>
          <w:tab w:val="right" w:leader="dot" w:pos="8844"/>
        </w:tabs>
        <w:spacing w:line="360" w:lineRule="auto"/>
        <w:rPr>
          <w:sz w:val="24"/>
        </w:rPr>
      </w:pPr>
      <w:r>
        <w:fldChar w:fldCharType="begin"/>
      </w:r>
      <w:r>
        <w:instrText xml:space="preserve"> HYPERLINK \l "_Toc28805" </w:instrText>
      </w:r>
      <w:r>
        <w:fldChar w:fldCharType="separate"/>
      </w:r>
      <w:r>
        <w:rPr>
          <w:rFonts w:eastAsia="黑体"/>
          <w:snapToGrid w:val="0"/>
          <w:sz w:val="24"/>
        </w:rPr>
        <w:t>五、环境保护措施监督检查清单</w:t>
      </w:r>
      <w:r>
        <w:rPr>
          <w:sz w:val="24"/>
        </w:rPr>
        <w:tab/>
      </w:r>
      <w:r>
        <w:rPr>
          <w:sz w:val="24"/>
        </w:rPr>
        <w:fldChar w:fldCharType="begin"/>
      </w:r>
      <w:r>
        <w:rPr>
          <w:sz w:val="24"/>
        </w:rPr>
        <w:instrText xml:space="preserve"> PAGEREF _Toc28805 \h </w:instrText>
      </w:r>
      <w:r>
        <w:rPr>
          <w:sz w:val="24"/>
        </w:rPr>
        <w:fldChar w:fldCharType="separate"/>
      </w:r>
      <w:r>
        <w:rPr>
          <w:sz w:val="24"/>
        </w:rPr>
        <w:t>69</w:t>
      </w:r>
      <w:r>
        <w:rPr>
          <w:sz w:val="24"/>
        </w:rPr>
        <w:fldChar w:fldCharType="end"/>
      </w:r>
      <w:r>
        <w:rPr>
          <w:sz w:val="24"/>
        </w:rPr>
        <w:fldChar w:fldCharType="end"/>
      </w:r>
    </w:p>
    <w:p>
      <w:pPr>
        <w:pStyle w:val="23"/>
        <w:tabs>
          <w:tab w:val="right" w:leader="dot" w:pos="8844"/>
        </w:tabs>
        <w:spacing w:line="360" w:lineRule="auto"/>
        <w:rPr>
          <w:sz w:val="24"/>
        </w:rPr>
      </w:pPr>
      <w:r>
        <w:fldChar w:fldCharType="begin"/>
      </w:r>
      <w:r>
        <w:instrText xml:space="preserve"> HYPERLINK \l "_Toc25015" </w:instrText>
      </w:r>
      <w:r>
        <w:fldChar w:fldCharType="separate"/>
      </w:r>
      <w:r>
        <w:rPr>
          <w:rFonts w:eastAsia="黑体"/>
          <w:snapToGrid w:val="0"/>
          <w:sz w:val="24"/>
        </w:rPr>
        <w:t>六、结论</w:t>
      </w:r>
      <w:r>
        <w:rPr>
          <w:sz w:val="24"/>
        </w:rPr>
        <w:tab/>
      </w:r>
      <w:r>
        <w:rPr>
          <w:sz w:val="24"/>
        </w:rPr>
        <w:fldChar w:fldCharType="begin"/>
      </w:r>
      <w:r>
        <w:rPr>
          <w:sz w:val="24"/>
        </w:rPr>
        <w:instrText xml:space="preserve"> PAGEREF _Toc25015 \h </w:instrText>
      </w:r>
      <w:r>
        <w:rPr>
          <w:sz w:val="24"/>
        </w:rPr>
        <w:fldChar w:fldCharType="separate"/>
      </w:r>
      <w:r>
        <w:rPr>
          <w:sz w:val="24"/>
        </w:rPr>
        <w:t>71</w:t>
      </w:r>
      <w:r>
        <w:rPr>
          <w:sz w:val="24"/>
        </w:rPr>
        <w:fldChar w:fldCharType="end"/>
      </w:r>
      <w:r>
        <w:rPr>
          <w:sz w:val="24"/>
        </w:rPr>
        <w:fldChar w:fldCharType="end"/>
      </w:r>
    </w:p>
    <w:p>
      <w:pPr>
        <w:rPr>
          <w:szCs w:val="21"/>
          <w:lang w:bidi="ar"/>
        </w:rPr>
      </w:pPr>
      <w:r>
        <w:rPr>
          <w:rFonts w:eastAsia="仿宋_GB2312"/>
          <w:sz w:val="24"/>
        </w:rPr>
        <w:fldChar w:fldCharType="end"/>
      </w:r>
    </w:p>
    <w:p>
      <w:pPr>
        <w:rPr>
          <w:b/>
          <w:bCs/>
          <w:sz w:val="24"/>
          <w:lang w:bidi="ar"/>
        </w:rPr>
      </w:pPr>
      <w:r>
        <w:rPr>
          <w:b/>
          <w:bCs/>
          <w:sz w:val="24"/>
          <w:lang w:bidi="ar"/>
        </w:rPr>
        <w:t>附图：</w:t>
      </w:r>
    </w:p>
    <w:p>
      <w:pPr>
        <w:ind w:firstLine="420" w:firstLineChars="200"/>
        <w:rPr>
          <w:rFonts w:hint="eastAsia"/>
        </w:rPr>
      </w:pPr>
      <w:r>
        <w:rPr>
          <w:rFonts w:hint="eastAsia"/>
        </w:rPr>
        <w:t xml:space="preserve">附图1  项目地理位置图 </w:t>
      </w:r>
    </w:p>
    <w:p>
      <w:pPr>
        <w:ind w:firstLine="420" w:firstLineChars="200"/>
        <w:rPr>
          <w:rFonts w:hint="eastAsia"/>
        </w:rPr>
      </w:pPr>
      <w:r>
        <w:rPr>
          <w:rFonts w:hint="eastAsia"/>
        </w:rPr>
        <w:t>附图2  项目总平面布置图</w:t>
      </w:r>
    </w:p>
    <w:p>
      <w:pPr>
        <w:ind w:firstLine="420" w:firstLineChars="200"/>
        <w:rPr>
          <w:rFonts w:hint="eastAsia"/>
        </w:rPr>
      </w:pPr>
      <w:r>
        <w:rPr>
          <w:rFonts w:hint="eastAsia"/>
        </w:rPr>
        <w:t>附图3  环境保护目标分布图</w:t>
      </w:r>
    </w:p>
    <w:p>
      <w:pPr>
        <w:ind w:firstLine="420" w:firstLineChars="200"/>
        <w:rPr>
          <w:rFonts w:hint="eastAsia"/>
          <w:lang w:val="en-US" w:eastAsia="zh-CN"/>
        </w:rPr>
      </w:pPr>
      <w:r>
        <w:rPr>
          <w:rFonts w:hint="eastAsia"/>
        </w:rPr>
        <w:t xml:space="preserve">附图4  </w:t>
      </w:r>
      <w:r>
        <w:rPr>
          <w:rFonts w:hint="eastAsia"/>
          <w:lang w:val="en-US" w:eastAsia="zh-CN"/>
        </w:rPr>
        <w:t>产业布局图</w:t>
      </w:r>
    </w:p>
    <w:p>
      <w:pPr>
        <w:ind w:firstLine="420" w:firstLineChars="200"/>
        <w:rPr>
          <w:rFonts w:hint="default"/>
          <w:lang w:val="en-US"/>
        </w:rPr>
      </w:pPr>
      <w:r>
        <w:rPr>
          <w:rFonts w:hint="eastAsia"/>
          <w:lang w:val="en-US" w:eastAsia="zh-CN"/>
        </w:rPr>
        <w:t>附图5  土地利用规划图</w:t>
      </w:r>
    </w:p>
    <w:p>
      <w:pPr>
        <w:ind w:firstLine="420" w:firstLineChars="200"/>
        <w:rPr>
          <w:rFonts w:hint="eastAsia"/>
        </w:rPr>
      </w:pPr>
      <w:r>
        <w:rPr>
          <w:rFonts w:hint="eastAsia"/>
        </w:rPr>
        <w:t>附图</w:t>
      </w:r>
      <w:r>
        <w:rPr>
          <w:rFonts w:hint="eastAsia"/>
          <w:lang w:val="en-US" w:eastAsia="zh-CN"/>
        </w:rPr>
        <w:t>6</w:t>
      </w:r>
      <w:r>
        <w:rPr>
          <w:rFonts w:hint="eastAsia"/>
        </w:rPr>
        <w:t xml:space="preserve">  雨水走向图</w:t>
      </w:r>
    </w:p>
    <w:p>
      <w:pPr>
        <w:ind w:firstLine="420" w:firstLineChars="200"/>
      </w:pPr>
      <w:r>
        <w:rPr>
          <w:rFonts w:hint="eastAsia"/>
        </w:rPr>
        <w:t>附图</w:t>
      </w:r>
      <w:r>
        <w:rPr>
          <w:rFonts w:hint="eastAsia"/>
          <w:lang w:val="en-US" w:eastAsia="zh-CN"/>
        </w:rPr>
        <w:t xml:space="preserve">7 </w:t>
      </w:r>
      <w:r>
        <w:rPr>
          <w:rFonts w:hint="eastAsia"/>
        </w:rPr>
        <w:t xml:space="preserve"> 现场照片</w:t>
      </w:r>
    </w:p>
    <w:p>
      <w:pPr>
        <w:ind w:firstLine="480" w:firstLineChars="200"/>
        <w:rPr>
          <w:sz w:val="24"/>
        </w:rPr>
      </w:pPr>
    </w:p>
    <w:p>
      <w:pPr>
        <w:pStyle w:val="12"/>
        <w:snapToGrid/>
        <w:spacing w:line="240" w:lineRule="auto"/>
        <w:ind w:right="0"/>
        <w:rPr>
          <w:sz w:val="24"/>
          <w:szCs w:val="24"/>
        </w:rPr>
      </w:pPr>
    </w:p>
    <w:p>
      <w:pPr>
        <w:rPr>
          <w:b/>
          <w:bCs/>
          <w:sz w:val="24"/>
          <w:lang w:bidi="ar"/>
        </w:rPr>
      </w:pPr>
      <w:r>
        <w:rPr>
          <w:b/>
          <w:bCs/>
          <w:sz w:val="24"/>
          <w:lang w:bidi="ar"/>
        </w:rPr>
        <w:t>附件：</w:t>
      </w:r>
    </w:p>
    <w:p>
      <w:pPr>
        <w:ind w:firstLine="480" w:firstLineChars="200"/>
        <w:rPr>
          <w:sz w:val="24"/>
          <w:lang w:bidi="ar"/>
        </w:rPr>
      </w:pPr>
      <w:r>
        <w:rPr>
          <w:sz w:val="24"/>
          <w:lang w:bidi="ar"/>
        </w:rPr>
        <w:t>附件1  委托书</w:t>
      </w:r>
    </w:p>
    <w:p>
      <w:pPr>
        <w:ind w:firstLine="480" w:firstLineChars="200"/>
        <w:rPr>
          <w:sz w:val="24"/>
          <w:lang w:bidi="ar"/>
        </w:rPr>
      </w:pPr>
      <w:r>
        <w:rPr>
          <w:sz w:val="24"/>
          <w:lang w:bidi="ar"/>
        </w:rPr>
        <w:t>附件</w:t>
      </w:r>
      <w:r>
        <w:rPr>
          <w:rFonts w:hint="eastAsia"/>
          <w:sz w:val="24"/>
          <w:lang w:bidi="ar"/>
        </w:rPr>
        <w:t>2</w:t>
      </w:r>
      <w:r>
        <w:rPr>
          <w:sz w:val="24"/>
          <w:lang w:bidi="ar"/>
        </w:rPr>
        <w:t xml:space="preserve">  营业执照</w:t>
      </w:r>
    </w:p>
    <w:p>
      <w:pPr>
        <w:pStyle w:val="12"/>
        <w:snapToGrid/>
        <w:spacing w:before="0" w:after="0" w:line="240" w:lineRule="auto"/>
        <w:ind w:right="0" w:firstLine="480" w:firstLineChars="200"/>
        <w:rPr>
          <w:sz w:val="24"/>
          <w:szCs w:val="24"/>
        </w:rPr>
      </w:pPr>
      <w:r>
        <w:rPr>
          <w:rFonts w:hint="eastAsia"/>
          <w:sz w:val="24"/>
          <w:szCs w:val="24"/>
        </w:rPr>
        <w:t>附件3  发改委备案</w:t>
      </w:r>
    </w:p>
    <w:p>
      <w:pPr>
        <w:ind w:firstLine="480" w:firstLineChars="200"/>
        <w:rPr>
          <w:rFonts w:hint="default" w:eastAsia="宋体"/>
          <w:sz w:val="24"/>
          <w:lang w:val="en-US" w:eastAsia="zh-CN" w:bidi="ar"/>
        </w:rPr>
      </w:pPr>
      <w:r>
        <w:rPr>
          <w:sz w:val="24"/>
          <w:lang w:bidi="ar"/>
        </w:rPr>
        <w:t>附件</w:t>
      </w:r>
      <w:r>
        <w:rPr>
          <w:rFonts w:hint="eastAsia"/>
          <w:sz w:val="24"/>
          <w:lang w:bidi="ar"/>
        </w:rPr>
        <w:t>4</w:t>
      </w:r>
      <w:r>
        <w:rPr>
          <w:sz w:val="24"/>
          <w:lang w:bidi="ar"/>
        </w:rPr>
        <w:t xml:space="preserve">  </w:t>
      </w:r>
      <w:r>
        <w:rPr>
          <w:rFonts w:hint="eastAsia"/>
          <w:sz w:val="24"/>
          <w:lang w:val="en-US" w:eastAsia="zh-CN" w:bidi="ar"/>
        </w:rPr>
        <w:t>招商引资合同</w:t>
      </w:r>
    </w:p>
    <w:p>
      <w:pPr>
        <w:ind w:firstLine="480" w:firstLineChars="200"/>
        <w:rPr>
          <w:rFonts w:hint="default" w:eastAsia="宋体"/>
          <w:sz w:val="24"/>
          <w:lang w:val="en-US" w:eastAsia="zh-CN" w:bidi="ar"/>
        </w:rPr>
      </w:pPr>
      <w:r>
        <w:rPr>
          <w:rFonts w:hint="eastAsia"/>
          <w:sz w:val="24"/>
          <w:lang w:bidi="ar"/>
        </w:rPr>
        <w:t xml:space="preserve">附件5  </w:t>
      </w:r>
      <w:r>
        <w:rPr>
          <w:rFonts w:hint="eastAsia"/>
          <w:sz w:val="24"/>
          <w:lang w:val="en-US" w:eastAsia="zh-CN" w:bidi="ar"/>
        </w:rPr>
        <w:t>项目联审意见</w:t>
      </w:r>
    </w:p>
    <w:p>
      <w:pPr>
        <w:ind w:firstLine="480" w:firstLineChars="200"/>
        <w:rPr>
          <w:rFonts w:hint="eastAsia"/>
          <w:sz w:val="24"/>
          <w:lang w:val="en-US" w:eastAsia="zh-CN" w:bidi="ar"/>
        </w:rPr>
      </w:pPr>
      <w:r>
        <w:rPr>
          <w:rFonts w:hint="eastAsia"/>
          <w:sz w:val="24"/>
          <w:lang w:bidi="ar"/>
        </w:rPr>
        <w:t>附件6</w:t>
      </w:r>
      <w:r>
        <w:rPr>
          <w:rFonts w:hint="eastAsia"/>
          <w:sz w:val="24"/>
          <w:lang w:val="en-US" w:eastAsia="zh-CN" w:bidi="ar"/>
        </w:rPr>
        <w:t>-1</w:t>
      </w:r>
      <w:r>
        <w:rPr>
          <w:rFonts w:hint="eastAsia"/>
          <w:sz w:val="24"/>
          <w:lang w:bidi="ar"/>
        </w:rPr>
        <w:t xml:space="preserve">  </w:t>
      </w:r>
      <w:r>
        <w:rPr>
          <w:rFonts w:hint="eastAsia"/>
          <w:sz w:val="24"/>
          <w:lang w:val="en-US" w:eastAsia="zh-CN" w:bidi="ar"/>
        </w:rPr>
        <w:t>底漆成分分析报告</w:t>
      </w:r>
    </w:p>
    <w:p>
      <w:pPr>
        <w:ind w:firstLine="480" w:firstLineChars="200"/>
        <w:rPr>
          <w:rFonts w:hint="eastAsia"/>
          <w:sz w:val="24"/>
          <w:lang w:val="en-US" w:eastAsia="zh-CN" w:bidi="ar"/>
        </w:rPr>
      </w:pPr>
      <w:r>
        <w:rPr>
          <w:rFonts w:hint="eastAsia"/>
          <w:sz w:val="24"/>
          <w:lang w:val="en-US" w:eastAsia="zh-CN" w:bidi="ar"/>
        </w:rPr>
        <w:t>附件6-2  面漆成分分析报告</w:t>
      </w:r>
    </w:p>
    <w:p>
      <w:pPr>
        <w:ind w:firstLine="480" w:firstLineChars="200"/>
        <w:rPr>
          <w:rFonts w:hint="eastAsia"/>
          <w:sz w:val="24"/>
          <w:lang w:val="en-US" w:eastAsia="zh-CN" w:bidi="ar"/>
        </w:rPr>
      </w:pPr>
      <w:r>
        <w:rPr>
          <w:rFonts w:hint="eastAsia"/>
          <w:sz w:val="24"/>
          <w:lang w:val="en-US" w:eastAsia="zh-CN" w:bidi="ar"/>
        </w:rPr>
        <w:t>附件6-3  固化剂化学安全技术说明书</w:t>
      </w:r>
    </w:p>
    <w:p>
      <w:pPr>
        <w:ind w:firstLine="480" w:firstLineChars="200"/>
        <w:rPr>
          <w:rFonts w:hint="eastAsia"/>
          <w:sz w:val="24"/>
          <w:lang w:val="en-US" w:eastAsia="zh-CN" w:bidi="ar"/>
        </w:rPr>
      </w:pPr>
      <w:r>
        <w:rPr>
          <w:rFonts w:hint="eastAsia"/>
          <w:sz w:val="24"/>
          <w:lang w:val="en-US" w:eastAsia="zh-CN" w:bidi="ar"/>
        </w:rPr>
        <w:t>附件6-4  稀释剂化学安全技术说明书</w:t>
      </w:r>
    </w:p>
    <w:p>
      <w:pPr>
        <w:ind w:firstLine="480" w:firstLineChars="200"/>
        <w:rPr>
          <w:rFonts w:hint="eastAsia"/>
          <w:sz w:val="24"/>
          <w:lang w:val="en-US" w:eastAsia="zh-CN" w:bidi="ar"/>
        </w:rPr>
      </w:pPr>
      <w:r>
        <w:rPr>
          <w:rFonts w:hint="eastAsia"/>
          <w:sz w:val="24"/>
          <w:lang w:val="en-US" w:eastAsia="zh-CN" w:bidi="ar"/>
        </w:rPr>
        <w:t>附件6-5  水性底漆成分分析报告</w:t>
      </w:r>
    </w:p>
    <w:p>
      <w:pPr>
        <w:ind w:firstLine="480" w:firstLineChars="200"/>
        <w:rPr>
          <w:rFonts w:hint="eastAsia"/>
          <w:sz w:val="24"/>
          <w:lang w:val="en-US" w:eastAsia="zh-CN" w:bidi="ar"/>
        </w:rPr>
      </w:pPr>
      <w:r>
        <w:rPr>
          <w:rFonts w:hint="eastAsia"/>
          <w:sz w:val="24"/>
          <w:lang w:val="en-US" w:eastAsia="zh-CN" w:bidi="ar"/>
        </w:rPr>
        <w:t>附件6-6  水性面漆成分分析报告</w:t>
      </w:r>
    </w:p>
    <w:p>
      <w:pPr>
        <w:ind w:firstLine="480" w:firstLineChars="200"/>
        <w:rPr>
          <w:rFonts w:hint="eastAsia"/>
          <w:sz w:val="24"/>
          <w:lang w:val="en-US" w:eastAsia="zh-CN" w:bidi="ar"/>
        </w:rPr>
      </w:pPr>
      <w:r>
        <w:rPr>
          <w:rFonts w:hint="eastAsia"/>
          <w:sz w:val="24"/>
          <w:lang w:val="en-US" w:eastAsia="zh-CN" w:bidi="ar"/>
        </w:rPr>
        <w:t>附件6-7  水性固化剂成分分析报告</w:t>
      </w:r>
    </w:p>
    <w:p>
      <w:pPr>
        <w:ind w:firstLine="480" w:firstLineChars="200"/>
        <w:rPr>
          <w:rFonts w:hint="default"/>
          <w:sz w:val="24"/>
          <w:lang w:val="en-US" w:eastAsia="zh-CN" w:bidi="ar"/>
        </w:rPr>
      </w:pPr>
      <w:r>
        <w:rPr>
          <w:rFonts w:hint="eastAsia"/>
          <w:sz w:val="24"/>
          <w:lang w:val="en-US" w:eastAsia="zh-CN" w:bidi="ar"/>
        </w:rPr>
        <w:t>附件6-8  UV滚涂透明底</w:t>
      </w:r>
    </w:p>
    <w:p>
      <w:pPr>
        <w:ind w:firstLine="480" w:firstLineChars="200"/>
        <w:rPr>
          <w:rFonts w:hint="default"/>
          <w:sz w:val="24"/>
          <w:lang w:val="en-US" w:eastAsia="zh-CN" w:bidi="ar"/>
        </w:rPr>
      </w:pPr>
      <w:r>
        <w:rPr>
          <w:rFonts w:hint="eastAsia"/>
          <w:sz w:val="24"/>
          <w:lang w:bidi="ar"/>
        </w:rPr>
        <w:t>附件</w:t>
      </w:r>
      <w:r>
        <w:rPr>
          <w:rFonts w:hint="eastAsia"/>
          <w:sz w:val="24"/>
          <w:lang w:val="en-US" w:eastAsia="zh-CN" w:bidi="ar"/>
        </w:rPr>
        <w:t>7</w:t>
      </w:r>
      <w:r>
        <w:rPr>
          <w:rFonts w:hint="eastAsia"/>
          <w:sz w:val="24"/>
          <w:lang w:bidi="ar"/>
        </w:rPr>
        <w:t xml:space="preserve">  </w:t>
      </w:r>
      <w:r>
        <w:rPr>
          <w:rFonts w:hint="eastAsia"/>
          <w:sz w:val="24"/>
          <w:lang w:val="en-US" w:eastAsia="zh-CN" w:bidi="ar"/>
        </w:rPr>
        <w:t>水基胶成分分析报告</w:t>
      </w:r>
    </w:p>
    <w:p>
      <w:pPr>
        <w:pStyle w:val="12"/>
        <w:snapToGrid/>
        <w:spacing w:line="240" w:lineRule="auto"/>
        <w:ind w:right="0"/>
        <w:rPr>
          <w:sz w:val="21"/>
          <w:szCs w:val="21"/>
        </w:rPr>
      </w:pPr>
    </w:p>
    <w:p>
      <w:pPr>
        <w:rPr>
          <w:szCs w:val="21"/>
        </w:rPr>
        <w:sectPr>
          <w:footerReference r:id="rId3" w:type="default"/>
          <w:pgSz w:w="11906" w:h="16838"/>
          <w:pgMar w:top="1701" w:right="1531" w:bottom="1701" w:left="1531" w:header="851" w:footer="1077" w:gutter="0"/>
          <w:pgNumType w:start="1"/>
          <w:cols w:space="720" w:num="1"/>
          <w:docGrid w:linePitch="312" w:charSpace="0"/>
        </w:sectPr>
      </w:pPr>
    </w:p>
    <w:p>
      <w:pPr>
        <w:pStyle w:val="28"/>
        <w:spacing w:before="120" w:beforeLines="50" w:beforeAutospacing="0" w:after="120" w:afterLines="50" w:afterAutospacing="0"/>
        <w:jc w:val="center"/>
        <w:outlineLvl w:val="0"/>
        <w:rPr>
          <w:rFonts w:ascii="Times New Roman" w:hAnsi="Times New Roman" w:eastAsia="黑体"/>
          <w:snapToGrid w:val="0"/>
          <w:sz w:val="30"/>
          <w:szCs w:val="30"/>
        </w:rPr>
      </w:pPr>
      <w:bookmarkStart w:id="1" w:name="_Toc28009"/>
      <w:r>
        <w:rPr>
          <w:rFonts w:ascii="Times New Roman" w:hAnsi="Times New Roman" w:eastAsia="黑体"/>
          <w:snapToGrid w:val="0"/>
          <w:sz w:val="30"/>
          <w:szCs w:val="30"/>
        </w:rPr>
        <w:t>一、建设项目基本情况</w:t>
      </w:r>
      <w:bookmarkEnd w:id="1"/>
    </w:p>
    <w:tbl>
      <w:tblPr>
        <w:tblStyle w:val="3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44"/>
        <w:gridCol w:w="2826"/>
        <w:gridCol w:w="1696"/>
        <w:gridCol w:w="32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144" w:type="dxa"/>
            <w:tcMar>
              <w:top w:w="16" w:type="dxa"/>
              <w:left w:w="16" w:type="dxa"/>
              <w:right w:w="16" w:type="dxa"/>
            </w:tcMar>
            <w:vAlign w:val="center"/>
          </w:tcPr>
          <w:p>
            <w:pPr>
              <w:adjustRightInd w:val="0"/>
              <w:jc w:val="center"/>
              <w:rPr>
                <w:sz w:val="24"/>
              </w:rPr>
            </w:pPr>
            <w:r>
              <w:rPr>
                <w:sz w:val="24"/>
              </w:rPr>
              <w:t>建设项目名称</w:t>
            </w:r>
          </w:p>
        </w:tc>
        <w:tc>
          <w:tcPr>
            <w:tcW w:w="7726" w:type="dxa"/>
            <w:gridSpan w:val="3"/>
            <w:vAlign w:val="center"/>
          </w:tcPr>
          <w:p>
            <w:pPr>
              <w:adjustRightInd w:val="0"/>
              <w:jc w:val="center"/>
              <w:rPr>
                <w:sz w:val="24"/>
              </w:rPr>
            </w:pPr>
            <w:r>
              <w:rPr>
                <w:rFonts w:hint="eastAsia"/>
                <w:color w:val="000000" w:themeColor="text1"/>
                <w:sz w:val="24"/>
                <w14:textFill>
                  <w14:solidFill>
                    <w14:schemeClr w14:val="tx1"/>
                  </w14:solidFill>
                </w14:textFill>
              </w:rPr>
              <w:t>合雅木业木门建设及生产配套设施项目（年产8万条门）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1144" w:type="dxa"/>
            <w:tcMar>
              <w:top w:w="16" w:type="dxa"/>
              <w:left w:w="16" w:type="dxa"/>
              <w:right w:w="16" w:type="dxa"/>
            </w:tcMar>
            <w:vAlign w:val="center"/>
          </w:tcPr>
          <w:p>
            <w:pPr>
              <w:adjustRightInd w:val="0"/>
              <w:jc w:val="center"/>
              <w:rPr>
                <w:sz w:val="24"/>
              </w:rPr>
            </w:pPr>
            <w:r>
              <w:rPr>
                <w:sz w:val="24"/>
              </w:rPr>
              <w:t>项目代码</w:t>
            </w:r>
          </w:p>
        </w:tc>
        <w:tc>
          <w:tcPr>
            <w:tcW w:w="7726" w:type="dxa"/>
            <w:gridSpan w:val="3"/>
            <w:vAlign w:val="center"/>
          </w:tcPr>
          <w:p>
            <w:pPr>
              <w:adjustRightInd w:val="0"/>
              <w:jc w:val="center"/>
              <w:rPr>
                <w:sz w:val="24"/>
              </w:rPr>
            </w:pPr>
            <w:r>
              <w:rPr>
                <w:rFonts w:hint="eastAsia"/>
                <w:sz w:val="24"/>
              </w:rPr>
              <w:t>2507-430600-04-01-414899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144" w:type="dxa"/>
            <w:tcMar>
              <w:top w:w="16" w:type="dxa"/>
              <w:left w:w="16" w:type="dxa"/>
              <w:right w:w="16" w:type="dxa"/>
            </w:tcMar>
            <w:vAlign w:val="center"/>
          </w:tcPr>
          <w:p>
            <w:pPr>
              <w:adjustRightInd w:val="0"/>
              <w:jc w:val="center"/>
              <w:rPr>
                <w:sz w:val="24"/>
                <w:lang w:eastAsia="en-US"/>
              </w:rPr>
            </w:pPr>
            <w:r>
              <w:rPr>
                <w:sz w:val="24"/>
                <w:lang w:eastAsia="en-US"/>
              </w:rPr>
              <w:t>建设单位联系人</w:t>
            </w:r>
          </w:p>
        </w:tc>
        <w:tc>
          <w:tcPr>
            <w:tcW w:w="2826" w:type="dxa"/>
            <w:vAlign w:val="center"/>
          </w:tcPr>
          <w:p>
            <w:pPr>
              <w:adjustRightInd w:val="0"/>
              <w:jc w:val="center"/>
              <w:rPr>
                <w:rFonts w:hint="eastAsia" w:eastAsia="宋体"/>
                <w:sz w:val="24"/>
                <w:lang w:val="en-US" w:eastAsia="zh-CN"/>
              </w:rPr>
            </w:pPr>
            <w:r>
              <w:rPr>
                <w:rFonts w:hint="eastAsia"/>
                <w:sz w:val="24"/>
              </w:rPr>
              <w:t>张</w:t>
            </w:r>
            <w:r>
              <w:rPr>
                <w:rFonts w:hint="eastAsia"/>
                <w:sz w:val="24"/>
                <w:lang w:val="en-US" w:eastAsia="zh-CN"/>
              </w:rPr>
              <w:t>*</w:t>
            </w:r>
          </w:p>
        </w:tc>
        <w:tc>
          <w:tcPr>
            <w:tcW w:w="1696" w:type="dxa"/>
            <w:vAlign w:val="center"/>
          </w:tcPr>
          <w:p>
            <w:pPr>
              <w:adjustRightInd w:val="0"/>
              <w:jc w:val="center"/>
              <w:rPr>
                <w:sz w:val="24"/>
              </w:rPr>
            </w:pPr>
            <w:r>
              <w:rPr>
                <w:sz w:val="24"/>
              </w:rPr>
              <w:t>联系方式</w:t>
            </w:r>
          </w:p>
        </w:tc>
        <w:tc>
          <w:tcPr>
            <w:tcW w:w="3204" w:type="dxa"/>
            <w:vAlign w:val="center"/>
          </w:tcPr>
          <w:p>
            <w:pPr>
              <w:adjustRightInd w:val="0"/>
              <w:jc w:val="center"/>
              <w:rPr>
                <w:sz w:val="24"/>
              </w:rPr>
            </w:pPr>
            <w:r>
              <w:rPr>
                <w:rFonts w:hint="eastAsia"/>
                <w:sz w:val="24"/>
              </w:rPr>
              <w:t>150</w:t>
            </w:r>
            <w:r>
              <w:rPr>
                <w:rFonts w:hint="eastAsia"/>
                <w:sz w:val="24"/>
                <w:lang w:val="en-US" w:eastAsia="zh-CN"/>
              </w:rPr>
              <w:t>****</w:t>
            </w:r>
            <w:r>
              <w:rPr>
                <w:rFonts w:hint="eastAsia"/>
                <w:sz w:val="24"/>
              </w:rPr>
              <w:t>0555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44" w:type="dxa"/>
            <w:tcMar>
              <w:top w:w="16" w:type="dxa"/>
              <w:left w:w="16" w:type="dxa"/>
              <w:right w:w="16" w:type="dxa"/>
            </w:tcMar>
            <w:vAlign w:val="center"/>
          </w:tcPr>
          <w:p>
            <w:pPr>
              <w:adjustRightInd w:val="0"/>
              <w:jc w:val="center"/>
              <w:rPr>
                <w:sz w:val="24"/>
              </w:rPr>
            </w:pPr>
            <w:r>
              <w:rPr>
                <w:sz w:val="24"/>
              </w:rPr>
              <w:t>建设地点</w:t>
            </w:r>
          </w:p>
        </w:tc>
        <w:tc>
          <w:tcPr>
            <w:tcW w:w="7726" w:type="dxa"/>
            <w:gridSpan w:val="3"/>
            <w:vAlign w:val="center"/>
          </w:tcPr>
          <w:p>
            <w:pPr>
              <w:adjustRightInd w:val="0"/>
              <w:jc w:val="center"/>
              <w:rPr>
                <w:sz w:val="24"/>
              </w:rPr>
            </w:pPr>
            <w:r>
              <w:rPr>
                <w:rFonts w:hint="eastAsia"/>
                <w:sz w:val="24"/>
              </w:rPr>
              <w:t>湖南省岳阳市湘阴县湘阴高新技术产业开发区洋沙湖片区芙蓉北路西侧、顺天大道南侧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144" w:type="dxa"/>
            <w:tcMar>
              <w:top w:w="16" w:type="dxa"/>
              <w:left w:w="16" w:type="dxa"/>
              <w:right w:w="16" w:type="dxa"/>
            </w:tcMar>
            <w:vAlign w:val="center"/>
          </w:tcPr>
          <w:p>
            <w:pPr>
              <w:adjustRightInd w:val="0"/>
              <w:jc w:val="center"/>
              <w:rPr>
                <w:sz w:val="24"/>
              </w:rPr>
            </w:pPr>
            <w:r>
              <w:rPr>
                <w:sz w:val="24"/>
              </w:rPr>
              <w:t>地理坐标</w:t>
            </w:r>
          </w:p>
        </w:tc>
        <w:tc>
          <w:tcPr>
            <w:tcW w:w="7726" w:type="dxa"/>
            <w:gridSpan w:val="3"/>
            <w:vAlign w:val="center"/>
          </w:tcPr>
          <w:p>
            <w:pPr>
              <w:adjustRightInd w:val="0"/>
              <w:jc w:val="center"/>
              <w:rPr>
                <w:sz w:val="24"/>
              </w:rPr>
            </w:pPr>
            <w:r>
              <w:rPr>
                <w:rFonts w:hint="eastAsia"/>
                <w:sz w:val="24"/>
              </w:rPr>
              <w:t>E112°55′17.782″、N28°37′34.540″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44" w:type="dxa"/>
            <w:tcMar>
              <w:top w:w="16" w:type="dxa"/>
              <w:left w:w="16" w:type="dxa"/>
              <w:right w:w="16" w:type="dxa"/>
            </w:tcMar>
            <w:vAlign w:val="center"/>
          </w:tcPr>
          <w:p>
            <w:pPr>
              <w:adjustRightInd w:val="0"/>
              <w:jc w:val="center"/>
              <w:rPr>
                <w:sz w:val="24"/>
              </w:rPr>
            </w:pPr>
            <w:r>
              <w:rPr>
                <w:sz w:val="24"/>
              </w:rPr>
              <w:t>国民经济</w:t>
            </w:r>
          </w:p>
          <w:p>
            <w:pPr>
              <w:adjustRightInd w:val="0"/>
              <w:jc w:val="center"/>
              <w:rPr>
                <w:sz w:val="24"/>
              </w:rPr>
            </w:pPr>
            <w:r>
              <w:rPr>
                <w:sz w:val="24"/>
              </w:rPr>
              <w:t>行业类别</w:t>
            </w:r>
          </w:p>
        </w:tc>
        <w:tc>
          <w:tcPr>
            <w:tcW w:w="2826" w:type="dxa"/>
            <w:vAlign w:val="center"/>
          </w:tcPr>
          <w:p>
            <w:pPr>
              <w:adjustRightInd w:val="0"/>
              <w:jc w:val="center"/>
              <w:rPr>
                <w:sz w:val="24"/>
              </w:rPr>
            </w:pPr>
            <w:r>
              <w:rPr>
                <w:rFonts w:hint="eastAsia"/>
                <w:sz w:val="24"/>
              </w:rPr>
              <w:t>C2032 木门窗制造</w:t>
            </w:r>
          </w:p>
        </w:tc>
        <w:tc>
          <w:tcPr>
            <w:tcW w:w="1696" w:type="dxa"/>
            <w:vAlign w:val="center"/>
          </w:tcPr>
          <w:p>
            <w:pPr>
              <w:adjustRightInd w:val="0"/>
              <w:jc w:val="center"/>
              <w:rPr>
                <w:sz w:val="24"/>
              </w:rPr>
            </w:pPr>
            <w:bookmarkStart w:id="2" w:name="_Hlk49843745"/>
            <w:r>
              <w:rPr>
                <w:sz w:val="24"/>
              </w:rPr>
              <w:t>建设项目</w:t>
            </w:r>
          </w:p>
          <w:p>
            <w:pPr>
              <w:adjustRightInd w:val="0"/>
              <w:jc w:val="center"/>
              <w:rPr>
                <w:sz w:val="24"/>
              </w:rPr>
            </w:pPr>
            <w:r>
              <w:rPr>
                <w:sz w:val="24"/>
              </w:rPr>
              <w:t>行业类别</w:t>
            </w:r>
            <w:bookmarkEnd w:id="2"/>
          </w:p>
        </w:tc>
        <w:tc>
          <w:tcPr>
            <w:tcW w:w="3204" w:type="dxa"/>
            <w:vAlign w:val="center"/>
          </w:tcPr>
          <w:p>
            <w:pPr>
              <w:adjustRightInd w:val="0"/>
              <w:jc w:val="center"/>
              <w:rPr>
                <w:sz w:val="24"/>
              </w:rPr>
            </w:pPr>
            <w:r>
              <w:rPr>
                <w:rFonts w:hint="eastAsia"/>
                <w:sz w:val="24"/>
              </w:rPr>
              <w:t>十七、木材加工和木、竹、藤、棕、草制品业20  木质制品制造 203 年用溶剂型涂料（含稀释剂）10吨以下的，或年用非溶剂型VOCs含量涂料10吨及以上的；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44" w:type="dxa"/>
            <w:tcMar>
              <w:top w:w="16" w:type="dxa"/>
              <w:left w:w="16" w:type="dxa"/>
              <w:right w:w="16" w:type="dxa"/>
            </w:tcMar>
            <w:vAlign w:val="center"/>
          </w:tcPr>
          <w:p>
            <w:pPr>
              <w:adjustRightInd w:val="0"/>
              <w:jc w:val="center"/>
              <w:rPr>
                <w:sz w:val="24"/>
              </w:rPr>
            </w:pPr>
            <w:r>
              <w:rPr>
                <w:sz w:val="24"/>
              </w:rPr>
              <w:t>建设性质</w:t>
            </w:r>
          </w:p>
        </w:tc>
        <w:tc>
          <w:tcPr>
            <w:tcW w:w="2826" w:type="dxa"/>
            <w:vAlign w:val="center"/>
          </w:tcPr>
          <w:p>
            <w:pPr>
              <w:adjustRightInd w:val="0"/>
              <w:jc w:val="left"/>
              <w:rPr>
                <w:sz w:val="24"/>
              </w:rPr>
            </w:pPr>
            <w:r>
              <w:rPr>
                <w:rFonts w:hint="eastAsia"/>
                <w:sz w:val="24"/>
                <w:lang w:eastAsia="zh-CN"/>
              </w:rPr>
              <w:t>☑</w:t>
            </w:r>
            <w:r>
              <w:rPr>
                <w:sz w:val="24"/>
              </w:rPr>
              <w:t>新建（迁建）</w:t>
            </w:r>
          </w:p>
          <w:p>
            <w:pPr>
              <w:adjustRightInd w:val="0"/>
              <w:jc w:val="left"/>
              <w:rPr>
                <w:sz w:val="24"/>
              </w:rPr>
            </w:pPr>
            <w:r>
              <w:rPr>
                <w:rFonts w:hint="eastAsia"/>
                <w:sz w:val="24"/>
                <w:lang w:eastAsia="zh-CN"/>
              </w:rPr>
              <w:t>□</w:t>
            </w:r>
            <w:r>
              <w:rPr>
                <w:sz w:val="24"/>
              </w:rPr>
              <w:t>改建</w:t>
            </w:r>
          </w:p>
          <w:p>
            <w:pPr>
              <w:adjustRightInd w:val="0"/>
              <w:jc w:val="left"/>
              <w:rPr>
                <w:sz w:val="24"/>
              </w:rPr>
            </w:pPr>
            <w:r>
              <w:rPr>
                <w:rFonts w:hint="eastAsia"/>
                <w:sz w:val="24"/>
              </w:rPr>
              <w:t>□</w:t>
            </w:r>
            <w:r>
              <w:rPr>
                <w:sz w:val="24"/>
              </w:rPr>
              <w:t>扩建</w:t>
            </w:r>
          </w:p>
          <w:p>
            <w:pPr>
              <w:adjustRightInd w:val="0"/>
              <w:jc w:val="left"/>
              <w:rPr>
                <w:sz w:val="24"/>
              </w:rPr>
            </w:pPr>
            <w:r>
              <w:rPr>
                <w:rFonts w:hint="eastAsia"/>
                <w:sz w:val="24"/>
              </w:rPr>
              <w:t>□</w:t>
            </w:r>
            <w:r>
              <w:rPr>
                <w:sz w:val="24"/>
              </w:rPr>
              <w:t>技术改造</w:t>
            </w:r>
          </w:p>
        </w:tc>
        <w:tc>
          <w:tcPr>
            <w:tcW w:w="1696" w:type="dxa"/>
            <w:vAlign w:val="center"/>
          </w:tcPr>
          <w:p>
            <w:pPr>
              <w:adjustRightInd w:val="0"/>
              <w:jc w:val="left"/>
              <w:rPr>
                <w:sz w:val="24"/>
              </w:rPr>
            </w:pPr>
            <w:r>
              <w:rPr>
                <w:sz w:val="24"/>
              </w:rPr>
              <w:t>建设项目申报情形</w:t>
            </w:r>
          </w:p>
        </w:tc>
        <w:tc>
          <w:tcPr>
            <w:tcW w:w="3204" w:type="dxa"/>
            <w:vAlign w:val="center"/>
          </w:tcPr>
          <w:p>
            <w:pPr>
              <w:adjustRightInd w:val="0"/>
              <w:jc w:val="left"/>
              <w:rPr>
                <w:sz w:val="24"/>
              </w:rPr>
            </w:pPr>
            <w:r>
              <w:rPr>
                <w:sz w:val="24"/>
              </w:rPr>
              <w:sym w:font="Wingdings 2" w:char="0052"/>
            </w:r>
            <w:r>
              <w:rPr>
                <w:sz w:val="24"/>
              </w:rPr>
              <w:t xml:space="preserve">首次申报项目             </w:t>
            </w:r>
          </w:p>
          <w:p>
            <w:pPr>
              <w:adjustRightInd w:val="0"/>
              <w:jc w:val="left"/>
              <w:rPr>
                <w:sz w:val="24"/>
              </w:rPr>
            </w:pPr>
            <w:r>
              <w:rPr>
                <w:rFonts w:hint="eastAsia"/>
                <w:sz w:val="24"/>
              </w:rPr>
              <w:t>□</w:t>
            </w:r>
            <w:r>
              <w:rPr>
                <w:sz w:val="24"/>
              </w:rPr>
              <w:t>不予批准后再次申报项目</w:t>
            </w:r>
          </w:p>
          <w:p>
            <w:pPr>
              <w:adjustRightInd w:val="0"/>
              <w:jc w:val="left"/>
              <w:rPr>
                <w:sz w:val="24"/>
              </w:rPr>
            </w:pPr>
            <w:r>
              <w:rPr>
                <w:rFonts w:hint="eastAsia"/>
                <w:sz w:val="24"/>
              </w:rPr>
              <w:t>□</w:t>
            </w:r>
            <w:r>
              <w:rPr>
                <w:sz w:val="24"/>
              </w:rPr>
              <w:t xml:space="preserve">超五年重新审核项目     </w:t>
            </w:r>
          </w:p>
          <w:p>
            <w:pPr>
              <w:adjustRightInd w:val="0"/>
              <w:jc w:val="left"/>
              <w:rPr>
                <w:sz w:val="24"/>
              </w:rPr>
            </w:pPr>
            <w:r>
              <w:rPr>
                <w:rFonts w:hint="eastAsia"/>
                <w:sz w:val="24"/>
              </w:rPr>
              <w:t>□</w:t>
            </w: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144" w:type="dxa"/>
            <w:tcMar>
              <w:top w:w="16" w:type="dxa"/>
              <w:left w:w="16" w:type="dxa"/>
              <w:right w:w="16" w:type="dxa"/>
            </w:tcMar>
            <w:vAlign w:val="center"/>
          </w:tcPr>
          <w:p>
            <w:pPr>
              <w:adjustRightInd w:val="0"/>
              <w:jc w:val="center"/>
              <w:rPr>
                <w:sz w:val="24"/>
              </w:rPr>
            </w:pPr>
            <w:r>
              <w:rPr>
                <w:sz w:val="24"/>
              </w:rPr>
              <w:t>项目审批（核准/备案）部门（选填）</w:t>
            </w:r>
          </w:p>
        </w:tc>
        <w:tc>
          <w:tcPr>
            <w:tcW w:w="2826" w:type="dxa"/>
            <w:vAlign w:val="center"/>
          </w:tcPr>
          <w:p>
            <w:pPr>
              <w:adjustRightInd w:val="0"/>
              <w:jc w:val="center"/>
              <w:rPr>
                <w:sz w:val="24"/>
              </w:rPr>
            </w:pPr>
            <w:r>
              <w:rPr>
                <w:rFonts w:hint="eastAsia"/>
                <w:sz w:val="24"/>
              </w:rPr>
              <w:t>湘阴高新技术产业开发区管理委员会</w:t>
            </w:r>
          </w:p>
        </w:tc>
        <w:tc>
          <w:tcPr>
            <w:tcW w:w="1696" w:type="dxa"/>
            <w:vAlign w:val="center"/>
          </w:tcPr>
          <w:p>
            <w:pPr>
              <w:autoSpaceDE w:val="0"/>
              <w:autoSpaceDN w:val="0"/>
              <w:adjustRightInd w:val="0"/>
              <w:snapToGrid w:val="0"/>
              <w:jc w:val="center"/>
              <w:rPr>
                <w:kern w:val="0"/>
                <w:sz w:val="24"/>
              </w:rPr>
            </w:pPr>
            <w:r>
              <w:rPr>
                <w:kern w:val="0"/>
                <w:sz w:val="24"/>
              </w:rPr>
              <w:t>项目审批（核准/备案）文号（选填）</w:t>
            </w:r>
          </w:p>
        </w:tc>
        <w:tc>
          <w:tcPr>
            <w:tcW w:w="3204" w:type="dxa"/>
            <w:vAlign w:val="center"/>
          </w:tcPr>
          <w:p>
            <w:pPr>
              <w:autoSpaceDE w:val="0"/>
              <w:autoSpaceDN w:val="0"/>
              <w:adjustRightInd w:val="0"/>
              <w:snapToGrid w:val="0"/>
              <w:jc w:val="center"/>
              <w:rPr>
                <w:kern w:val="0"/>
                <w:sz w:val="24"/>
              </w:rPr>
            </w:pPr>
            <w:r>
              <w:rPr>
                <w:rFonts w:hint="eastAsia"/>
                <w:kern w:val="0"/>
                <w:sz w:val="24"/>
              </w:rPr>
              <w:t>湘阴高新审[2025]23号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4" w:hRule="atLeast"/>
          <w:jc w:val="center"/>
        </w:trPr>
        <w:tc>
          <w:tcPr>
            <w:tcW w:w="1144" w:type="dxa"/>
            <w:tcMar>
              <w:top w:w="16" w:type="dxa"/>
              <w:left w:w="16" w:type="dxa"/>
              <w:right w:w="16" w:type="dxa"/>
            </w:tcMar>
            <w:vAlign w:val="center"/>
          </w:tcPr>
          <w:p>
            <w:pPr>
              <w:adjustRightInd w:val="0"/>
              <w:jc w:val="center"/>
              <w:rPr>
                <w:sz w:val="24"/>
              </w:rPr>
            </w:pPr>
            <w:r>
              <w:rPr>
                <w:sz w:val="24"/>
              </w:rPr>
              <w:t>总投资（万元）</w:t>
            </w:r>
          </w:p>
        </w:tc>
        <w:tc>
          <w:tcPr>
            <w:tcW w:w="2826" w:type="dxa"/>
            <w:vAlign w:val="center"/>
          </w:tcPr>
          <w:p>
            <w:pPr>
              <w:adjustRightInd w:val="0"/>
              <w:jc w:val="center"/>
              <w:rPr>
                <w:sz w:val="24"/>
              </w:rPr>
            </w:pPr>
            <w:r>
              <w:rPr>
                <w:rFonts w:hint="eastAsia"/>
                <w:sz w:val="24"/>
              </w:rPr>
              <w:t>30400</w:t>
            </w:r>
          </w:p>
        </w:tc>
        <w:tc>
          <w:tcPr>
            <w:tcW w:w="1696" w:type="dxa"/>
            <w:tcMar>
              <w:top w:w="16" w:type="dxa"/>
              <w:left w:w="16" w:type="dxa"/>
              <w:right w:w="16" w:type="dxa"/>
            </w:tcMar>
            <w:vAlign w:val="center"/>
          </w:tcPr>
          <w:p>
            <w:pPr>
              <w:adjustRightInd w:val="0"/>
              <w:jc w:val="center"/>
              <w:rPr>
                <w:sz w:val="24"/>
              </w:rPr>
            </w:pPr>
            <w:r>
              <w:rPr>
                <w:sz w:val="24"/>
              </w:rPr>
              <w:t>环保投资（万元）</w:t>
            </w:r>
          </w:p>
        </w:tc>
        <w:tc>
          <w:tcPr>
            <w:tcW w:w="3204" w:type="dxa"/>
            <w:vAlign w:val="center"/>
          </w:tcPr>
          <w:p>
            <w:pPr>
              <w:adjustRightInd w:val="0"/>
              <w:jc w:val="center"/>
              <w:rPr>
                <w:sz w:val="24"/>
              </w:rPr>
            </w:pPr>
            <w:r>
              <w:rPr>
                <w:rFonts w:hint="eastAsia"/>
                <w:sz w:val="24"/>
              </w:rPr>
              <w:t>515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44" w:type="dxa"/>
            <w:tcMar>
              <w:top w:w="16" w:type="dxa"/>
              <w:left w:w="16" w:type="dxa"/>
              <w:right w:w="16" w:type="dxa"/>
            </w:tcMar>
            <w:vAlign w:val="center"/>
          </w:tcPr>
          <w:p>
            <w:pPr>
              <w:adjustRightInd w:val="0"/>
              <w:jc w:val="center"/>
            </w:pPr>
            <w:r>
              <w:rPr>
                <w:sz w:val="24"/>
              </w:rPr>
              <w:t>环保投资占比（%）</w:t>
            </w:r>
          </w:p>
        </w:tc>
        <w:tc>
          <w:tcPr>
            <w:tcW w:w="2826" w:type="dxa"/>
            <w:vAlign w:val="center"/>
          </w:tcPr>
          <w:p>
            <w:pPr>
              <w:adjustRightInd w:val="0"/>
              <w:jc w:val="center"/>
              <w:rPr>
                <w:sz w:val="24"/>
              </w:rPr>
            </w:pPr>
            <w:r>
              <w:rPr>
                <w:rFonts w:hint="eastAsia"/>
                <w:sz w:val="24"/>
              </w:rPr>
              <w:t>1.69</w:t>
            </w:r>
          </w:p>
        </w:tc>
        <w:tc>
          <w:tcPr>
            <w:tcW w:w="1696" w:type="dxa"/>
            <w:tcMar>
              <w:top w:w="16" w:type="dxa"/>
              <w:left w:w="16" w:type="dxa"/>
              <w:right w:w="16" w:type="dxa"/>
            </w:tcMar>
            <w:vAlign w:val="center"/>
          </w:tcPr>
          <w:p>
            <w:pPr>
              <w:adjustRightInd w:val="0"/>
              <w:jc w:val="center"/>
              <w:rPr>
                <w:sz w:val="24"/>
              </w:rPr>
            </w:pPr>
            <w:r>
              <w:rPr>
                <w:sz w:val="24"/>
              </w:rPr>
              <w:t>施工工期</w:t>
            </w:r>
          </w:p>
        </w:tc>
        <w:tc>
          <w:tcPr>
            <w:tcW w:w="3204" w:type="dxa"/>
            <w:vAlign w:val="center"/>
          </w:tcPr>
          <w:p>
            <w:pPr>
              <w:adjustRightInd w:val="0"/>
              <w:jc w:val="center"/>
              <w:rPr>
                <w:sz w:val="24"/>
              </w:rPr>
            </w:pPr>
            <w:r>
              <w:rPr>
                <w:rFonts w:hint="eastAsia"/>
                <w:sz w:val="24"/>
              </w:rPr>
              <w:t>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44" w:type="dxa"/>
            <w:tcMar>
              <w:top w:w="16" w:type="dxa"/>
              <w:left w:w="16" w:type="dxa"/>
              <w:right w:w="16" w:type="dxa"/>
            </w:tcMar>
            <w:vAlign w:val="center"/>
          </w:tcPr>
          <w:p>
            <w:pPr>
              <w:adjustRightInd w:val="0"/>
              <w:jc w:val="center"/>
              <w:rPr>
                <w:sz w:val="24"/>
              </w:rPr>
            </w:pPr>
            <w:r>
              <w:rPr>
                <w:sz w:val="24"/>
              </w:rPr>
              <w:t>是否开工建设</w:t>
            </w:r>
          </w:p>
        </w:tc>
        <w:tc>
          <w:tcPr>
            <w:tcW w:w="2826" w:type="dxa"/>
            <w:vAlign w:val="center"/>
          </w:tcPr>
          <w:p>
            <w:pPr>
              <w:adjustRightInd w:val="0"/>
              <w:jc w:val="left"/>
              <w:rPr>
                <w:sz w:val="24"/>
              </w:rPr>
            </w:pPr>
            <w:r>
              <w:rPr>
                <w:sz w:val="24"/>
              </w:rPr>
              <w:sym w:font="Wingdings 2" w:char="0052"/>
            </w:r>
            <w:r>
              <w:rPr>
                <w:sz w:val="24"/>
              </w:rPr>
              <w:t>否</w:t>
            </w:r>
          </w:p>
          <w:p>
            <w:pPr>
              <w:adjustRightInd w:val="0"/>
              <w:jc w:val="left"/>
              <w:rPr>
                <w:sz w:val="24"/>
              </w:rPr>
            </w:pPr>
            <w:r>
              <w:rPr>
                <w:sz w:val="24"/>
              </w:rPr>
              <w:sym w:font="Wingdings 2" w:char="00A3"/>
            </w:r>
            <w:r>
              <w:rPr>
                <w:sz w:val="24"/>
              </w:rPr>
              <w:t xml:space="preserve">是：            </w:t>
            </w:r>
          </w:p>
        </w:tc>
        <w:tc>
          <w:tcPr>
            <w:tcW w:w="1696" w:type="dxa"/>
            <w:tcMar>
              <w:top w:w="16" w:type="dxa"/>
              <w:left w:w="16" w:type="dxa"/>
              <w:right w:w="16" w:type="dxa"/>
            </w:tcMar>
            <w:vAlign w:val="center"/>
          </w:tcPr>
          <w:p>
            <w:pPr>
              <w:adjustRightInd w:val="0"/>
              <w:jc w:val="center"/>
              <w:rPr>
                <w:sz w:val="24"/>
              </w:rPr>
            </w:pPr>
            <w:r>
              <w:rPr>
                <w:rFonts w:hint="eastAsia"/>
                <w:sz w:val="24"/>
              </w:rPr>
              <w:t>占地</w:t>
            </w:r>
            <w:r>
              <w:rPr>
                <w:sz w:val="24"/>
              </w:rPr>
              <w:t>面积（m</w:t>
            </w:r>
            <w:r>
              <w:rPr>
                <w:sz w:val="24"/>
                <w:vertAlign w:val="superscript"/>
              </w:rPr>
              <w:t>2</w:t>
            </w:r>
            <w:r>
              <w:rPr>
                <w:sz w:val="24"/>
              </w:rPr>
              <w:t>）</w:t>
            </w:r>
          </w:p>
        </w:tc>
        <w:tc>
          <w:tcPr>
            <w:tcW w:w="3204" w:type="dxa"/>
            <w:vAlign w:val="center"/>
          </w:tcPr>
          <w:p>
            <w:pPr>
              <w:adjustRightInd w:val="0"/>
              <w:jc w:val="center"/>
              <w:rPr>
                <w:sz w:val="24"/>
              </w:rPr>
            </w:pPr>
            <w:r>
              <w:rPr>
                <w:rFonts w:hint="eastAsia"/>
                <w:sz w:val="24"/>
              </w:rPr>
              <w:t>91748.71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144" w:type="dxa"/>
            <w:vAlign w:val="center"/>
          </w:tcPr>
          <w:p>
            <w:pPr>
              <w:autoSpaceDE w:val="0"/>
              <w:autoSpaceDN w:val="0"/>
              <w:adjustRightInd w:val="0"/>
              <w:snapToGrid w:val="0"/>
              <w:jc w:val="center"/>
              <w:rPr>
                <w:color w:val="0000FF"/>
                <w:kern w:val="0"/>
                <w:sz w:val="24"/>
              </w:rPr>
            </w:pPr>
            <w:r>
              <w:rPr>
                <w:kern w:val="0"/>
                <w:sz w:val="24"/>
              </w:rPr>
              <w:t>专项评价设置情况</w:t>
            </w:r>
          </w:p>
        </w:tc>
        <w:tc>
          <w:tcPr>
            <w:tcW w:w="7726" w:type="dxa"/>
            <w:gridSpan w:val="3"/>
            <w:vAlign w:val="center"/>
          </w:tcPr>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根据《建设项目环境影响报告表编制技术指南（污染影响类）》</w:t>
            </w:r>
            <w:r>
              <w:rPr>
                <w:rFonts w:hint="eastAsia"/>
                <w:color w:val="000000" w:themeColor="text1"/>
                <w:kern w:val="0"/>
                <w:sz w:val="24"/>
                <w:lang w:eastAsia="zh-CN"/>
                <w14:textFill>
                  <w14:solidFill>
                    <w14:schemeClr w14:val="tx1"/>
                  </w14:solidFill>
                </w14:textFill>
              </w:rPr>
              <w:t>设置专项</w:t>
            </w:r>
            <w:r>
              <w:rPr>
                <w:color w:val="000000" w:themeColor="text1"/>
                <w:kern w:val="0"/>
                <w:sz w:val="24"/>
                <w14:textFill>
                  <w14:solidFill>
                    <w14:schemeClr w14:val="tx1"/>
                  </w14:solidFill>
                </w14:textFill>
              </w:rPr>
              <w:t>评价如下：</w:t>
            </w:r>
          </w:p>
          <w:p>
            <w:pPr>
              <w:autoSpaceDE w:val="0"/>
              <w:autoSpaceDN w:val="0"/>
              <w:ind w:firstLine="422" w:firstLineChars="2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表1-1   专项设置评价情况一览表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3553"/>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pPr>
                    <w:pStyle w:val="27"/>
                    <w:tabs>
                      <w:tab w:val="right" w:leader="dot" w:pos="8820"/>
                    </w:tabs>
                    <w:ind w:left="0" w:left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专项评价的类别</w:t>
                  </w:r>
                </w:p>
              </w:tc>
              <w:tc>
                <w:tcPr>
                  <w:tcW w:w="3345" w:type="dxa"/>
                  <w:vAlign w:val="center"/>
                </w:tcPr>
                <w:p>
                  <w:pPr>
                    <w:pStyle w:val="27"/>
                    <w:tabs>
                      <w:tab w:val="right" w:leader="dot" w:pos="8820"/>
                    </w:tabs>
                    <w:ind w:left="0" w:left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设置原则</w:t>
                  </w:r>
                </w:p>
              </w:tc>
              <w:tc>
                <w:tcPr>
                  <w:tcW w:w="2628" w:type="dxa"/>
                  <w:vAlign w:val="center"/>
                </w:tcPr>
                <w:p>
                  <w:pPr>
                    <w:pStyle w:val="27"/>
                    <w:tabs>
                      <w:tab w:val="right" w:leader="dot" w:pos="8820"/>
                    </w:tabs>
                    <w:ind w:left="0" w:left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pPr>
                    <w:pStyle w:val="27"/>
                    <w:tabs>
                      <w:tab w:val="right" w:leader="dot" w:pos="8820"/>
                    </w:tabs>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w:t>
                  </w:r>
                </w:p>
              </w:tc>
              <w:tc>
                <w:tcPr>
                  <w:tcW w:w="3345"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排放废气含有毒有害污染物、二噁英、苯并[a]芘、氰化物、氯气且厂界外500米范围内有环境空气保护目标的建设项目</w:t>
                  </w:r>
                </w:p>
              </w:tc>
              <w:tc>
                <w:tcPr>
                  <w:tcW w:w="2628"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不涉及以上有毒有害污染物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pPr>
                    <w:pStyle w:val="27"/>
                    <w:tabs>
                      <w:tab w:val="right" w:leader="dot" w:pos="8820"/>
                    </w:tabs>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w:t>
                  </w:r>
                </w:p>
              </w:tc>
              <w:tc>
                <w:tcPr>
                  <w:tcW w:w="3345"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新增工业废水直排建设项目（槽罐车外送污水处理厂的除外）；新增废水直排的污水集中处理厂</w:t>
                  </w:r>
                </w:p>
              </w:tc>
              <w:tc>
                <w:tcPr>
                  <w:tcW w:w="2628"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项目生活污水经化粪池处理后</w:t>
                  </w:r>
                  <w:r>
                    <w:rPr>
                      <w:rFonts w:hint="eastAsia"/>
                      <w:lang w:eastAsia="zh-CN"/>
                    </w:rPr>
                    <w:t>（</w:t>
                  </w:r>
                  <w:r>
                    <w:rPr>
                      <w:rFonts w:hint="eastAsia"/>
                      <w:lang w:val="en-US" w:eastAsia="zh-CN"/>
                    </w:rPr>
                    <w:t>食堂污水先经隔油池处理</w:t>
                  </w:r>
                  <w:r>
                    <w:rPr>
                      <w:rFonts w:hint="eastAsia"/>
                      <w:lang w:eastAsia="zh-CN"/>
                    </w:rPr>
                    <w:t>）</w:t>
                  </w:r>
                  <w:r>
                    <w:rPr>
                      <w:rFonts w:hint="eastAsia"/>
                      <w:color w:val="000000" w:themeColor="text1"/>
                      <w:szCs w:val="21"/>
                      <w14:textFill>
                        <w14:solidFill>
                          <w14:schemeClr w14:val="tx1"/>
                        </w14:solidFill>
                      </w14:textFill>
                    </w:rPr>
                    <w:t>排入湘阴县第二污水处理厂深度处理；生产废水沉淀后循环使用，不外排。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pPr>
                    <w:pStyle w:val="27"/>
                    <w:tabs>
                      <w:tab w:val="right" w:leader="dot" w:pos="8820"/>
                    </w:tabs>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w:t>
                  </w:r>
                </w:p>
              </w:tc>
              <w:tc>
                <w:tcPr>
                  <w:tcW w:w="3345"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有毒有害和易燃易爆危险物质存储量超过临界量的建设项目</w:t>
                  </w:r>
                </w:p>
              </w:tc>
              <w:tc>
                <w:tcPr>
                  <w:tcW w:w="2628"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涉及环境风险物质未超临界值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pPr>
                    <w:pStyle w:val="27"/>
                    <w:tabs>
                      <w:tab w:val="right" w:leader="dot" w:pos="8820"/>
                    </w:tabs>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w:t>
                  </w:r>
                </w:p>
              </w:tc>
              <w:tc>
                <w:tcPr>
                  <w:tcW w:w="3345"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取水口下游500 米范围内有重要水生生物的自然产卵场、索饵场、越冬场和洄游通道的新增河道取水的污染类建设项目</w:t>
                  </w:r>
                </w:p>
              </w:tc>
              <w:tc>
                <w:tcPr>
                  <w:tcW w:w="2628"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湘阴县湘阴高新技术产业开发区洋沙湖片区芙蓉北路西侧、顺天大道南侧地块，</w:t>
                  </w:r>
                  <w:r>
                    <w:rPr>
                      <w:color w:val="000000" w:themeColor="text1"/>
                      <w:szCs w:val="21"/>
                      <w14:textFill>
                        <w14:solidFill>
                          <w14:schemeClr w14:val="tx1"/>
                        </w14:solidFill>
                      </w14:textFill>
                    </w:rPr>
                    <w:t>属于洋沙湖片区范围内，不涉及生态敏感目标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pPr>
                    <w:pStyle w:val="27"/>
                    <w:tabs>
                      <w:tab w:val="right" w:leader="dot" w:pos="8820"/>
                    </w:tabs>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海洋</w:t>
                  </w:r>
                </w:p>
              </w:tc>
              <w:tc>
                <w:tcPr>
                  <w:tcW w:w="3345"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直接向海排放污染物的海洋工程建设项目</w:t>
                  </w:r>
                </w:p>
              </w:tc>
              <w:tc>
                <w:tcPr>
                  <w:tcW w:w="2628"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不涉及向海洋排放污染物</w:t>
                  </w:r>
                </w:p>
              </w:tc>
            </w:tr>
          </w:tbl>
          <w:p>
            <w:pPr>
              <w:autoSpaceDE w:val="0"/>
              <w:autoSpaceDN w:val="0"/>
              <w:adjustRightInd w:val="0"/>
              <w:snapToGrid w:val="0"/>
              <w:jc w:val="center"/>
              <w:rPr>
                <w:color w:val="0000FF"/>
                <w:kern w:val="0"/>
                <w:sz w:val="24"/>
              </w:rPr>
            </w:pPr>
            <w:r>
              <w:rPr>
                <w:color w:val="000000" w:themeColor="text1"/>
                <w:kern w:val="0"/>
                <w:sz w:val="24"/>
                <w14:textFill>
                  <w14:solidFill>
                    <w14:schemeClr w14:val="tx1"/>
                  </w14:solidFill>
                </w14:textFill>
              </w:rPr>
              <w:t>根据以上设置原则，本项目</w:t>
            </w:r>
            <w:r>
              <w:rPr>
                <w:rFonts w:hint="eastAsia"/>
                <w:color w:val="000000" w:themeColor="text1"/>
                <w:kern w:val="0"/>
                <w:sz w:val="24"/>
                <w14:textFill>
                  <w14:solidFill>
                    <w14:schemeClr w14:val="tx1"/>
                  </w14:solidFill>
                </w14:textFill>
              </w:rPr>
              <w:t>无须设置</w:t>
            </w:r>
            <w:r>
              <w:rPr>
                <w:color w:val="000000" w:themeColor="text1"/>
                <w:kern w:val="0"/>
                <w:sz w:val="24"/>
                <w14:textFill>
                  <w14:solidFill>
                    <w14:schemeClr w14:val="tx1"/>
                  </w14:solidFill>
                </w14:textFill>
              </w:rPr>
              <w:t>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144" w:type="dxa"/>
            <w:vAlign w:val="center"/>
          </w:tcPr>
          <w:p>
            <w:pPr>
              <w:autoSpaceDE w:val="0"/>
              <w:autoSpaceDN w:val="0"/>
              <w:adjustRightInd w:val="0"/>
              <w:snapToGrid w:val="0"/>
              <w:spacing w:line="400" w:lineRule="exact"/>
              <w:jc w:val="center"/>
              <w:rPr>
                <w:kern w:val="0"/>
                <w:sz w:val="24"/>
              </w:rPr>
            </w:pPr>
            <w:r>
              <w:rPr>
                <w:kern w:val="0"/>
                <w:sz w:val="24"/>
              </w:rPr>
              <w:t>规划情况</w:t>
            </w:r>
          </w:p>
        </w:tc>
        <w:tc>
          <w:tcPr>
            <w:tcW w:w="7726" w:type="dxa"/>
            <w:gridSpan w:val="3"/>
            <w:vAlign w:val="center"/>
          </w:tcPr>
          <w:p>
            <w:pPr>
              <w:autoSpaceDE w:val="0"/>
              <w:autoSpaceDN w:val="0"/>
              <w:adjustRightInd w:val="0"/>
              <w:snapToGrid w:val="0"/>
              <w:spacing w:line="400" w:lineRule="exact"/>
              <w:jc w:val="left"/>
              <w:rPr>
                <w:color w:val="0000FF"/>
                <w:kern w:val="0"/>
                <w:sz w:val="24"/>
              </w:rPr>
            </w:pPr>
            <w:r>
              <w:rPr>
                <w:rFonts w:hint="eastAsia"/>
                <w:color w:val="000000" w:themeColor="text1"/>
                <w:kern w:val="0"/>
                <w:sz w:val="24"/>
                <w14:textFill>
                  <w14:solidFill>
                    <w14:schemeClr w14:val="tx1"/>
                  </w14:solidFill>
                </w14:textFill>
              </w:rPr>
              <w:t xml:space="preserve">规划名称：《湖南湘阴高新区近期规划（2020-2025）》，湘阴高新技术产业开发区管理委员会。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4" w:type="dxa"/>
            <w:vAlign w:val="center"/>
          </w:tcPr>
          <w:p>
            <w:pPr>
              <w:autoSpaceDE w:val="0"/>
              <w:autoSpaceDN w:val="0"/>
              <w:adjustRightInd w:val="0"/>
              <w:snapToGrid w:val="0"/>
              <w:spacing w:line="400" w:lineRule="exact"/>
              <w:jc w:val="center"/>
              <w:rPr>
                <w:kern w:val="0"/>
                <w:sz w:val="24"/>
              </w:rPr>
            </w:pPr>
            <w:r>
              <w:rPr>
                <w:kern w:val="0"/>
                <w:sz w:val="24"/>
              </w:rPr>
              <w:t>规划环境影响</w:t>
            </w:r>
          </w:p>
          <w:p>
            <w:pPr>
              <w:autoSpaceDE w:val="0"/>
              <w:autoSpaceDN w:val="0"/>
              <w:adjustRightInd w:val="0"/>
              <w:snapToGrid w:val="0"/>
              <w:spacing w:line="400" w:lineRule="exact"/>
              <w:jc w:val="center"/>
              <w:rPr>
                <w:kern w:val="0"/>
                <w:sz w:val="24"/>
              </w:rPr>
            </w:pPr>
            <w:r>
              <w:rPr>
                <w:kern w:val="0"/>
                <w:sz w:val="24"/>
              </w:rPr>
              <w:t>评价情况</w:t>
            </w:r>
          </w:p>
        </w:tc>
        <w:tc>
          <w:tcPr>
            <w:tcW w:w="7726" w:type="dxa"/>
            <w:gridSpan w:val="3"/>
            <w:vAlign w:val="center"/>
          </w:tcPr>
          <w:p>
            <w:pPr>
              <w:autoSpaceDE w:val="0"/>
              <w:autoSpaceDN w:val="0"/>
              <w:adjustRightInd w:val="0"/>
              <w:snapToGrid w:val="0"/>
              <w:spacing w:line="400" w:lineRule="exac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规划环境影响评价文件名称：《湘阴高新技术产业开发区调区扩区规划环境影响报告书》；</w:t>
            </w:r>
          </w:p>
          <w:p>
            <w:pPr>
              <w:autoSpaceDE w:val="0"/>
              <w:autoSpaceDN w:val="0"/>
              <w:adjustRightInd w:val="0"/>
              <w:snapToGrid w:val="0"/>
              <w:spacing w:line="400" w:lineRule="exac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审批机构：湖南省生态环境厅；</w:t>
            </w:r>
          </w:p>
          <w:p>
            <w:pPr>
              <w:autoSpaceDE w:val="0"/>
              <w:autoSpaceDN w:val="0"/>
              <w:adjustRightInd w:val="0"/>
              <w:snapToGrid w:val="0"/>
              <w:spacing w:line="400" w:lineRule="exact"/>
              <w:rPr>
                <w:color w:val="0000FF"/>
                <w:kern w:val="0"/>
                <w:sz w:val="24"/>
              </w:rPr>
            </w:pPr>
            <w:r>
              <w:rPr>
                <w:color w:val="000000" w:themeColor="text1"/>
                <w:kern w:val="0"/>
                <w:sz w:val="24"/>
                <w14:textFill>
                  <w14:solidFill>
                    <w14:schemeClr w14:val="tx1"/>
                  </w14:solidFill>
                </w14:textFill>
              </w:rPr>
              <w:t>审查文件名称及文号：《湖南省生态环境厅关于</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湘阴高新技术产业开发区调区扩区规划环境影响报告书</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审查意见的函》（湘环评函〔2022〕65号）。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1144" w:type="dxa"/>
            <w:vAlign w:val="center"/>
          </w:tcPr>
          <w:p>
            <w:pPr>
              <w:autoSpaceDE w:val="0"/>
              <w:autoSpaceDN w:val="0"/>
              <w:adjustRightInd w:val="0"/>
              <w:snapToGrid w:val="0"/>
              <w:jc w:val="center"/>
              <w:rPr>
                <w:kern w:val="0"/>
                <w:sz w:val="24"/>
              </w:rPr>
            </w:pPr>
            <w:r>
              <w:rPr>
                <w:kern w:val="0"/>
                <w:sz w:val="24"/>
              </w:rPr>
              <w:t>规划及规划环境影响评价符合性分析</w:t>
            </w:r>
          </w:p>
        </w:tc>
        <w:tc>
          <w:tcPr>
            <w:tcW w:w="7726" w:type="dxa"/>
            <w:gridSpan w:val="3"/>
            <w:vAlign w:val="center"/>
          </w:tcPr>
          <w:p>
            <w:pPr>
              <w:autoSpaceDE w:val="0"/>
              <w:autoSpaceDN w:val="0"/>
              <w:adjustRightInd w:val="0"/>
              <w:snapToGrid w:val="0"/>
              <w:spacing w:line="360" w:lineRule="auto"/>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1、与《湖南湘阴高新区近期规划（2020-2025）》符合性分析</w:t>
            </w:r>
          </w:p>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根据规划，</w:t>
            </w:r>
            <w:r>
              <w:rPr>
                <w:color w:val="000000" w:themeColor="text1"/>
                <w:kern w:val="0"/>
                <w:sz w:val="24"/>
                <w14:textFill>
                  <w14:solidFill>
                    <w14:schemeClr w14:val="tx1"/>
                  </w14:solidFill>
                </w14:textFill>
              </w:rPr>
              <w:t>湖南湘阴高新技术产业开发区为“一区三园”，即临港片区、洋沙湖片区和金龙片区，规划区范围面积共计约12.40平方公里。本项目</w:t>
            </w:r>
            <w:r>
              <w:rPr>
                <w:rFonts w:hint="eastAsia"/>
                <w:color w:val="000000" w:themeColor="text1"/>
                <w:kern w:val="0"/>
                <w:sz w:val="24"/>
                <w14:textFill>
                  <w14:solidFill>
                    <w14:schemeClr w14:val="tx1"/>
                  </w14:solidFill>
                </w14:textFill>
              </w:rPr>
              <w:t>位于</w:t>
            </w:r>
            <w:r>
              <w:rPr>
                <w:color w:val="000000" w:themeColor="text1"/>
                <w:kern w:val="0"/>
                <w:sz w:val="24"/>
                <w14:textFill>
                  <w14:solidFill>
                    <w14:schemeClr w14:val="tx1"/>
                  </w14:solidFill>
                </w14:textFill>
              </w:rPr>
              <w:t>洋沙湖片区，根据规划相关内容，对本项目与《湖南湘阴高新区近期规划（2020-2025）》相符性分析列表如下：</w:t>
            </w:r>
          </w:p>
          <w:p>
            <w:pPr>
              <w:autoSpaceDE w:val="0"/>
              <w:autoSpaceDN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表1-2  项目与《湖南湘阴高新区近期规划（2020-2025）》相符性分析</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3240"/>
              <w:gridCol w:w="2496"/>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tcBorders>
                    <w:tl2br w:val="nil"/>
                    <w:tr2bl w:val="nil"/>
                  </w:tcBorders>
                  <w:vAlign w:val="center"/>
                </w:tcPr>
                <w:p>
                  <w:pPr>
                    <w:tabs>
                      <w:tab w:val="left" w:pos="7430"/>
                    </w:tab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2162" w:type="pct"/>
                  <w:tcBorders>
                    <w:tl2br w:val="nil"/>
                    <w:tr2bl w:val="nil"/>
                  </w:tcBorders>
                  <w:vAlign w:val="center"/>
                </w:tcPr>
                <w:p>
                  <w:pPr>
                    <w:tabs>
                      <w:tab w:val="left" w:pos="7430"/>
                    </w:tab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规划内容</w:t>
                  </w:r>
                </w:p>
              </w:tc>
              <w:tc>
                <w:tcPr>
                  <w:tcW w:w="1665" w:type="pct"/>
                  <w:tcBorders>
                    <w:tl2br w:val="nil"/>
                    <w:tr2bl w:val="nil"/>
                  </w:tcBorders>
                  <w:vAlign w:val="center"/>
                </w:tcPr>
                <w:p>
                  <w:pPr>
                    <w:tabs>
                      <w:tab w:val="left" w:pos="7430"/>
                    </w:tab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669" w:type="pct"/>
                  <w:tcBorders>
                    <w:tl2br w:val="nil"/>
                    <w:tr2bl w:val="nil"/>
                  </w:tcBorders>
                  <w:vAlign w:val="center"/>
                </w:tcPr>
                <w:p>
                  <w:pPr>
                    <w:tabs>
                      <w:tab w:val="left" w:pos="7430"/>
                    </w:tab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tcBorders>
                    <w:tl2br w:val="nil"/>
                    <w:tr2bl w:val="nil"/>
                  </w:tcBorders>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区位划分</w:t>
                  </w:r>
                </w:p>
              </w:tc>
              <w:tc>
                <w:tcPr>
                  <w:tcW w:w="2162" w:type="pct"/>
                  <w:tcBorders>
                    <w:tl2br w:val="nil"/>
                    <w:tr2bl w:val="nil"/>
                  </w:tcBorders>
                  <w:vAlign w:val="center"/>
                </w:tcPr>
                <w:p>
                  <w:pPr>
                    <w:autoSpaceDE w:val="0"/>
                    <w:autoSpaceDN w:val="0"/>
                    <w:adjustRightInd w:val="0"/>
                    <w:snapToGrid w:val="0"/>
                    <w:rPr>
                      <w:color w:val="000000"/>
                      <w:szCs w:val="21"/>
                    </w:rPr>
                  </w:pPr>
                  <w:r>
                    <w:rPr>
                      <w:color w:val="000000"/>
                      <w:szCs w:val="21"/>
                    </w:rPr>
                    <w:t>湖南湘阴高新技术产业开发区为“一区三园”，即临港片区、洋沙湖片区和金龙片区</w:t>
                  </w:r>
                  <w:r>
                    <w:rPr>
                      <w:rFonts w:hint="eastAsia"/>
                      <w:color w:val="000000"/>
                      <w:szCs w:val="21"/>
                      <w:lang w:eastAsia="zh-CN"/>
                    </w:rPr>
                    <w:t>，</w:t>
                  </w:r>
                  <w:r>
                    <w:rPr>
                      <w:color w:val="000000"/>
                      <w:szCs w:val="21"/>
                    </w:rPr>
                    <w:t>规划区范围面积共计约12.40平方公里。洋沙湖片区位于县城中部与南部，区块1范围东至芙蓉北路、南至洋沙湖大道、西至中联大道北至劈山渠，规划范围约为321.98公顷</w:t>
                  </w:r>
                  <w:r>
                    <w:rPr>
                      <w:rFonts w:hint="eastAsia"/>
                      <w:color w:val="000000"/>
                      <w:szCs w:val="21"/>
                      <w:lang w:eastAsia="zh-CN"/>
                    </w:rPr>
                    <w:t>；</w:t>
                  </w:r>
                  <w:r>
                    <w:rPr>
                      <w:color w:val="000000"/>
                      <w:szCs w:val="21"/>
                    </w:rPr>
                    <w:t>区块2范围东至芙蓉北路、南至劈山渠、西至程家湾、北至城南村，规划范围约为296.07公顷，洋沙湖片区规划范围618.05公顷。</w:t>
                  </w:r>
                </w:p>
              </w:tc>
              <w:tc>
                <w:tcPr>
                  <w:tcW w:w="1665" w:type="pct"/>
                  <w:tcBorders>
                    <w:tl2br w:val="nil"/>
                    <w:tr2bl w:val="nil"/>
                  </w:tcBorders>
                  <w:vAlign w:val="center"/>
                </w:tcPr>
                <w:p>
                  <w:pPr>
                    <w:autoSpaceDE w:val="0"/>
                    <w:autoSpaceDN w:val="0"/>
                    <w:adjustRightInd w:val="0"/>
                    <w:snapToGrid w:val="0"/>
                    <w:rPr>
                      <w:color w:val="000000"/>
                      <w:szCs w:val="21"/>
                    </w:rPr>
                  </w:pPr>
                  <w:r>
                    <w:rPr>
                      <w:color w:val="000000"/>
                      <w:szCs w:val="21"/>
                    </w:rPr>
                    <w:t>本项目位于湘阴县湘阴高新技术产业开发区洋沙湖片区芙蓉北路西侧、顺天大道南侧地块，属于洋沙湖片区范围内。</w:t>
                  </w:r>
                </w:p>
              </w:tc>
              <w:tc>
                <w:tcPr>
                  <w:tcW w:w="669" w:type="pct"/>
                  <w:tcBorders>
                    <w:tl2br w:val="nil"/>
                    <w:tr2bl w:val="nil"/>
                  </w:tcBorders>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tcBorders>
                    <w:tl2br w:val="nil"/>
                    <w:tr2bl w:val="nil"/>
                  </w:tcBorders>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功能定位</w:t>
                  </w:r>
                </w:p>
              </w:tc>
              <w:tc>
                <w:tcPr>
                  <w:tcW w:w="2162" w:type="pct"/>
                  <w:tcBorders>
                    <w:tl2br w:val="nil"/>
                    <w:tr2bl w:val="nil"/>
                  </w:tcBorders>
                  <w:vAlign w:val="center"/>
                </w:tcPr>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发挥靠城（长沙）依江（湘江）的区位优势，立足对接长沙、省级高新技术开发区发展核心平台的有利条件，依托长株潭大经济圈及岳阳、益阳两城市的经济辐射，以“以园兴工、以工兴县”的战略，千方百计加大园区基础建设力度，想方设法引进战略投资大户，把园区建成为规模工业企业的集聚区，商贸流通的重点区，城镇化发展的示范区，对外开放的先导区，以及全国较高水平的省级生态环保型城郊综合工业园区。 </w:t>
                  </w:r>
                </w:p>
              </w:tc>
              <w:tc>
                <w:tcPr>
                  <w:tcW w:w="1665" w:type="pct"/>
                  <w:tcBorders>
                    <w:tl2br w:val="nil"/>
                    <w:tr2bl w:val="nil"/>
                  </w:tcBorders>
                  <w:vAlign w:val="center"/>
                </w:tcPr>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本项目投资金额30400万元，项目投产后经济效益显著，将给当地经济和就业带来一定的机会。因此，本项目符合园区功能定位。</w:t>
                  </w:r>
                </w:p>
              </w:tc>
              <w:tc>
                <w:tcPr>
                  <w:tcW w:w="669" w:type="pct"/>
                  <w:tcBorders>
                    <w:tl2br w:val="nil"/>
                    <w:tr2bl w:val="nil"/>
                  </w:tcBorders>
                  <w:vAlign w:val="center"/>
                </w:tcPr>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tcBorders>
                    <w:tl2br w:val="nil"/>
                    <w:tr2bl w:val="nil"/>
                  </w:tcBorders>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产业定位</w:t>
                  </w:r>
                </w:p>
              </w:tc>
              <w:tc>
                <w:tcPr>
                  <w:tcW w:w="2162" w:type="pct"/>
                  <w:tcBorders>
                    <w:tl2br w:val="nil"/>
                    <w:tr2bl w:val="nil"/>
                  </w:tcBorders>
                  <w:vAlign w:val="center"/>
                </w:tcPr>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主导产业：绿色装备制造、绿色建筑建材、绿色食品加工； </w:t>
                  </w:r>
                </w:p>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配套产业：电子信息、新材料。</w:t>
                  </w:r>
                </w:p>
              </w:tc>
              <w:tc>
                <w:tcPr>
                  <w:tcW w:w="1665" w:type="pct"/>
                  <w:tcBorders>
                    <w:tl2br w:val="nil"/>
                    <w:tr2bl w:val="nil"/>
                  </w:tcBorders>
                  <w:vAlign w:val="center"/>
                </w:tcPr>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本项目为C2032 木门窗制造，不属于园区禁止引入的行业，项目于2025年7月16日召开联审会议，并通过（见附件5），并取得园区的招商引资合同（见附件4）。</w:t>
                  </w:r>
                </w:p>
              </w:tc>
              <w:tc>
                <w:tcPr>
                  <w:tcW w:w="669" w:type="pct"/>
                  <w:tcBorders>
                    <w:tl2br w:val="nil"/>
                    <w:tr2bl w:val="nil"/>
                  </w:tcBorders>
                  <w:vAlign w:val="center"/>
                </w:tcPr>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tcBorders>
                    <w:tl2br w:val="nil"/>
                    <w:tr2bl w:val="nil"/>
                  </w:tcBorders>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分区定位</w:t>
                  </w:r>
                </w:p>
              </w:tc>
              <w:tc>
                <w:tcPr>
                  <w:tcW w:w="2162" w:type="pct"/>
                  <w:tcBorders>
                    <w:tl2br w:val="nil"/>
                    <w:tr2bl w:val="nil"/>
                  </w:tcBorders>
                  <w:vAlign w:val="center"/>
                </w:tcPr>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洋沙湖片区规划重点发展装备制造、食品加工、新材料产业（主要包含电子专用材料制造、电池制造（不含铅酸蓄电池））、废弃资源综合利用（包括利用金属废料和碎屑加工处理和废油回收）、电子信息和建筑建材</w:t>
                  </w:r>
                </w:p>
              </w:tc>
              <w:tc>
                <w:tcPr>
                  <w:tcW w:w="1665" w:type="pct"/>
                  <w:tcBorders>
                    <w:tl2br w:val="nil"/>
                    <w:tr2bl w:val="nil"/>
                  </w:tcBorders>
                  <w:vAlign w:val="center"/>
                </w:tcPr>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项目位于洋沙湖片区，属于《国民经济行业分类》(</w:t>
                  </w:r>
                  <w:r>
                    <w:rPr>
                      <w:rFonts w:hint="eastAsia"/>
                      <w:color w:val="000000" w:themeColor="text1"/>
                      <w:kern w:val="0"/>
                      <w:szCs w:val="21"/>
                      <w14:textFill>
                        <w14:solidFill>
                          <w14:schemeClr w14:val="tx1"/>
                        </w14:solidFill>
                      </w14:textFill>
                    </w:rPr>
                    <w:t>2019年修改版</w:t>
                  </w:r>
                  <w:r>
                    <w:rPr>
                      <w:color w:val="000000" w:themeColor="text1"/>
                      <w:kern w:val="0"/>
                      <w:szCs w:val="21"/>
                      <w14:textFill>
                        <w14:solidFill>
                          <w14:schemeClr w14:val="tx1"/>
                        </w14:solidFill>
                      </w14:textFill>
                    </w:rPr>
                    <w:t>）中的C2032 木门窗制造，项目所在地为工业用地，不属于园区禁止进入的行业</w:t>
                  </w:r>
                </w:p>
              </w:tc>
              <w:tc>
                <w:tcPr>
                  <w:tcW w:w="669" w:type="pct"/>
                  <w:tcBorders>
                    <w:tl2br w:val="nil"/>
                    <w:tr2bl w:val="nil"/>
                  </w:tcBorders>
                  <w:vAlign w:val="center"/>
                </w:tcPr>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bl>
          <w:p>
            <w:pPr>
              <w:autoSpaceDE w:val="0"/>
              <w:autoSpaceDN w:val="0"/>
              <w:adjustRightInd w:val="0"/>
              <w:snapToGrid w:val="0"/>
              <w:spacing w:line="360" w:lineRule="auto"/>
              <w:ind w:firstLine="480" w:firstLineChars="200"/>
              <w:rPr>
                <w:kern w:val="0"/>
                <w:sz w:val="24"/>
              </w:rPr>
            </w:pPr>
            <w:r>
              <w:rPr>
                <w:rFonts w:hint="eastAsia"/>
                <w:kern w:val="0"/>
                <w:sz w:val="24"/>
              </w:rPr>
              <w:t>本项目位于湘阴高新技术产业开发区洋沙湖片区内，用地为工业用地，项目主要行业为C2032 木门窗制造，用地性质相符合，不属于园区禁止进入的行业。因此，本项目与《湖南湘阴高新区近期规划（2020-2025）》基本相符。</w:t>
            </w:r>
          </w:p>
          <w:p>
            <w:pPr>
              <w:autoSpaceDE w:val="0"/>
              <w:autoSpaceDN w:val="0"/>
              <w:adjustRightInd w:val="0"/>
              <w:snapToGrid w:val="0"/>
              <w:spacing w:line="360" w:lineRule="auto"/>
              <w:jc w:val="left"/>
              <w:rPr>
                <w:kern w:val="0"/>
                <w:sz w:val="24"/>
              </w:rPr>
            </w:pPr>
            <w:r>
              <w:rPr>
                <w:b/>
                <w:bCs/>
                <w:kern w:val="0"/>
                <w:sz w:val="24"/>
              </w:rPr>
              <w:t>2、与规划环评相符性分析</w:t>
            </w:r>
          </w:p>
          <w:p>
            <w:pPr>
              <w:autoSpaceDE w:val="0"/>
              <w:autoSpaceDN w:val="0"/>
              <w:adjustRightInd w:val="0"/>
              <w:snapToGrid w:val="0"/>
              <w:spacing w:line="360" w:lineRule="auto"/>
              <w:ind w:firstLine="480" w:firstLineChars="200"/>
              <w:rPr>
                <w:kern w:val="0"/>
                <w:sz w:val="24"/>
              </w:rPr>
            </w:pPr>
            <w:r>
              <w:rPr>
                <w:rFonts w:hint="eastAsia"/>
                <w:kern w:val="0"/>
                <w:sz w:val="24"/>
              </w:rPr>
              <w:t>本项目位于湖南省岳阳市湘阴县湘阴高新技术产业开发区洋沙湖片区范围内，项目与《湘阴高新技术产业开发区调区扩区规划环境影响报告书审查意见的函》（湘环评函〔2022〕65号）相符性分</w:t>
            </w:r>
            <w:r>
              <w:rPr>
                <w:rFonts w:hint="eastAsia"/>
                <w:kern w:val="0"/>
                <w:sz w:val="24"/>
                <w:lang w:eastAsia="zh-CN"/>
              </w:rPr>
              <w:t>析意</w:t>
            </w:r>
            <w:r>
              <w:rPr>
                <w:rFonts w:hint="eastAsia"/>
                <w:kern w:val="0"/>
                <w:sz w:val="24"/>
              </w:rPr>
              <w:t>见如下：</w:t>
            </w:r>
          </w:p>
          <w:p>
            <w:pPr>
              <w:autoSpaceDE w:val="0"/>
              <w:autoSpaceDN w:val="0"/>
              <w:jc w:val="center"/>
              <w:rPr>
                <w:b/>
                <w:bCs/>
                <w:kern w:val="0"/>
                <w:szCs w:val="21"/>
              </w:rPr>
            </w:pPr>
            <w:r>
              <w:rPr>
                <w:rFonts w:hint="eastAsia"/>
                <w:b/>
                <w:bCs/>
                <w:kern w:val="0"/>
                <w:szCs w:val="21"/>
              </w:rPr>
              <w:t>表1-3  与（湘环评函〔2022〕65号）符合性分析</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899"/>
              <w:gridCol w:w="2514"/>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vAlign w:val="center"/>
                </w:tcPr>
                <w:p>
                  <w:pPr>
                    <w:tabs>
                      <w:tab w:val="left" w:pos="7430"/>
                    </w:tabs>
                    <w:jc w:val="center"/>
                    <w:rPr>
                      <w:b/>
                      <w:bCs/>
                      <w:szCs w:val="21"/>
                    </w:rPr>
                  </w:pPr>
                  <w:r>
                    <w:rPr>
                      <w:b/>
                      <w:bCs/>
                      <w:szCs w:val="21"/>
                    </w:rPr>
                    <w:t>项目</w:t>
                  </w:r>
                </w:p>
              </w:tc>
              <w:tc>
                <w:tcPr>
                  <w:tcW w:w="1933" w:type="pct"/>
                  <w:tcBorders>
                    <w:tl2br w:val="nil"/>
                    <w:tr2bl w:val="nil"/>
                  </w:tcBorders>
                  <w:vAlign w:val="center"/>
                </w:tcPr>
                <w:p>
                  <w:pPr>
                    <w:tabs>
                      <w:tab w:val="left" w:pos="7430"/>
                    </w:tabs>
                    <w:jc w:val="center"/>
                    <w:rPr>
                      <w:b/>
                      <w:bCs/>
                      <w:szCs w:val="21"/>
                    </w:rPr>
                  </w:pPr>
                  <w:r>
                    <w:rPr>
                      <w:b/>
                      <w:bCs/>
                      <w:szCs w:val="21"/>
                    </w:rPr>
                    <w:t>批复情况</w:t>
                  </w:r>
                </w:p>
              </w:tc>
              <w:tc>
                <w:tcPr>
                  <w:tcW w:w="1676" w:type="pct"/>
                  <w:tcBorders>
                    <w:tl2br w:val="nil"/>
                    <w:tr2bl w:val="nil"/>
                  </w:tcBorders>
                  <w:vAlign w:val="center"/>
                </w:tcPr>
                <w:p>
                  <w:pPr>
                    <w:tabs>
                      <w:tab w:val="left" w:pos="7430"/>
                    </w:tabs>
                    <w:jc w:val="center"/>
                    <w:rPr>
                      <w:b/>
                      <w:bCs/>
                      <w:szCs w:val="21"/>
                    </w:rPr>
                  </w:pPr>
                  <w:r>
                    <w:rPr>
                      <w:b/>
                      <w:bCs/>
                      <w:szCs w:val="21"/>
                    </w:rPr>
                    <w:t>本项目情况</w:t>
                  </w:r>
                </w:p>
              </w:tc>
              <w:tc>
                <w:tcPr>
                  <w:tcW w:w="614" w:type="pct"/>
                  <w:tcBorders>
                    <w:tl2br w:val="nil"/>
                    <w:tr2bl w:val="nil"/>
                  </w:tcBorders>
                  <w:vAlign w:val="center"/>
                </w:tcPr>
                <w:p>
                  <w:pPr>
                    <w:tabs>
                      <w:tab w:val="left" w:pos="7430"/>
                    </w:tabs>
                    <w:jc w:val="center"/>
                    <w:rPr>
                      <w:b/>
                      <w:bCs/>
                      <w:szCs w:val="21"/>
                    </w:rPr>
                  </w:pPr>
                  <w:r>
                    <w:rPr>
                      <w:b/>
                      <w:bCs/>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pct"/>
                  <w:tcBorders>
                    <w:tl2br w:val="nil"/>
                    <w:tr2bl w:val="nil"/>
                  </w:tcBorders>
                  <w:vAlign w:val="center"/>
                </w:tcPr>
                <w:p>
                  <w:pPr>
                    <w:autoSpaceDE w:val="0"/>
                    <w:autoSpaceDN w:val="0"/>
                    <w:adjustRightInd w:val="0"/>
                    <w:snapToGrid w:val="0"/>
                    <w:rPr>
                      <w:kern w:val="0"/>
                      <w:szCs w:val="21"/>
                    </w:rPr>
                  </w:pPr>
                  <w:r>
                    <w:rPr>
                      <w:kern w:val="0"/>
                      <w:szCs w:val="21"/>
                    </w:rPr>
                    <w:t>严格依规开发，优化空间功能布局</w:t>
                  </w:r>
                </w:p>
              </w:tc>
              <w:tc>
                <w:tcPr>
                  <w:tcW w:w="1933" w:type="pct"/>
                  <w:tcBorders>
                    <w:tl2br w:val="nil"/>
                    <w:tr2bl w:val="nil"/>
                  </w:tcBorders>
                  <w:vAlign w:val="center"/>
                </w:tcPr>
                <w:p>
                  <w:pPr>
                    <w:autoSpaceDE w:val="0"/>
                    <w:autoSpaceDN w:val="0"/>
                    <w:adjustRightInd w:val="0"/>
                    <w:snapToGrid w:val="0"/>
                    <w:ind w:firstLine="420" w:firstLineChars="200"/>
                    <w:rPr>
                      <w:kern w:val="0"/>
                      <w:szCs w:val="21"/>
                    </w:rPr>
                  </w:pPr>
                  <w:r>
                    <w:rPr>
                      <w:kern w:val="0"/>
                      <w:szCs w:val="21"/>
                    </w:rPr>
                    <w:t>园区在进行国土空间规划和开发建设过程中应充分吸收规划环评对不同功能用地和不同工业用地类别的设置意见，从规划层面提升环境相容性，并严格按照经核准的园区规划范围开发建设，园区规划用地不得涉及各类法定保护地。湘阴县政府应确保落实湘阴政函</w:t>
                  </w:r>
                  <w:r>
                    <w:rPr>
                      <w:rFonts w:hint="eastAsia"/>
                      <w:kern w:val="0"/>
                      <w:szCs w:val="21"/>
                    </w:rPr>
                    <w:t>〔2022〕108号</w:t>
                  </w:r>
                  <w:r>
                    <w:rPr>
                      <w:kern w:val="0"/>
                      <w:szCs w:val="21"/>
                    </w:rPr>
                    <w:t>承诺对湘阴县老工业区17家企业的搬迁和退出方案，切实推进企业入园发展，不得违反相关规定要求在园区外新增工业项目，新引进项目及园外企业搬迁入园过程中应着重从降低环境影响的角度出发合理选址布局，不得在一类工</w:t>
                  </w:r>
                  <w:r>
                    <w:rPr>
                      <w:rFonts w:hint="eastAsia"/>
                      <w:kern w:val="0"/>
                      <w:szCs w:val="21"/>
                    </w:rPr>
                    <w:t>业用</w:t>
                  </w:r>
                  <w:r>
                    <w:rPr>
                      <w:kern w:val="0"/>
                      <w:szCs w:val="21"/>
                    </w:rPr>
                    <w:t>地上布局与之功能定位不相符的工业项目。园区调扩区发展方向涉及状元塔、左太傅祠省级文物保护范围及建设控制地带的地块，以及涉及湖南湘阴洋沙湖</w:t>
                  </w:r>
                  <w:r>
                    <w:rPr>
                      <w:rFonts w:hint="eastAsia"/>
                      <w:kern w:val="0"/>
                      <w:szCs w:val="21"/>
                    </w:rPr>
                    <w:t>－</w:t>
                  </w:r>
                  <w:r>
                    <w:rPr>
                      <w:kern w:val="0"/>
                      <w:szCs w:val="21"/>
                    </w:rPr>
                    <w:t>东湖国家湿地公园的地块，建议不纳入园区的扩区规划范围。</w:t>
                  </w:r>
                </w:p>
              </w:tc>
              <w:tc>
                <w:tcPr>
                  <w:tcW w:w="1676" w:type="pct"/>
                  <w:tcBorders>
                    <w:tl2br w:val="nil"/>
                    <w:tr2bl w:val="nil"/>
                  </w:tcBorders>
                  <w:vAlign w:val="center"/>
                </w:tcPr>
                <w:p>
                  <w:pPr>
                    <w:autoSpaceDE w:val="0"/>
                    <w:autoSpaceDN w:val="0"/>
                    <w:adjustRightInd w:val="0"/>
                    <w:snapToGrid w:val="0"/>
                    <w:ind w:firstLine="420" w:firstLineChars="200"/>
                    <w:rPr>
                      <w:kern w:val="0"/>
                      <w:szCs w:val="21"/>
                    </w:rPr>
                  </w:pPr>
                  <w:r>
                    <w:rPr>
                      <w:kern w:val="0"/>
                      <w:szCs w:val="21"/>
                      <w:u w:val="single"/>
                    </w:rPr>
                    <w:t>本项目位于湘阴高新技术产业开发区</w:t>
                  </w:r>
                  <w:r>
                    <w:rPr>
                      <w:rFonts w:hint="eastAsia"/>
                      <w:kern w:val="0"/>
                      <w:szCs w:val="21"/>
                      <w:u w:val="single"/>
                    </w:rPr>
                    <w:t>洋沙湖</w:t>
                  </w:r>
                  <w:r>
                    <w:rPr>
                      <w:rFonts w:hint="eastAsia"/>
                      <w:kern w:val="0"/>
                      <w:szCs w:val="21"/>
                      <w:u w:val="single"/>
                      <w:lang w:eastAsia="zh-CN"/>
                    </w:rPr>
                    <w:t>片区</w:t>
                  </w:r>
                  <w:r>
                    <w:rPr>
                      <w:kern w:val="0"/>
                      <w:szCs w:val="21"/>
                      <w:u w:val="single"/>
                    </w:rPr>
                    <w:t>，用地类型为工业用地</w:t>
                  </w:r>
                  <w:r>
                    <w:rPr>
                      <w:rFonts w:hint="eastAsia"/>
                      <w:kern w:val="0"/>
                      <w:szCs w:val="21"/>
                      <w:u w:val="single"/>
                      <w:lang w:eastAsia="zh-CN"/>
                    </w:rPr>
                    <w:t>，</w:t>
                  </w:r>
                  <w:r>
                    <w:rPr>
                      <w:rFonts w:hint="eastAsia"/>
                      <w:sz w:val="21"/>
                      <w:szCs w:val="21"/>
                      <w:u w:val="single"/>
                      <w:lang w:val="en-US" w:eastAsia="zh-CN"/>
                    </w:rPr>
                    <w:t>本项目所排放的噪声和废气经分析，能够达到国家和地方的排放标准，且所排放的VOCs排放量控制在招商引资要求的范围之内，经分析对周边居民影响较小</w:t>
                  </w:r>
                  <w:r>
                    <w:rPr>
                      <w:rFonts w:hint="eastAsia"/>
                      <w:kern w:val="0"/>
                      <w:szCs w:val="21"/>
                      <w:u w:val="single"/>
                    </w:rPr>
                    <w:t>。</w:t>
                  </w:r>
                  <w:r>
                    <w:rPr>
                      <w:rFonts w:hint="default"/>
                      <w:kern w:val="0"/>
                      <w:szCs w:val="21"/>
                      <w:u w:val="single"/>
                      <w:lang w:val="en-US" w:eastAsia="zh-CN"/>
                    </w:rPr>
                    <w:t>本项目已取得湘阴县项目联审联办工作领导小组联审意见（湘阴项目联审[2025]21号）并签订湘招商引资合同，项目周边50m范围内无敏感目标，采用低VOCs原料，从源头减少VOCs的产生，并在喷涂工序采取“密闭喷漆房/晾干房+微负压收集+吸附浓缩催化燃烧”的高效处理措施，且</w:t>
                  </w:r>
                  <w:r>
                    <w:rPr>
                      <w:kern w:val="0"/>
                      <w:szCs w:val="21"/>
                      <w:u w:val="single"/>
                    </w:rPr>
                    <w:t>项目评价范围不涉及状元塔、左太傅祠省级文物保护范围及建设控制地带的地块，不涉及湖南湘阴洋沙湖</w:t>
                  </w:r>
                  <w:r>
                    <w:rPr>
                      <w:rFonts w:hint="eastAsia"/>
                      <w:kern w:val="0"/>
                      <w:szCs w:val="21"/>
                      <w:u w:val="single"/>
                    </w:rPr>
                    <w:t>－</w:t>
                  </w:r>
                  <w:r>
                    <w:rPr>
                      <w:kern w:val="0"/>
                      <w:szCs w:val="21"/>
                      <w:u w:val="single"/>
                    </w:rPr>
                    <w:t>东湖国家湿地公园的地块，符合规划环评要求。</w:t>
                  </w:r>
                </w:p>
              </w:tc>
              <w:tc>
                <w:tcPr>
                  <w:tcW w:w="614"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vAlign w:val="center"/>
                </w:tcPr>
                <w:p>
                  <w:pPr>
                    <w:autoSpaceDE w:val="0"/>
                    <w:autoSpaceDN w:val="0"/>
                    <w:adjustRightInd w:val="0"/>
                    <w:snapToGrid w:val="0"/>
                    <w:rPr>
                      <w:kern w:val="0"/>
                      <w:szCs w:val="21"/>
                    </w:rPr>
                  </w:pPr>
                  <w:r>
                    <w:rPr>
                      <w:kern w:val="0"/>
                      <w:szCs w:val="21"/>
                    </w:rPr>
                    <w:t>严格环境准入，优化园区产业结构</w:t>
                  </w:r>
                </w:p>
              </w:tc>
              <w:tc>
                <w:tcPr>
                  <w:tcW w:w="1933" w:type="pct"/>
                  <w:tcBorders>
                    <w:tl2br w:val="nil"/>
                    <w:tr2bl w:val="nil"/>
                  </w:tcBorders>
                  <w:vAlign w:val="center"/>
                </w:tcPr>
                <w:p>
                  <w:pPr>
                    <w:autoSpaceDE w:val="0"/>
                    <w:autoSpaceDN w:val="0"/>
                    <w:adjustRightInd w:val="0"/>
                    <w:snapToGrid w:val="0"/>
                    <w:ind w:firstLine="420" w:firstLineChars="200"/>
                    <w:rPr>
                      <w:kern w:val="0"/>
                      <w:szCs w:val="21"/>
                    </w:rPr>
                  </w:pPr>
                  <w:r>
                    <w:rPr>
                      <w:kern w:val="0"/>
                      <w:szCs w:val="21"/>
                    </w:rPr>
                    <w:t>园区产业引进应严格遵循《</w:t>
                  </w:r>
                  <w:r>
                    <w:rPr>
                      <w:rFonts w:hint="eastAsia"/>
                      <w:kern w:val="0"/>
                      <w:szCs w:val="21"/>
                    </w:rPr>
                    <w:t>中华人民共和国长江保护法》《</w:t>
                  </w:r>
                  <w:r>
                    <w:rPr>
                      <w:kern w:val="0"/>
                      <w:szCs w:val="21"/>
                    </w:rPr>
                    <w:t>长江经济带发展负面清单</w:t>
                  </w:r>
                  <w:r>
                    <w:rPr>
                      <w:rFonts w:hint="eastAsia"/>
                      <w:kern w:val="0"/>
                      <w:szCs w:val="21"/>
                    </w:rPr>
                    <w:t>》《</w:t>
                  </w:r>
                  <w:r>
                    <w:rPr>
                      <w:kern w:val="0"/>
                      <w:szCs w:val="21"/>
                    </w:rPr>
                    <w:t>湘江保护条例</w:t>
                  </w:r>
                  <w:r>
                    <w:rPr>
                      <w:rFonts w:hint="eastAsia"/>
                      <w:kern w:val="0"/>
                      <w:szCs w:val="21"/>
                    </w:rPr>
                    <w:t>》《</w:t>
                  </w:r>
                  <w:r>
                    <w:rPr>
                      <w:kern w:val="0"/>
                      <w:szCs w:val="21"/>
                    </w:rPr>
                    <w:t>洞庭湖保护条例》等法律法规及相关政策的要求，落实园区“三线一单”环境准入要求，严格执行《报告书》提出的产业定位和生态环境准入清单。对于园区外已有企业或项目的搬迁入园应确保实现其清洁生产水平的提升与污染物排放总量的降低。临港片区严控以气型污染为主的企业入驻；金龙片区限制水型污染为主的企业入驻。</w:t>
                  </w:r>
                </w:p>
              </w:tc>
              <w:tc>
                <w:tcPr>
                  <w:tcW w:w="1676" w:type="pct"/>
                  <w:tcBorders>
                    <w:tl2br w:val="nil"/>
                    <w:tr2bl w:val="nil"/>
                  </w:tcBorders>
                  <w:vAlign w:val="center"/>
                </w:tcPr>
                <w:p>
                  <w:pPr>
                    <w:autoSpaceDE w:val="0"/>
                    <w:autoSpaceDN w:val="0"/>
                    <w:adjustRightInd w:val="0"/>
                    <w:snapToGrid w:val="0"/>
                    <w:ind w:firstLine="420" w:firstLineChars="200"/>
                    <w:rPr>
                      <w:kern w:val="0"/>
                      <w:szCs w:val="21"/>
                    </w:rPr>
                  </w:pPr>
                  <w:r>
                    <w:rPr>
                      <w:kern w:val="0"/>
                      <w:szCs w:val="21"/>
                    </w:rPr>
                    <w:t>本项目位于</w:t>
                  </w:r>
                  <w:r>
                    <w:rPr>
                      <w:rFonts w:hint="eastAsia"/>
                      <w:kern w:val="0"/>
                      <w:szCs w:val="21"/>
                    </w:rPr>
                    <w:t>湘阴县湘阴高新技术产业开发区洋沙湖片区</w:t>
                  </w:r>
                  <w:r>
                    <w:rPr>
                      <w:kern w:val="0"/>
                      <w:szCs w:val="21"/>
                    </w:rPr>
                    <w:t>，</w:t>
                  </w:r>
                  <w:r>
                    <w:rPr>
                      <w:rFonts w:hint="eastAsia"/>
                      <w:kern w:val="0"/>
                      <w:szCs w:val="21"/>
                    </w:rPr>
                    <w:t>本</w:t>
                  </w:r>
                  <w:r>
                    <w:rPr>
                      <w:kern w:val="0"/>
                      <w:szCs w:val="21"/>
                    </w:rPr>
                    <w:t>项目</w:t>
                  </w:r>
                  <w:r>
                    <w:rPr>
                      <w:rFonts w:hint="eastAsia"/>
                      <w:kern w:val="0"/>
                      <w:szCs w:val="21"/>
                    </w:rPr>
                    <w:t>主行业属于</w:t>
                  </w:r>
                  <w:r>
                    <w:rPr>
                      <w:kern w:val="0"/>
                      <w:szCs w:val="21"/>
                    </w:rPr>
                    <w:t>《国民经济行业分类》</w:t>
                  </w:r>
                  <w:r>
                    <w:rPr>
                      <w:rFonts w:hint="eastAsia"/>
                      <w:kern w:val="0"/>
                      <w:szCs w:val="21"/>
                    </w:rPr>
                    <w:t>（2019年修改版）的C2032 木门窗制造</w:t>
                  </w:r>
                  <w:r>
                    <w:rPr>
                      <w:kern w:val="0"/>
                      <w:szCs w:val="21"/>
                    </w:rPr>
                    <w:t>，与园区产业定位不冲突。本项目</w:t>
                  </w:r>
                  <w:r>
                    <w:rPr>
                      <w:rFonts w:hint="eastAsia"/>
                      <w:kern w:val="0"/>
                      <w:szCs w:val="21"/>
                    </w:rPr>
                    <w:t>已于2025年7月16日通过湘阴县联审会议，并取得湘阴县联审意见；</w:t>
                  </w:r>
                </w:p>
                <w:p>
                  <w:pPr>
                    <w:autoSpaceDE w:val="0"/>
                    <w:autoSpaceDN w:val="0"/>
                    <w:adjustRightInd w:val="0"/>
                    <w:snapToGrid w:val="0"/>
                    <w:rPr>
                      <w:kern w:val="0"/>
                      <w:szCs w:val="21"/>
                    </w:rPr>
                  </w:pPr>
                  <w:r>
                    <w:rPr>
                      <w:kern w:val="0"/>
                      <w:szCs w:val="21"/>
                    </w:rPr>
                    <w:t>项目符合《</w:t>
                  </w:r>
                  <w:r>
                    <w:rPr>
                      <w:rFonts w:hint="eastAsia"/>
                      <w:kern w:val="0"/>
                      <w:szCs w:val="21"/>
                    </w:rPr>
                    <w:t>中华人民共和国长江保护法</w:t>
                  </w:r>
                  <w:r>
                    <w:rPr>
                      <w:kern w:val="0"/>
                      <w:szCs w:val="21"/>
                    </w:rPr>
                    <w:t>》《长江经济带发展负面清单》《湘江保护条例》</w:t>
                  </w:r>
                  <w:r>
                    <w:rPr>
                      <w:rFonts w:hint="eastAsia"/>
                      <w:kern w:val="0"/>
                      <w:szCs w:val="21"/>
                    </w:rPr>
                    <w:t>《</w:t>
                  </w:r>
                  <w:r>
                    <w:rPr>
                      <w:kern w:val="0"/>
                      <w:szCs w:val="21"/>
                    </w:rPr>
                    <w:t>洞庭湖保护条例》等法律法规及相关政策的要求。项目不属于园区规划环评中负面清单产业。</w:t>
                  </w:r>
                </w:p>
              </w:tc>
              <w:tc>
                <w:tcPr>
                  <w:tcW w:w="614"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vAlign w:val="center"/>
                </w:tcPr>
                <w:p>
                  <w:pPr>
                    <w:autoSpaceDE w:val="0"/>
                    <w:autoSpaceDN w:val="0"/>
                    <w:adjustRightInd w:val="0"/>
                    <w:snapToGrid w:val="0"/>
                    <w:rPr>
                      <w:kern w:val="0"/>
                      <w:szCs w:val="21"/>
                    </w:rPr>
                  </w:pPr>
                  <w:r>
                    <w:rPr>
                      <w:kern w:val="0"/>
                      <w:szCs w:val="21"/>
                    </w:rPr>
                    <w:t>落实管控措施，加强园区排污管理</w:t>
                  </w:r>
                </w:p>
              </w:tc>
              <w:tc>
                <w:tcPr>
                  <w:tcW w:w="1933" w:type="pct"/>
                  <w:tcBorders>
                    <w:tl2br w:val="nil"/>
                    <w:tr2bl w:val="nil"/>
                  </w:tcBorders>
                  <w:vAlign w:val="center"/>
                </w:tcPr>
                <w:p>
                  <w:pPr>
                    <w:autoSpaceDE w:val="0"/>
                    <w:autoSpaceDN w:val="0"/>
                    <w:adjustRightInd w:val="0"/>
                    <w:snapToGrid w:val="0"/>
                    <w:ind w:firstLine="420" w:firstLineChars="200"/>
                    <w:rPr>
                      <w:kern w:val="0"/>
                      <w:szCs w:val="21"/>
                    </w:rPr>
                  </w:pPr>
                  <w:r>
                    <w:rPr>
                      <w:kern w:val="0"/>
                      <w:szCs w:val="21"/>
                    </w:rPr>
                    <w:t>完善污水管网建设，做好雨污分流，确保园区各片区生产</w:t>
                  </w:r>
                  <w:r>
                    <w:rPr>
                      <w:rFonts w:hint="eastAsia"/>
                      <w:kern w:val="0"/>
                      <w:szCs w:val="21"/>
                    </w:rPr>
                    <w:t>生活污水</w:t>
                  </w:r>
                  <w:r>
                    <w:rPr>
                      <w:kern w:val="0"/>
                      <w:szCs w:val="21"/>
                    </w:rPr>
                    <w:t>应收尽收，集中排入污水处理厂，园区不得超过污水处理厂的处理能力和入河排污口设置审批所规定的废水排放量引进项目。</w:t>
                  </w:r>
                  <w:r>
                    <w:rPr>
                      <w:rFonts w:hint="eastAsia"/>
                      <w:kern w:val="0"/>
                      <w:szCs w:val="21"/>
                    </w:rPr>
                    <w:t>洋沙湖</w:t>
                  </w:r>
                  <w:r>
                    <w:rPr>
                      <w:kern w:val="0"/>
                      <w:szCs w:val="21"/>
                    </w:rPr>
                    <w:t>片区应按承诺时限要求完成</w:t>
                  </w:r>
                  <w:r>
                    <w:rPr>
                      <w:rFonts w:hint="eastAsia"/>
                      <w:kern w:val="0"/>
                      <w:szCs w:val="21"/>
                    </w:rPr>
                    <w:t>湘阴县第二污水处理厂</w:t>
                  </w:r>
                  <w:r>
                    <w:rPr>
                      <w:kern w:val="0"/>
                      <w:szCs w:val="21"/>
                    </w:rPr>
                    <w:t>提标升级改造工作，其排放标准应按《湖南省城镇污水处理厂主要水污染物排放标准》（DB43/T 1546-2018）一级标准予以执行。园区应推广使用清洁能源，加强园区大气污染防治，采取有效措施减少污染物排放总量，严格控制无组织排放 ，加强对园区企业VOCs排放的治理。建立园区固废规范化管理体系，做好工业固体废物和生活垃圾的分类收集、转运、综合利用和无害化处理。对危险废物应严格按照国家有关规定综合利用或妥善处置，对危险废物产生企业和经营单位，应强化日常环境监管。园区企业须严格落实排污许可制度和污染物排放总量控制，推动入园企业开展清洁生产审核。</w:t>
                  </w:r>
                </w:p>
              </w:tc>
              <w:tc>
                <w:tcPr>
                  <w:tcW w:w="1676" w:type="pct"/>
                  <w:tcBorders>
                    <w:tl2br w:val="nil"/>
                    <w:tr2bl w:val="nil"/>
                  </w:tcBorders>
                  <w:vAlign w:val="center"/>
                </w:tcPr>
                <w:p>
                  <w:pPr>
                    <w:pStyle w:val="39"/>
                    <w:spacing w:line="240" w:lineRule="auto"/>
                    <w:ind w:firstLine="420"/>
                    <w:rPr>
                      <w:rFonts w:hint="default" w:eastAsia="宋体"/>
                      <w:color w:val="auto"/>
                      <w:kern w:val="0"/>
                      <w:sz w:val="21"/>
                      <w:szCs w:val="21"/>
                    </w:rPr>
                  </w:pPr>
                  <w:r>
                    <w:rPr>
                      <w:rFonts w:eastAsia="宋体"/>
                      <w:color w:val="auto"/>
                      <w:kern w:val="0"/>
                      <w:sz w:val="21"/>
                      <w:szCs w:val="21"/>
                    </w:rPr>
                    <w:t>本项目主要为生活污水，经化粪池处理后</w:t>
                  </w:r>
                  <w:r>
                    <w:rPr>
                      <w:rFonts w:hint="eastAsia" w:eastAsia="宋体"/>
                      <w:color w:val="auto"/>
                      <w:kern w:val="0"/>
                      <w:sz w:val="21"/>
                      <w:szCs w:val="21"/>
                      <w:lang w:eastAsia="zh-CN"/>
                    </w:rPr>
                    <w:t>（</w:t>
                  </w:r>
                  <w:r>
                    <w:rPr>
                      <w:rFonts w:hint="eastAsia" w:eastAsia="宋体"/>
                      <w:color w:val="auto"/>
                      <w:kern w:val="0"/>
                      <w:sz w:val="21"/>
                      <w:szCs w:val="21"/>
                      <w:lang w:val="en-US" w:eastAsia="zh-CN"/>
                    </w:rPr>
                    <w:t>食堂污水先经隔油池处理</w:t>
                  </w:r>
                  <w:r>
                    <w:rPr>
                      <w:rFonts w:hint="eastAsia" w:eastAsia="宋体"/>
                      <w:color w:val="auto"/>
                      <w:kern w:val="0"/>
                      <w:sz w:val="21"/>
                      <w:szCs w:val="21"/>
                      <w:lang w:eastAsia="zh-CN"/>
                    </w:rPr>
                    <w:t>）</w:t>
                  </w:r>
                  <w:r>
                    <w:rPr>
                      <w:rFonts w:hint="default" w:eastAsia="宋体"/>
                      <w:color w:val="auto"/>
                      <w:kern w:val="0"/>
                      <w:sz w:val="21"/>
                      <w:szCs w:val="21"/>
                    </w:rPr>
                    <w:t>进入</w:t>
                  </w:r>
                  <w:r>
                    <w:rPr>
                      <w:rFonts w:eastAsia="宋体"/>
                      <w:color w:val="auto"/>
                      <w:kern w:val="0"/>
                      <w:sz w:val="21"/>
                      <w:szCs w:val="21"/>
                    </w:rPr>
                    <w:t>湘阴县第二污水处理厂深度处理</w:t>
                  </w:r>
                  <w:r>
                    <w:rPr>
                      <w:rFonts w:hint="default" w:eastAsia="宋体"/>
                      <w:color w:val="auto"/>
                      <w:kern w:val="0"/>
                      <w:sz w:val="21"/>
                      <w:szCs w:val="21"/>
                    </w:rPr>
                    <w:t>；</w:t>
                  </w:r>
                  <w:r>
                    <w:rPr>
                      <w:rFonts w:eastAsia="宋体"/>
                      <w:color w:val="auto"/>
                      <w:kern w:val="0"/>
                      <w:sz w:val="21"/>
                      <w:szCs w:val="21"/>
                    </w:rPr>
                    <w:t>项目产生颗粒物废气采用集气罩收集+布袋除尘+15m高排气筒高空排放；针对VOCs废气，项目从源头替代，大量使用水性粘胶剂和水性油漆，喷漆晾干等产生VOCs的工序采用密闭喷漆房和密闭晾干房，有机废气采用微负压收集+旋转式分子筛吸附+脱附+RCO催化燃烧技术，减少VOCs的</w:t>
                  </w:r>
                  <w:r>
                    <w:rPr>
                      <w:rFonts w:hint="eastAsia" w:eastAsia="宋体"/>
                      <w:color w:val="auto"/>
                      <w:kern w:val="0"/>
                      <w:sz w:val="21"/>
                      <w:szCs w:val="21"/>
                      <w:lang w:eastAsia="zh-CN"/>
                    </w:rPr>
                    <w:t>排放</w:t>
                  </w:r>
                  <w:r>
                    <w:rPr>
                      <w:rFonts w:eastAsia="宋体"/>
                      <w:color w:val="auto"/>
                      <w:kern w:val="0"/>
                      <w:sz w:val="21"/>
                      <w:szCs w:val="21"/>
                    </w:rPr>
                    <w:t>。</w:t>
                  </w:r>
                </w:p>
                <w:p>
                  <w:pPr>
                    <w:pStyle w:val="39"/>
                    <w:spacing w:line="240" w:lineRule="auto"/>
                    <w:ind w:firstLine="420"/>
                    <w:rPr>
                      <w:rFonts w:hint="default" w:eastAsia="宋体"/>
                      <w:bCs/>
                      <w:color w:val="auto"/>
                      <w:kern w:val="0"/>
                      <w:sz w:val="21"/>
                      <w:szCs w:val="21"/>
                    </w:rPr>
                  </w:pPr>
                  <w:r>
                    <w:rPr>
                      <w:rFonts w:hint="default" w:eastAsia="宋体"/>
                      <w:color w:val="auto"/>
                      <w:kern w:val="0"/>
                      <w:sz w:val="21"/>
                      <w:szCs w:val="21"/>
                    </w:rPr>
                    <w:t>本项</w:t>
                  </w:r>
                  <w:r>
                    <w:rPr>
                      <w:rFonts w:hint="default" w:eastAsia="宋体"/>
                      <w:bCs/>
                      <w:color w:val="auto"/>
                      <w:kern w:val="0"/>
                      <w:sz w:val="21"/>
                      <w:szCs w:val="21"/>
                    </w:rPr>
                    <w:t>目一般固废暂存一般固废间后交物资回收单位处理</w:t>
                  </w:r>
                  <w:r>
                    <w:rPr>
                      <w:rFonts w:eastAsia="宋体"/>
                      <w:bCs/>
                      <w:color w:val="auto"/>
                      <w:kern w:val="0"/>
                      <w:sz w:val="21"/>
                      <w:szCs w:val="21"/>
                    </w:rPr>
                    <w:t>；危险废物暂存于危废间，定期委托有资质单位回收。</w:t>
                  </w:r>
                  <w:r>
                    <w:rPr>
                      <w:rFonts w:hint="default" w:eastAsia="宋体"/>
                      <w:bCs/>
                      <w:color w:val="auto"/>
                      <w:kern w:val="0"/>
                      <w:sz w:val="21"/>
                      <w:szCs w:val="21"/>
                    </w:rPr>
                    <w:t xml:space="preserve"> </w:t>
                  </w:r>
                </w:p>
                <w:p>
                  <w:pPr>
                    <w:pStyle w:val="39"/>
                    <w:spacing w:line="240" w:lineRule="auto"/>
                    <w:ind w:firstLine="0" w:firstLineChars="0"/>
                    <w:rPr>
                      <w:rFonts w:hint="default" w:eastAsia="宋体"/>
                      <w:color w:val="auto"/>
                      <w:kern w:val="0"/>
                      <w:sz w:val="21"/>
                      <w:szCs w:val="21"/>
                    </w:rPr>
                  </w:pPr>
                  <w:r>
                    <w:rPr>
                      <w:rFonts w:hint="default" w:eastAsia="宋体"/>
                      <w:bCs/>
                      <w:color w:val="auto"/>
                      <w:kern w:val="0"/>
                      <w:sz w:val="21"/>
                      <w:szCs w:val="21"/>
                    </w:rPr>
                    <w:t>本项目所用能源主要为电能</w:t>
                  </w:r>
                  <w:r>
                    <w:rPr>
                      <w:rFonts w:hint="default" w:eastAsia="宋体"/>
                      <w:color w:val="auto"/>
                      <w:kern w:val="0"/>
                      <w:sz w:val="21"/>
                      <w:szCs w:val="21"/>
                    </w:rPr>
                    <w:t>。</w:t>
                  </w:r>
                </w:p>
                <w:p>
                  <w:pPr>
                    <w:pStyle w:val="39"/>
                    <w:spacing w:line="240" w:lineRule="auto"/>
                    <w:ind w:firstLine="420"/>
                    <w:rPr>
                      <w:rFonts w:hint="default" w:eastAsia="宋体"/>
                      <w:color w:val="auto"/>
                      <w:kern w:val="0"/>
                      <w:sz w:val="21"/>
                      <w:szCs w:val="21"/>
                    </w:rPr>
                  </w:pPr>
                  <w:r>
                    <w:rPr>
                      <w:rFonts w:hint="default" w:eastAsia="宋体"/>
                      <w:bCs/>
                      <w:color w:val="auto"/>
                      <w:kern w:val="0"/>
                      <w:sz w:val="21"/>
                      <w:szCs w:val="21"/>
                    </w:rPr>
                    <w:t>本项目建成后会严格落实排污许可制度和污染物排放总量控制。</w:t>
                  </w:r>
                </w:p>
              </w:tc>
              <w:tc>
                <w:tcPr>
                  <w:tcW w:w="614"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vAlign w:val="center"/>
                </w:tcPr>
                <w:p>
                  <w:pPr>
                    <w:autoSpaceDE w:val="0"/>
                    <w:autoSpaceDN w:val="0"/>
                    <w:adjustRightInd w:val="0"/>
                    <w:snapToGrid w:val="0"/>
                    <w:rPr>
                      <w:kern w:val="0"/>
                      <w:szCs w:val="21"/>
                    </w:rPr>
                  </w:pPr>
                  <w:r>
                    <w:rPr>
                      <w:kern w:val="0"/>
                      <w:szCs w:val="21"/>
                    </w:rPr>
                    <w:t>完善监测体系，监控环境质量变化状况</w:t>
                  </w:r>
                </w:p>
              </w:tc>
              <w:tc>
                <w:tcPr>
                  <w:tcW w:w="1933" w:type="pct"/>
                  <w:tcBorders>
                    <w:tl2br w:val="nil"/>
                    <w:tr2bl w:val="nil"/>
                  </w:tcBorders>
                  <w:vAlign w:val="center"/>
                </w:tcPr>
                <w:p>
                  <w:pPr>
                    <w:autoSpaceDE w:val="0"/>
                    <w:autoSpaceDN w:val="0"/>
                    <w:adjustRightInd w:val="0"/>
                    <w:snapToGrid w:val="0"/>
                    <w:ind w:firstLine="420" w:firstLineChars="200"/>
                    <w:rPr>
                      <w:kern w:val="0"/>
                      <w:szCs w:val="21"/>
                    </w:rPr>
                  </w:pPr>
                  <w:r>
                    <w:rPr>
                      <w:kern w:val="0"/>
                      <w:szCs w:val="21"/>
                    </w:rPr>
                    <w:t>结合园区规划的功能分区、产业布局、重点企业分布、特征污染物的排放种类和状况、环境敏感目标分布等，建立健全环境空气、地表水、地下水、土壤等环境要素的监控体系。合理布局大气小微站，并涵盖相关特征污染物监测。</w:t>
                  </w:r>
                </w:p>
              </w:tc>
              <w:tc>
                <w:tcPr>
                  <w:tcW w:w="1676" w:type="pct"/>
                  <w:tcBorders>
                    <w:tl2br w:val="nil"/>
                    <w:tr2bl w:val="nil"/>
                  </w:tcBorders>
                  <w:vAlign w:val="center"/>
                </w:tcPr>
                <w:p>
                  <w:pPr>
                    <w:autoSpaceDE w:val="0"/>
                    <w:autoSpaceDN w:val="0"/>
                    <w:adjustRightInd w:val="0"/>
                    <w:snapToGrid w:val="0"/>
                    <w:ind w:firstLine="420" w:firstLineChars="200"/>
                    <w:rPr>
                      <w:kern w:val="0"/>
                      <w:szCs w:val="21"/>
                    </w:rPr>
                  </w:pPr>
                  <w:r>
                    <w:rPr>
                      <w:kern w:val="0"/>
                      <w:szCs w:val="21"/>
                    </w:rPr>
                    <w:t>本项目会按相关规定</w:t>
                  </w:r>
                  <w:r>
                    <w:rPr>
                      <w:rFonts w:hint="eastAsia"/>
                      <w:kern w:val="0"/>
                      <w:szCs w:val="21"/>
                    </w:rPr>
                    <w:t>制定监测计划，并按时监测</w:t>
                  </w:r>
                  <w:r>
                    <w:rPr>
                      <w:kern w:val="0"/>
                      <w:szCs w:val="21"/>
                    </w:rPr>
                    <w:t>。</w:t>
                  </w:r>
                </w:p>
              </w:tc>
              <w:tc>
                <w:tcPr>
                  <w:tcW w:w="614"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vAlign w:val="center"/>
                </w:tcPr>
                <w:p>
                  <w:pPr>
                    <w:autoSpaceDE w:val="0"/>
                    <w:autoSpaceDN w:val="0"/>
                    <w:adjustRightInd w:val="0"/>
                    <w:snapToGrid w:val="0"/>
                    <w:rPr>
                      <w:kern w:val="0"/>
                      <w:szCs w:val="21"/>
                    </w:rPr>
                  </w:pPr>
                  <w:r>
                    <w:rPr>
                      <w:kern w:val="0"/>
                      <w:szCs w:val="21"/>
                    </w:rPr>
                    <w:t>强化风险管控，严防园区环境事故</w:t>
                  </w:r>
                </w:p>
              </w:tc>
              <w:tc>
                <w:tcPr>
                  <w:tcW w:w="1933" w:type="pct"/>
                  <w:tcBorders>
                    <w:tl2br w:val="nil"/>
                    <w:tr2bl w:val="nil"/>
                  </w:tcBorders>
                  <w:vAlign w:val="center"/>
                </w:tcPr>
                <w:p>
                  <w:pPr>
                    <w:autoSpaceDE w:val="0"/>
                    <w:autoSpaceDN w:val="0"/>
                    <w:adjustRightInd w:val="0"/>
                    <w:snapToGrid w:val="0"/>
                    <w:ind w:firstLine="420" w:firstLineChars="200"/>
                    <w:rPr>
                      <w:kern w:val="0"/>
                      <w:szCs w:val="21"/>
                    </w:rPr>
                  </w:pPr>
                  <w:r>
                    <w:rPr>
                      <w:kern w:val="0"/>
                      <w:szCs w:val="21"/>
                    </w:rPr>
                    <w:t>建立健全园区环境风险管理长效机制，开发区管理机构应建立环境监督管理机构；落实环境风险防控措施，及时完成园区环境应急预案的修订和备案工作及推动重点污染企业环境应急预案编制和备案工作，加强应急救援队伍、装备和设施建设，储备必要的应急物资，有计划地组织应急培训和演练，全面提升园区风险防控和事故应急处置能力。</w:t>
                  </w:r>
                </w:p>
              </w:tc>
              <w:tc>
                <w:tcPr>
                  <w:tcW w:w="1676" w:type="pct"/>
                  <w:tcBorders>
                    <w:tl2br w:val="nil"/>
                    <w:tr2bl w:val="nil"/>
                  </w:tcBorders>
                  <w:vAlign w:val="center"/>
                </w:tcPr>
                <w:p>
                  <w:pPr>
                    <w:autoSpaceDE w:val="0"/>
                    <w:autoSpaceDN w:val="0"/>
                    <w:adjustRightInd w:val="0"/>
                    <w:snapToGrid w:val="0"/>
                    <w:ind w:firstLine="420" w:firstLineChars="200"/>
                    <w:rPr>
                      <w:kern w:val="0"/>
                      <w:szCs w:val="21"/>
                    </w:rPr>
                  </w:pPr>
                  <w:r>
                    <w:rPr>
                      <w:kern w:val="0"/>
                      <w:szCs w:val="21"/>
                    </w:rPr>
                    <w:t>本次</w:t>
                  </w:r>
                  <w:r>
                    <w:rPr>
                      <w:rFonts w:hint="eastAsia"/>
                      <w:kern w:val="0"/>
                      <w:szCs w:val="21"/>
                    </w:rPr>
                    <w:t>评价</w:t>
                  </w:r>
                  <w:r>
                    <w:rPr>
                      <w:kern w:val="0"/>
                      <w:szCs w:val="21"/>
                    </w:rPr>
                    <w:t>建议建设单位按照</w:t>
                  </w:r>
                  <w:r>
                    <w:rPr>
                      <w:rFonts w:hint="eastAsia"/>
                      <w:kern w:val="0"/>
                      <w:szCs w:val="21"/>
                    </w:rPr>
                    <w:t>《湖南省突发环境事件应急预案管理办法（修订版）》（湘环发〔2024〕49号）</w:t>
                  </w:r>
                  <w:r>
                    <w:rPr>
                      <w:kern w:val="0"/>
                      <w:szCs w:val="21"/>
                    </w:rPr>
                    <w:t>要求编制突发环境事件应急预案。</w:t>
                  </w:r>
                </w:p>
              </w:tc>
              <w:tc>
                <w:tcPr>
                  <w:tcW w:w="614"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vAlign w:val="center"/>
                </w:tcPr>
                <w:p>
                  <w:pPr>
                    <w:autoSpaceDE w:val="0"/>
                    <w:autoSpaceDN w:val="0"/>
                    <w:adjustRightInd w:val="0"/>
                    <w:snapToGrid w:val="0"/>
                    <w:rPr>
                      <w:kern w:val="0"/>
                      <w:szCs w:val="21"/>
                    </w:rPr>
                  </w:pPr>
                  <w:r>
                    <w:rPr>
                      <w:kern w:val="0"/>
                      <w:szCs w:val="21"/>
                    </w:rPr>
                    <w:t>做好周边控规，落实拆迁安置计划</w:t>
                  </w:r>
                </w:p>
              </w:tc>
              <w:tc>
                <w:tcPr>
                  <w:tcW w:w="1933" w:type="pct"/>
                  <w:tcBorders>
                    <w:tl2br w:val="nil"/>
                    <w:tr2bl w:val="nil"/>
                  </w:tcBorders>
                  <w:vAlign w:val="center"/>
                </w:tcPr>
                <w:p>
                  <w:pPr>
                    <w:autoSpaceDE w:val="0"/>
                    <w:autoSpaceDN w:val="0"/>
                    <w:adjustRightInd w:val="0"/>
                    <w:snapToGrid w:val="0"/>
                    <w:ind w:firstLine="420" w:firstLineChars="200"/>
                    <w:rPr>
                      <w:kern w:val="0"/>
                      <w:szCs w:val="21"/>
                    </w:rPr>
                  </w:pPr>
                  <w:r>
                    <w:rPr>
                      <w:kern w:val="0"/>
                      <w:szCs w:val="21"/>
                    </w:rPr>
                    <w:t>严格做好控规，杜绝在规划的工业用地上新增环境敏感目标，确保园区开发过程中的居民拆迁安置到位，防止发生居民再次安置和次生环境问题。对于具体项目环评设置防护距离和拆迁要求的，要确保予以落实。</w:t>
                  </w:r>
                </w:p>
              </w:tc>
              <w:tc>
                <w:tcPr>
                  <w:tcW w:w="1676" w:type="pct"/>
                  <w:tcBorders>
                    <w:tl2br w:val="nil"/>
                    <w:tr2bl w:val="nil"/>
                  </w:tcBorders>
                  <w:vAlign w:val="center"/>
                </w:tcPr>
                <w:p>
                  <w:pPr>
                    <w:autoSpaceDE w:val="0"/>
                    <w:autoSpaceDN w:val="0"/>
                    <w:adjustRightInd w:val="0"/>
                    <w:snapToGrid w:val="0"/>
                    <w:ind w:firstLine="420" w:firstLineChars="200"/>
                    <w:rPr>
                      <w:kern w:val="0"/>
                      <w:szCs w:val="21"/>
                    </w:rPr>
                  </w:pPr>
                  <w:r>
                    <w:rPr>
                      <w:kern w:val="0"/>
                      <w:szCs w:val="21"/>
                    </w:rPr>
                    <w:t>本</w:t>
                  </w:r>
                  <w:r>
                    <w:rPr>
                      <w:rFonts w:hint="eastAsia"/>
                      <w:kern w:val="0"/>
                      <w:szCs w:val="21"/>
                    </w:rPr>
                    <w:t>项目购买土地，自建厂房，园区已实现“三通一平”，</w:t>
                  </w:r>
                  <w:r>
                    <w:rPr>
                      <w:kern w:val="0"/>
                      <w:szCs w:val="21"/>
                    </w:rPr>
                    <w:t>不涉及居民拆迁，符合要求。</w:t>
                  </w:r>
                </w:p>
              </w:tc>
              <w:tc>
                <w:tcPr>
                  <w:tcW w:w="614"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vAlign w:val="center"/>
                </w:tcPr>
                <w:p>
                  <w:pPr>
                    <w:autoSpaceDE w:val="0"/>
                    <w:autoSpaceDN w:val="0"/>
                    <w:adjustRightInd w:val="0"/>
                    <w:snapToGrid w:val="0"/>
                    <w:rPr>
                      <w:kern w:val="0"/>
                      <w:szCs w:val="21"/>
                    </w:rPr>
                  </w:pPr>
                  <w:r>
                    <w:rPr>
                      <w:kern w:val="0"/>
                      <w:szCs w:val="21"/>
                    </w:rPr>
                    <w:t>做好园区建设期生态保护和水土保持工作</w:t>
                  </w:r>
                </w:p>
              </w:tc>
              <w:tc>
                <w:tcPr>
                  <w:tcW w:w="1933" w:type="pct"/>
                  <w:tcBorders>
                    <w:tl2br w:val="nil"/>
                    <w:tr2bl w:val="nil"/>
                  </w:tcBorders>
                  <w:vAlign w:val="center"/>
                </w:tcPr>
                <w:p>
                  <w:pPr>
                    <w:autoSpaceDE w:val="0"/>
                    <w:autoSpaceDN w:val="0"/>
                    <w:adjustRightInd w:val="0"/>
                    <w:snapToGrid w:val="0"/>
                    <w:rPr>
                      <w:kern w:val="0"/>
                      <w:szCs w:val="21"/>
                    </w:rPr>
                  </w:pPr>
                  <w:r>
                    <w:rPr>
                      <w:kern w:val="0"/>
                      <w:szCs w:val="21"/>
                    </w:rPr>
                    <w:t>施工期对土石方开挖、堆存及回填要实施围挡、护坡等措施，裸露地及时恢复植被，防治水土流失，杜绝后续施工建设对地表水体的污染。</w:t>
                  </w:r>
                </w:p>
              </w:tc>
              <w:tc>
                <w:tcPr>
                  <w:tcW w:w="1676" w:type="pct"/>
                  <w:tcBorders>
                    <w:tl2br w:val="nil"/>
                    <w:tr2bl w:val="nil"/>
                  </w:tcBorders>
                  <w:vAlign w:val="center"/>
                </w:tcPr>
                <w:p>
                  <w:pPr>
                    <w:autoSpaceDE w:val="0"/>
                    <w:autoSpaceDN w:val="0"/>
                    <w:adjustRightInd w:val="0"/>
                    <w:snapToGrid w:val="0"/>
                    <w:rPr>
                      <w:kern w:val="0"/>
                      <w:szCs w:val="21"/>
                    </w:rPr>
                  </w:pPr>
                  <w:r>
                    <w:rPr>
                      <w:szCs w:val="21"/>
                    </w:rPr>
                    <w:t>本</w:t>
                  </w:r>
                  <w:r>
                    <w:rPr>
                      <w:rFonts w:hint="eastAsia"/>
                      <w:szCs w:val="21"/>
                    </w:rPr>
                    <w:t>项目所在地已实现三通一平，土石方开挖、堆存、回填等实施围挡、护坡等措施，厂区及时做好绿化，防止水土流失。</w:t>
                  </w:r>
                </w:p>
              </w:tc>
              <w:tc>
                <w:tcPr>
                  <w:tcW w:w="614"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bl>
          <w:p>
            <w:pPr>
              <w:autoSpaceDE w:val="0"/>
              <w:autoSpaceDN w:val="0"/>
              <w:adjustRightInd w:val="0"/>
              <w:snapToGrid w:val="0"/>
              <w:spacing w:line="360" w:lineRule="auto"/>
              <w:ind w:firstLine="480" w:firstLineChars="200"/>
              <w:jc w:val="left"/>
              <w:rPr>
                <w:color w:val="0000FF"/>
                <w:kern w:val="0"/>
                <w:sz w:val="24"/>
              </w:rPr>
            </w:pPr>
            <w:r>
              <w:rPr>
                <w:rFonts w:hint="eastAsia"/>
                <w:kern w:val="0"/>
                <w:sz w:val="24"/>
              </w:rPr>
              <w:t>综上，本项目与《湘阴高新技术产业开发区调区扩区规划环境影响报告书审查意见的函》相符。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Align w:val="center"/>
          </w:tcPr>
          <w:p>
            <w:pPr>
              <w:autoSpaceDE w:val="0"/>
              <w:autoSpaceDN w:val="0"/>
              <w:adjustRightInd w:val="0"/>
              <w:snapToGrid w:val="0"/>
              <w:jc w:val="center"/>
              <w:rPr>
                <w:color w:val="0000FF"/>
                <w:kern w:val="0"/>
                <w:sz w:val="24"/>
              </w:rPr>
            </w:pPr>
            <w:r>
              <w:rPr>
                <w:kern w:val="0"/>
                <w:sz w:val="24"/>
              </w:rPr>
              <w:t>其他符合性分析</w:t>
            </w:r>
          </w:p>
        </w:tc>
        <w:tc>
          <w:tcPr>
            <w:tcW w:w="7726" w:type="dxa"/>
            <w:gridSpan w:val="3"/>
            <w:vAlign w:val="center"/>
          </w:tcPr>
          <w:p>
            <w:pPr>
              <w:autoSpaceDE w:val="0"/>
              <w:autoSpaceDN w:val="0"/>
              <w:spacing w:line="360" w:lineRule="auto"/>
              <w:jc w:val="left"/>
              <w:rPr>
                <w:b/>
                <w:bCs/>
                <w:sz w:val="24"/>
              </w:rPr>
            </w:pPr>
            <w:r>
              <w:rPr>
                <w:b/>
                <w:bCs/>
                <w:sz w:val="24"/>
              </w:rPr>
              <w:t>1、产业政策相符性分析</w:t>
            </w:r>
          </w:p>
          <w:p>
            <w:pPr>
              <w:autoSpaceDE w:val="0"/>
              <w:autoSpaceDN w:val="0"/>
              <w:spacing w:line="360" w:lineRule="auto"/>
              <w:ind w:firstLine="480" w:firstLineChars="200"/>
              <w:jc w:val="left"/>
              <w:rPr>
                <w:kern w:val="0"/>
                <w:sz w:val="24"/>
              </w:rPr>
            </w:pPr>
            <w:r>
              <w:rPr>
                <w:kern w:val="0"/>
                <w:sz w:val="24"/>
              </w:rPr>
              <w:t>本</w:t>
            </w:r>
            <w:r>
              <w:rPr>
                <w:rFonts w:hint="eastAsia"/>
                <w:kern w:val="0"/>
                <w:sz w:val="24"/>
              </w:rPr>
              <w:t>次扩建</w:t>
            </w:r>
            <w:r>
              <w:rPr>
                <w:kern w:val="0"/>
                <w:sz w:val="24"/>
              </w:rPr>
              <w:t>属于</w:t>
            </w:r>
            <w:r>
              <w:rPr>
                <w:rFonts w:hint="eastAsia"/>
                <w:kern w:val="0"/>
                <w:sz w:val="24"/>
              </w:rPr>
              <w:t>《国民经济行业分类》(2019年修改版)中的“C2032 木门窗制造”</w:t>
            </w:r>
            <w:r>
              <w:rPr>
                <w:kern w:val="0"/>
                <w:sz w:val="24"/>
              </w:rPr>
              <w:t>，根据《产业结构调整指导目录（20</w:t>
            </w:r>
            <w:r>
              <w:rPr>
                <w:rFonts w:hint="eastAsia"/>
                <w:kern w:val="0"/>
                <w:sz w:val="24"/>
              </w:rPr>
              <w:t>24</w:t>
            </w:r>
            <w:r>
              <w:rPr>
                <w:kern w:val="0"/>
                <w:sz w:val="24"/>
              </w:rPr>
              <w:t>年本）》，不属于限制类和淘汰类，为允许类建设项目，</w:t>
            </w:r>
            <w:r>
              <w:rPr>
                <w:rFonts w:hint="eastAsia"/>
                <w:kern w:val="0"/>
                <w:sz w:val="24"/>
              </w:rPr>
              <w:t>因此，本</w:t>
            </w:r>
            <w:r>
              <w:rPr>
                <w:kern w:val="0"/>
                <w:sz w:val="24"/>
              </w:rPr>
              <w:t>项目符合国家产业政策要求</w:t>
            </w:r>
            <w:r>
              <w:rPr>
                <w:rFonts w:hint="eastAsia"/>
                <w:kern w:val="0"/>
                <w:sz w:val="24"/>
              </w:rPr>
              <w:t>。</w:t>
            </w:r>
          </w:p>
          <w:p>
            <w:pPr>
              <w:autoSpaceDE w:val="0"/>
              <w:autoSpaceDN w:val="0"/>
              <w:spacing w:line="360" w:lineRule="auto"/>
              <w:ind w:firstLine="480" w:firstLineChars="200"/>
              <w:jc w:val="left"/>
              <w:rPr>
                <w:kern w:val="0"/>
                <w:sz w:val="24"/>
              </w:rPr>
            </w:pPr>
            <w:r>
              <w:rPr>
                <w:rFonts w:hint="eastAsia"/>
                <w:kern w:val="0"/>
                <w:sz w:val="24"/>
              </w:rPr>
              <w:t>不属于《市场准入负面清单（2025年版）》（发改体改规〔2022〕397号）所列的禁止准入及需许可准入事项，符合国家有关法律法规和政策规定。</w:t>
            </w:r>
          </w:p>
          <w:p>
            <w:pPr>
              <w:autoSpaceDE w:val="0"/>
              <w:autoSpaceDN w:val="0"/>
              <w:spacing w:line="360" w:lineRule="auto"/>
              <w:jc w:val="left"/>
              <w:rPr>
                <w:b/>
                <w:bCs/>
                <w:sz w:val="24"/>
              </w:rPr>
            </w:pPr>
            <w:r>
              <w:rPr>
                <w:rFonts w:hint="eastAsia"/>
                <w:b/>
                <w:bCs/>
                <w:sz w:val="24"/>
              </w:rPr>
              <w:t>2、选址合理性分析</w:t>
            </w:r>
          </w:p>
          <w:p>
            <w:pPr>
              <w:autoSpaceDE w:val="0"/>
              <w:autoSpaceDN w:val="0"/>
              <w:spacing w:line="360" w:lineRule="auto"/>
              <w:ind w:firstLine="480" w:firstLineChars="200"/>
              <w:jc w:val="left"/>
              <w:rPr>
                <w:sz w:val="24"/>
                <w:u w:val="single"/>
              </w:rPr>
            </w:pPr>
            <w:r>
              <w:rPr>
                <w:rFonts w:hint="eastAsia"/>
                <w:sz w:val="24"/>
                <w:u w:val="single"/>
              </w:rPr>
              <w:t>本项目位于湘阴县湘阴高新技术产业开发区洋沙湖片区芙蓉北路西侧、顺天大</w:t>
            </w:r>
            <w:r>
              <w:rPr>
                <w:rFonts w:hint="eastAsia"/>
                <w:kern w:val="0"/>
                <w:sz w:val="24"/>
                <w:u w:val="single"/>
              </w:rPr>
              <w:t>道南侧地块。根据规划，项目用地为工业用地。同时根据洋沙湖片区的产业定位：本项目主行业为C2032 木门窗制造，不属于环境</w:t>
            </w:r>
            <w:r>
              <w:rPr>
                <w:rFonts w:hint="eastAsia"/>
                <w:sz w:val="24"/>
                <w:u w:val="single"/>
              </w:rPr>
              <w:t>准入清单负面行业，与</w:t>
            </w:r>
            <w:r>
              <w:rPr>
                <w:rFonts w:hint="eastAsia"/>
                <w:kern w:val="0"/>
                <w:sz w:val="24"/>
                <w:u w:val="single"/>
              </w:rPr>
              <w:t>洋沙湖片区</w:t>
            </w:r>
            <w:r>
              <w:rPr>
                <w:rFonts w:hint="eastAsia"/>
                <w:sz w:val="24"/>
                <w:u w:val="single"/>
              </w:rPr>
              <w:t>分区定位不冲突。本项目所在地不属于自然保护区、风景名胜区、森林公园、饮用水水源保护区、重要湖泊周边、文物古迹所在地、地质遗迹保护区、基本农田保护区等区域。</w:t>
            </w:r>
          </w:p>
          <w:p>
            <w:pPr>
              <w:autoSpaceDE w:val="0"/>
              <w:autoSpaceDN w:val="0"/>
              <w:spacing w:line="360" w:lineRule="auto"/>
              <w:ind w:firstLine="480" w:firstLineChars="200"/>
              <w:jc w:val="left"/>
              <w:rPr>
                <w:sz w:val="24"/>
                <w:u w:val="single"/>
              </w:rPr>
            </w:pPr>
            <w:r>
              <w:rPr>
                <w:rFonts w:hint="eastAsia"/>
                <w:sz w:val="24"/>
                <w:u w:val="single"/>
              </w:rPr>
              <w:t>依据现场调</w:t>
            </w:r>
            <w:r>
              <w:rPr>
                <w:rFonts w:hint="eastAsia" w:ascii="Times New Roman" w:hAnsi="Times New Roman" w:eastAsia="宋体" w:cs="Times New Roman"/>
                <w:sz w:val="24"/>
                <w:u w:val="single"/>
              </w:rPr>
              <w:t>查，本项目周边均为工业用地。</w:t>
            </w:r>
            <w:r>
              <w:rPr>
                <w:rFonts w:hint="eastAsia" w:ascii="Times New Roman" w:hAnsi="Times New Roman" w:eastAsia="宋体" w:cs="Times New Roman"/>
                <w:sz w:val="24"/>
                <w:u w:val="single"/>
                <w:lang w:val="en-US" w:eastAsia="zh-CN"/>
              </w:rPr>
              <w:t>项目使用水基胶从源头减少有机废气的排放，喷漆和晾干的有机废气采用“密闭喷漆房+微负压收集+</w:t>
            </w:r>
            <w:r>
              <w:rPr>
                <w:rFonts w:hint="eastAsia" w:ascii="Times New Roman" w:hAnsi="Times New Roman" w:eastAsia="宋体" w:cs="Times New Roman"/>
                <w:sz w:val="24"/>
                <w:u w:val="single"/>
              </w:rPr>
              <w:t>旋转式分子筛吸附+脱附-RCO催化燃烧</w:t>
            </w:r>
            <w:r>
              <w:rPr>
                <w:rFonts w:hint="eastAsia" w:ascii="Times New Roman" w:hAnsi="Times New Roman" w:eastAsia="宋体" w:cs="Times New Roman"/>
                <w:sz w:val="24"/>
                <w:u w:val="single"/>
                <w:lang w:val="en-US" w:eastAsia="zh-CN"/>
              </w:rPr>
              <w:t>”先进处理技术，从末端治理减少有机废气的排放。经过分析论证项目排放的有机废气能够达到国家和地方要求的排放标准，计算分析VOCs的排放量能够少于招商引资文件中限制的排放量，对周边环境影响较小。项目无生产废水外排，生活污水</w:t>
            </w:r>
            <w:r>
              <w:rPr>
                <w:rFonts w:hint="eastAsia"/>
                <w:sz w:val="24"/>
                <w:u w:val="single"/>
              </w:rPr>
              <w:t>均纳管排入湘阴县第二污水处理厂，固废妥善处置，噪声满足《工业企业厂界环境噪声排放标准》（GB12348-2008）3类标准要求。。</w:t>
            </w:r>
          </w:p>
          <w:p>
            <w:pPr>
              <w:autoSpaceDE w:val="0"/>
              <w:autoSpaceDN w:val="0"/>
              <w:spacing w:line="360" w:lineRule="auto"/>
              <w:ind w:firstLine="480" w:firstLineChars="200"/>
              <w:jc w:val="left"/>
              <w:rPr>
                <w:sz w:val="24"/>
                <w:u w:val="single"/>
              </w:rPr>
            </w:pPr>
            <w:r>
              <w:rPr>
                <w:sz w:val="24"/>
                <w:u w:val="single"/>
              </w:rPr>
              <w:t>因此，该</w:t>
            </w:r>
            <w:r>
              <w:rPr>
                <w:rFonts w:hint="eastAsia"/>
                <w:sz w:val="24"/>
                <w:u w:val="single"/>
              </w:rPr>
              <w:t>项目</w:t>
            </w:r>
            <w:r>
              <w:rPr>
                <w:sz w:val="24"/>
                <w:u w:val="single"/>
              </w:rPr>
              <w:t>从选址角度而言是</w:t>
            </w:r>
            <w:r>
              <w:rPr>
                <w:rFonts w:hint="eastAsia"/>
                <w:sz w:val="24"/>
                <w:u w:val="single"/>
              </w:rPr>
              <w:t>可行</w:t>
            </w:r>
            <w:r>
              <w:rPr>
                <w:sz w:val="24"/>
                <w:u w:val="single"/>
              </w:rPr>
              <w:t>的。</w:t>
            </w:r>
          </w:p>
          <w:p>
            <w:pPr>
              <w:autoSpaceDE w:val="0"/>
              <w:autoSpaceDN w:val="0"/>
              <w:spacing w:line="360" w:lineRule="auto"/>
              <w:jc w:val="left"/>
              <w:rPr>
                <w:b/>
                <w:bCs/>
                <w:sz w:val="24"/>
              </w:rPr>
            </w:pPr>
            <w:r>
              <w:rPr>
                <w:rFonts w:hint="eastAsia"/>
                <w:b/>
                <w:bCs/>
                <w:sz w:val="24"/>
              </w:rPr>
              <w:t>3、平面布置合理性分析</w:t>
            </w:r>
          </w:p>
          <w:p>
            <w:pPr>
              <w:spacing w:line="360" w:lineRule="auto"/>
              <w:ind w:firstLine="480" w:firstLineChars="200"/>
              <w:rPr>
                <w:sz w:val="24"/>
              </w:rPr>
            </w:pPr>
            <w:r>
              <w:rPr>
                <w:sz w:val="24"/>
              </w:rPr>
              <w:t>本</w:t>
            </w:r>
            <w:r>
              <w:rPr>
                <w:rFonts w:hint="eastAsia"/>
                <w:sz w:val="24"/>
              </w:rPr>
              <w:t>项目</w:t>
            </w:r>
            <w:r>
              <w:rPr>
                <w:sz w:val="24"/>
              </w:rPr>
              <w:t>位于</w:t>
            </w:r>
            <w:r>
              <w:rPr>
                <w:rFonts w:hint="eastAsia"/>
                <w:sz w:val="24"/>
              </w:rPr>
              <w:t>湘阴县湘阴高新技术产业开发区洋沙湖片区芙蓉北路西侧、顺天大</w:t>
            </w:r>
            <w:r>
              <w:rPr>
                <w:rFonts w:hint="eastAsia"/>
                <w:kern w:val="0"/>
                <w:sz w:val="24"/>
              </w:rPr>
              <w:t>道南侧地块</w:t>
            </w:r>
            <w:r>
              <w:rPr>
                <w:sz w:val="24"/>
              </w:rPr>
              <w:t>，</w:t>
            </w:r>
            <w:r>
              <w:rPr>
                <w:rFonts w:hint="eastAsia"/>
                <w:sz w:val="24"/>
              </w:rPr>
              <w:t>项目大门位于经四路，临近许广高速入口，建设标准化厂房4座、办公楼1座、宿舍楼1座、试验楼1座，以及其他配套设施，喷漆房建设在5#栋厂房内，位于厂区中央靠北的位置，远离居民区，各厂房</w:t>
            </w:r>
            <w:r>
              <w:rPr>
                <w:sz w:val="24"/>
              </w:rPr>
              <w:t>间距合理，同时最大限度地节省占地。</w:t>
            </w:r>
          </w:p>
          <w:p>
            <w:pPr>
              <w:spacing w:line="360" w:lineRule="auto"/>
              <w:ind w:firstLine="480" w:firstLineChars="200"/>
              <w:rPr>
                <w:sz w:val="24"/>
              </w:rPr>
            </w:pPr>
            <w:r>
              <w:rPr>
                <w:sz w:val="24"/>
              </w:rPr>
              <w:t>总体来说，项目在各功能及设备的布局合理可行。</w:t>
            </w:r>
          </w:p>
          <w:p>
            <w:pPr>
              <w:pStyle w:val="12"/>
              <w:snapToGrid/>
              <w:spacing w:before="0" w:after="0" w:line="360" w:lineRule="auto"/>
              <w:ind w:right="0"/>
              <w:jc w:val="left"/>
              <w:rPr>
                <w:sz w:val="24"/>
              </w:rPr>
            </w:pPr>
            <w:r>
              <w:rPr>
                <w:rFonts w:hint="eastAsia"/>
                <w:b/>
                <w:bCs/>
                <w:sz w:val="24"/>
                <w:szCs w:val="24"/>
              </w:rPr>
              <w:t>5</w:t>
            </w:r>
            <w:r>
              <w:rPr>
                <w:b/>
                <w:bCs/>
                <w:sz w:val="24"/>
                <w:szCs w:val="24"/>
              </w:rPr>
              <w:t>、与</w:t>
            </w:r>
            <w:r>
              <w:rPr>
                <w:b/>
                <w:bCs/>
                <w:sz w:val="24"/>
              </w:rPr>
              <w:t>《湖南省“三线一单”生态环境总体管控要求暨省级以上产业园区生态环境准入清单》的相符性分析</w:t>
            </w:r>
          </w:p>
          <w:p>
            <w:pPr>
              <w:pStyle w:val="12"/>
              <w:snapToGrid/>
              <w:spacing w:before="0" w:after="0" w:line="360" w:lineRule="auto"/>
              <w:ind w:right="0" w:firstLine="480" w:firstLineChars="200"/>
              <w:jc w:val="left"/>
              <w:rPr>
                <w:sz w:val="24"/>
              </w:rPr>
            </w:pPr>
            <w:r>
              <w:rPr>
                <w:rFonts w:hint="eastAsia"/>
                <w:sz w:val="24"/>
              </w:rPr>
              <w:t>省级以上工业园区环境管控单元生态环境准入清单依照《湖南省生态环境分区管控总体管控要求暨省级以上产业园区生态环境准入清单》（2023版）</w:t>
            </w:r>
            <w:r>
              <w:rPr>
                <w:sz w:val="24"/>
              </w:rPr>
              <w:t>，本项目</w:t>
            </w:r>
            <w:r>
              <w:rPr>
                <w:rFonts w:hint="eastAsia"/>
                <w:sz w:val="24"/>
              </w:rPr>
              <w:t>属于</w:t>
            </w:r>
            <w:r>
              <w:rPr>
                <w:sz w:val="24"/>
              </w:rPr>
              <w:t>湘阴</w:t>
            </w:r>
            <w:r>
              <w:rPr>
                <w:rFonts w:hint="eastAsia"/>
                <w:sz w:val="24"/>
                <w:lang w:eastAsia="zh-CN"/>
              </w:rPr>
              <w:t>高新技术产业开发区</w:t>
            </w:r>
            <w:r>
              <w:rPr>
                <w:sz w:val="24"/>
              </w:rPr>
              <w:t>范围，属于重点管控单元，环境管控单元编码为ZH43062420002，其管控要求具体如下：</w:t>
            </w:r>
          </w:p>
          <w:p>
            <w:pPr>
              <w:autoSpaceDE w:val="0"/>
              <w:autoSpaceDN w:val="0"/>
              <w:adjustRightInd w:val="0"/>
              <w:snapToGrid w:val="0"/>
              <w:jc w:val="center"/>
              <w:rPr>
                <w:b/>
                <w:bCs/>
                <w:szCs w:val="21"/>
              </w:rPr>
            </w:pPr>
            <w:r>
              <w:rPr>
                <w:b/>
                <w:bCs/>
                <w:szCs w:val="21"/>
              </w:rPr>
              <w:t>表1-</w:t>
            </w:r>
            <w:r>
              <w:rPr>
                <w:rFonts w:hint="eastAsia"/>
                <w:b/>
                <w:bCs/>
                <w:szCs w:val="21"/>
              </w:rPr>
              <w:t>4</w:t>
            </w:r>
            <w:r>
              <w:rPr>
                <w:b/>
                <w:bCs/>
                <w:szCs w:val="21"/>
              </w:rPr>
              <w:t xml:space="preserve">  与《湖南省“三线一单”生态环境总体管控要求暨省级以上产业园区生态环境准入清单》相符性分析</w:t>
            </w:r>
          </w:p>
          <w:tbl>
            <w:tblPr>
              <w:tblStyle w:val="32"/>
              <w:tblW w:w="4995"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562"/>
              <w:gridCol w:w="3417"/>
              <w:gridCol w:w="2970"/>
              <w:gridCol w:w="54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tcBorders>
                    <w:tl2br w:val="nil"/>
                    <w:tr2bl w:val="nil"/>
                  </w:tcBorders>
                  <w:vAlign w:val="center"/>
                </w:tcPr>
                <w:p>
                  <w:pPr>
                    <w:autoSpaceDE w:val="0"/>
                    <w:autoSpaceDN w:val="0"/>
                    <w:adjustRightInd w:val="0"/>
                    <w:snapToGrid w:val="0"/>
                    <w:jc w:val="center"/>
                    <w:rPr>
                      <w:kern w:val="0"/>
                      <w:szCs w:val="21"/>
                    </w:rPr>
                  </w:pPr>
                  <w:r>
                    <w:rPr>
                      <w:rFonts w:hint="eastAsia"/>
                      <w:kern w:val="0"/>
                      <w:szCs w:val="21"/>
                    </w:rPr>
                    <w:t>管控维度</w:t>
                  </w:r>
                </w:p>
              </w:tc>
              <w:tc>
                <w:tcPr>
                  <w:tcW w:w="2279" w:type="pct"/>
                  <w:tcBorders>
                    <w:tl2br w:val="nil"/>
                    <w:tr2bl w:val="nil"/>
                  </w:tcBorders>
                  <w:vAlign w:val="center"/>
                </w:tcPr>
                <w:p>
                  <w:pPr>
                    <w:autoSpaceDE w:val="0"/>
                    <w:autoSpaceDN w:val="0"/>
                    <w:adjustRightInd w:val="0"/>
                    <w:snapToGrid w:val="0"/>
                    <w:jc w:val="center"/>
                    <w:rPr>
                      <w:kern w:val="0"/>
                      <w:szCs w:val="21"/>
                    </w:rPr>
                  </w:pPr>
                  <w:r>
                    <w:rPr>
                      <w:kern w:val="0"/>
                      <w:szCs w:val="21"/>
                    </w:rPr>
                    <w:t>管控要求</w:t>
                  </w:r>
                </w:p>
              </w:tc>
              <w:tc>
                <w:tcPr>
                  <w:tcW w:w="1981" w:type="pct"/>
                  <w:tcBorders>
                    <w:tl2br w:val="nil"/>
                    <w:tr2bl w:val="nil"/>
                  </w:tcBorders>
                  <w:vAlign w:val="center"/>
                </w:tcPr>
                <w:p>
                  <w:pPr>
                    <w:autoSpaceDE w:val="0"/>
                    <w:autoSpaceDN w:val="0"/>
                    <w:adjustRightInd w:val="0"/>
                    <w:snapToGrid w:val="0"/>
                    <w:jc w:val="center"/>
                    <w:rPr>
                      <w:kern w:val="0"/>
                      <w:szCs w:val="21"/>
                    </w:rPr>
                  </w:pPr>
                  <w:r>
                    <w:rPr>
                      <w:kern w:val="0"/>
                      <w:szCs w:val="21"/>
                    </w:rPr>
                    <w:t>本项目</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restart"/>
                  <w:tcBorders>
                    <w:tl2br w:val="nil"/>
                    <w:tr2bl w:val="nil"/>
                  </w:tcBorders>
                  <w:vAlign w:val="center"/>
                </w:tcPr>
                <w:p>
                  <w:pPr>
                    <w:autoSpaceDE w:val="0"/>
                    <w:autoSpaceDN w:val="0"/>
                    <w:adjustRightInd w:val="0"/>
                    <w:snapToGrid w:val="0"/>
                    <w:jc w:val="center"/>
                    <w:rPr>
                      <w:kern w:val="0"/>
                      <w:szCs w:val="21"/>
                    </w:rPr>
                  </w:pPr>
                  <w:r>
                    <w:rPr>
                      <w:rFonts w:hint="eastAsia"/>
                      <w:kern w:val="0"/>
                      <w:szCs w:val="21"/>
                    </w:rPr>
                    <w:t>空间布局约束</w:t>
                  </w:r>
                </w:p>
              </w:tc>
              <w:tc>
                <w:tcPr>
                  <w:tcW w:w="2279" w:type="pct"/>
                  <w:tcBorders>
                    <w:tl2br w:val="nil"/>
                    <w:tr2bl w:val="nil"/>
                  </w:tcBorders>
                  <w:vAlign w:val="center"/>
                </w:tcPr>
                <w:p>
                  <w:pPr>
                    <w:autoSpaceDE w:val="0"/>
                    <w:autoSpaceDN w:val="0"/>
                    <w:adjustRightInd w:val="0"/>
                    <w:snapToGrid w:val="0"/>
                    <w:rPr>
                      <w:kern w:val="0"/>
                      <w:szCs w:val="21"/>
                    </w:rPr>
                  </w:pPr>
                  <w:r>
                    <w:rPr>
                      <w:kern w:val="0"/>
                      <w:szCs w:val="21"/>
                    </w:rPr>
                    <w:t>新引进项目及高新区外企业搬迁入园过程中应着重从降低环境影响的角度出发合理选址布局。对于高新区外已有企业或项目的搬迁入园应确保实现其清洁生产水平的提升与污染物排放总量的降低。</w:t>
                  </w:r>
                </w:p>
              </w:tc>
              <w:tc>
                <w:tcPr>
                  <w:tcW w:w="1981" w:type="pct"/>
                  <w:tcBorders>
                    <w:tl2br w:val="nil"/>
                    <w:tr2bl w:val="nil"/>
                  </w:tcBorders>
                  <w:vAlign w:val="center"/>
                </w:tcPr>
                <w:p>
                  <w:pPr>
                    <w:autoSpaceDE w:val="0"/>
                    <w:autoSpaceDN w:val="0"/>
                    <w:adjustRightInd w:val="0"/>
                    <w:snapToGrid w:val="0"/>
                    <w:rPr>
                      <w:kern w:val="0"/>
                      <w:szCs w:val="21"/>
                    </w:rPr>
                  </w:pPr>
                  <w:r>
                    <w:rPr>
                      <w:rFonts w:hint="eastAsia"/>
                      <w:kern w:val="0"/>
                      <w:szCs w:val="21"/>
                    </w:rPr>
                    <w:t>在严格落实本项目提出的各项措施下，根据后文源强核算，本项目废气、废水、噪声均能实现达标排放，固体废物也均能妥善处理。</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99" w:hRule="atLeast"/>
                <w:jc w:val="center"/>
              </w:trPr>
              <w:tc>
                <w:tcPr>
                  <w:tcW w:w="375" w:type="pct"/>
                  <w:vMerge w:val="continue"/>
                  <w:tcBorders>
                    <w:tl2br w:val="nil"/>
                    <w:tr2bl w:val="nil"/>
                  </w:tcBorders>
                  <w:vAlign w:val="center"/>
                </w:tcPr>
                <w:p>
                  <w:pPr>
                    <w:autoSpaceDE w:val="0"/>
                    <w:autoSpaceDN w:val="0"/>
                    <w:adjustRightInd w:val="0"/>
                    <w:snapToGrid w:val="0"/>
                    <w:jc w:val="center"/>
                    <w:rPr>
                      <w:kern w:val="0"/>
                      <w:szCs w:val="21"/>
                    </w:rPr>
                  </w:pPr>
                </w:p>
              </w:tc>
              <w:tc>
                <w:tcPr>
                  <w:tcW w:w="2279" w:type="pct"/>
                  <w:tcBorders>
                    <w:tl2br w:val="nil"/>
                    <w:tr2bl w:val="nil"/>
                  </w:tcBorders>
                  <w:vAlign w:val="center"/>
                </w:tcPr>
                <w:p>
                  <w:pPr>
                    <w:autoSpaceDE w:val="0"/>
                    <w:autoSpaceDN w:val="0"/>
                    <w:adjustRightInd w:val="0"/>
                    <w:snapToGrid w:val="0"/>
                    <w:rPr>
                      <w:kern w:val="0"/>
                      <w:szCs w:val="21"/>
                    </w:rPr>
                  </w:pPr>
                  <w:r>
                    <w:rPr>
                      <w:kern w:val="0"/>
                      <w:szCs w:val="21"/>
                    </w:rPr>
                    <w:t>区块一、区块二（洋沙湖片区）将涉及气型污染物无组织排放的企业、车间尽量远离湿地公园布置；禁止引进对洋沙湖-东湖国家湿地公园产生不利影响的企业。</w:t>
                  </w:r>
                </w:p>
                <w:p>
                  <w:pPr>
                    <w:autoSpaceDE w:val="0"/>
                    <w:autoSpaceDN w:val="0"/>
                    <w:adjustRightInd w:val="0"/>
                    <w:snapToGrid w:val="0"/>
                    <w:rPr>
                      <w:kern w:val="0"/>
                      <w:szCs w:val="21"/>
                    </w:rPr>
                  </w:pPr>
                  <w:r>
                    <w:rPr>
                      <w:kern w:val="0"/>
                      <w:szCs w:val="21"/>
                    </w:rPr>
                    <w:t>区块三、区块四、区块五（临港片区）严控以气型污染为主的企业入驻</w:t>
                  </w:r>
                  <w:r>
                    <w:rPr>
                      <w:rFonts w:hint="eastAsia"/>
                      <w:kern w:val="0"/>
                      <w:szCs w:val="21"/>
                    </w:rPr>
                    <w:t>。</w:t>
                  </w:r>
                </w:p>
                <w:p>
                  <w:pPr>
                    <w:autoSpaceDE w:val="0"/>
                    <w:autoSpaceDN w:val="0"/>
                    <w:adjustRightInd w:val="0"/>
                    <w:snapToGrid w:val="0"/>
                    <w:rPr>
                      <w:kern w:val="0"/>
                      <w:szCs w:val="21"/>
                    </w:rPr>
                  </w:pPr>
                  <w:r>
                    <w:rPr>
                      <w:kern w:val="0"/>
                      <w:szCs w:val="21"/>
                    </w:rPr>
                    <w:t>区块六（金龙片区）适当限制以水型污染为主的企业入驻。</w:t>
                  </w:r>
                </w:p>
              </w:tc>
              <w:tc>
                <w:tcPr>
                  <w:tcW w:w="1981" w:type="pct"/>
                  <w:tcBorders>
                    <w:tl2br w:val="nil"/>
                    <w:tr2bl w:val="nil"/>
                  </w:tcBorders>
                  <w:vAlign w:val="center"/>
                </w:tcPr>
                <w:p>
                  <w:pPr>
                    <w:autoSpaceDE w:val="0"/>
                    <w:autoSpaceDN w:val="0"/>
                    <w:adjustRightInd w:val="0"/>
                    <w:snapToGrid w:val="0"/>
                    <w:rPr>
                      <w:kern w:val="0"/>
                      <w:szCs w:val="21"/>
                    </w:rPr>
                  </w:pPr>
                  <w:r>
                    <w:rPr>
                      <w:rFonts w:hint="eastAsia"/>
                      <w:kern w:val="0"/>
                      <w:szCs w:val="21"/>
                    </w:rPr>
                    <w:t>本项目位于区块一，废气无组织排放源布置远离湿地公园，废水主要为员工生活污水，经化粪池处理后</w:t>
                  </w:r>
                  <w:r>
                    <w:rPr>
                      <w:rFonts w:hint="eastAsia"/>
                      <w:lang w:eastAsia="zh-CN"/>
                    </w:rPr>
                    <w:t>（</w:t>
                  </w:r>
                  <w:r>
                    <w:rPr>
                      <w:rFonts w:hint="eastAsia"/>
                      <w:lang w:val="en-US" w:eastAsia="zh-CN"/>
                    </w:rPr>
                    <w:t>食堂污水先经隔油池处理</w:t>
                  </w:r>
                  <w:r>
                    <w:rPr>
                      <w:rFonts w:hint="eastAsia"/>
                      <w:lang w:eastAsia="zh-CN"/>
                    </w:rPr>
                    <w:t>）</w:t>
                  </w:r>
                  <w:r>
                    <w:rPr>
                      <w:rFonts w:hint="eastAsia"/>
                      <w:kern w:val="0"/>
                      <w:szCs w:val="21"/>
                    </w:rPr>
                    <w:t>排入园区的市政管网，进入湘阴县第二污水处理厂深度处理。</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restart"/>
                  <w:tcBorders>
                    <w:tl2br w:val="nil"/>
                    <w:tr2bl w:val="nil"/>
                  </w:tcBorders>
                  <w:vAlign w:val="center"/>
                </w:tcPr>
                <w:p>
                  <w:pPr>
                    <w:widowControl/>
                    <w:autoSpaceDE w:val="0"/>
                    <w:autoSpaceDN w:val="0"/>
                    <w:adjustRightInd w:val="0"/>
                    <w:snapToGrid w:val="0"/>
                    <w:jc w:val="center"/>
                    <w:rPr>
                      <w:kern w:val="0"/>
                      <w:szCs w:val="21"/>
                    </w:rPr>
                  </w:pPr>
                  <w:r>
                    <w:rPr>
                      <w:rFonts w:hint="eastAsia"/>
                      <w:kern w:val="0"/>
                      <w:szCs w:val="21"/>
                    </w:rPr>
                    <w:t>污染物排放管控</w:t>
                  </w:r>
                </w:p>
              </w:tc>
              <w:tc>
                <w:tcPr>
                  <w:tcW w:w="2279" w:type="pct"/>
                  <w:tcBorders>
                    <w:tl2br w:val="nil"/>
                    <w:tr2bl w:val="nil"/>
                  </w:tcBorders>
                  <w:vAlign w:val="center"/>
                </w:tcPr>
                <w:p>
                  <w:pPr>
                    <w:autoSpaceDE w:val="0"/>
                    <w:autoSpaceDN w:val="0"/>
                    <w:adjustRightInd w:val="0"/>
                    <w:snapToGrid w:val="0"/>
                    <w:rPr>
                      <w:kern w:val="0"/>
                      <w:szCs w:val="21"/>
                    </w:rPr>
                  </w:pPr>
                  <w:r>
                    <w:rPr>
                      <w:rFonts w:hint="eastAsia"/>
                      <w:kern w:val="0"/>
                      <w:szCs w:val="21"/>
                    </w:rPr>
                    <w:t>废水：（1）高新区各区块排水实施雨污分流，雨水经雨水管网排入洋沙湖。（2）区块一、区块二（洋沙湖片区）废水进入湘阴县第二污水处理厂处理达标后排入洋沙湖闸外流入湘江；区块三、区块四、区块五（临港片区）废水依托湘阴县第一污水处理厂处理达标后排入湘江；区块六（金龙片区）废水依托湘阴县第二污水处理厂处理达标后由洋沙河排入洋沙湖。</w:t>
                  </w:r>
                </w:p>
              </w:tc>
              <w:tc>
                <w:tcPr>
                  <w:tcW w:w="1981" w:type="pct"/>
                  <w:tcBorders>
                    <w:tl2br w:val="nil"/>
                    <w:tr2bl w:val="nil"/>
                  </w:tcBorders>
                  <w:vAlign w:val="center"/>
                </w:tcPr>
                <w:p>
                  <w:pPr>
                    <w:rPr>
                      <w:kern w:val="0"/>
                      <w:szCs w:val="21"/>
                    </w:rPr>
                  </w:pPr>
                  <w:r>
                    <w:rPr>
                      <w:rFonts w:hint="eastAsia"/>
                      <w:kern w:val="0"/>
                      <w:szCs w:val="21"/>
                    </w:rPr>
                    <w:t>本项目排水采用“雨污分流”制，项目所在区域雨水管网及污水管网均已建成，雨水通过园区雨水管网排入洋沙湖，生活污水经预处理后</w:t>
                  </w:r>
                  <w:r>
                    <w:rPr>
                      <w:rFonts w:hint="eastAsia"/>
                      <w:lang w:eastAsia="zh-CN"/>
                    </w:rPr>
                    <w:t>（</w:t>
                  </w:r>
                  <w:r>
                    <w:rPr>
                      <w:rFonts w:hint="eastAsia"/>
                      <w:lang w:val="en-US" w:eastAsia="zh-CN"/>
                    </w:rPr>
                    <w:t>食堂污水先经隔油池处理</w:t>
                  </w:r>
                  <w:r>
                    <w:rPr>
                      <w:rFonts w:hint="eastAsia"/>
                      <w:lang w:eastAsia="zh-CN"/>
                    </w:rPr>
                    <w:t>）</w:t>
                  </w:r>
                  <w:r>
                    <w:rPr>
                      <w:rFonts w:hint="eastAsia"/>
                      <w:kern w:val="0"/>
                      <w:szCs w:val="21"/>
                    </w:rPr>
                    <w:t>，通过园区的市政管网进入湘阴县第二污水处理厂处理。</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vAlign w:val="center"/>
                </w:tcPr>
                <w:p>
                  <w:pPr>
                    <w:widowControl/>
                    <w:autoSpaceDE w:val="0"/>
                    <w:autoSpaceDN w:val="0"/>
                    <w:adjustRightInd w:val="0"/>
                    <w:snapToGrid w:val="0"/>
                    <w:jc w:val="center"/>
                    <w:rPr>
                      <w:kern w:val="0"/>
                      <w:szCs w:val="21"/>
                    </w:rPr>
                  </w:pPr>
                </w:p>
              </w:tc>
              <w:tc>
                <w:tcPr>
                  <w:tcW w:w="2279" w:type="pct"/>
                  <w:tcBorders>
                    <w:tl2br w:val="nil"/>
                    <w:tr2bl w:val="nil"/>
                  </w:tcBorders>
                  <w:vAlign w:val="center"/>
                </w:tcPr>
                <w:p>
                  <w:pPr>
                    <w:autoSpaceDE w:val="0"/>
                    <w:autoSpaceDN w:val="0"/>
                    <w:adjustRightInd w:val="0"/>
                    <w:snapToGrid w:val="0"/>
                    <w:rPr>
                      <w:kern w:val="0"/>
                      <w:szCs w:val="21"/>
                    </w:rPr>
                  </w:pPr>
                  <w:r>
                    <w:rPr>
                      <w:rFonts w:hint="eastAsia"/>
                      <w:kern w:val="0"/>
                      <w:szCs w:val="21"/>
                    </w:rPr>
                    <w:t>废气：（1）持续深化工业炉窑大气污染专项治理，进一步加强传统产业环保升级，采用节能低碳环保技术改造提升传统产业，努力构建绿色制造体系，不断优化工业产品结构。（2）加强高新区大气污染防治，采取有效措施减少污染物排放总量，严格控制无组织排放，加强对高新区企业VOCs排放的治理。</w:t>
                  </w:r>
                </w:p>
              </w:tc>
              <w:tc>
                <w:tcPr>
                  <w:tcW w:w="1981" w:type="pct"/>
                  <w:tcBorders>
                    <w:tl2br w:val="nil"/>
                    <w:tr2bl w:val="nil"/>
                  </w:tcBorders>
                  <w:vAlign w:val="center"/>
                </w:tcPr>
                <w:p>
                  <w:pPr>
                    <w:autoSpaceDE w:val="0"/>
                    <w:autoSpaceDN w:val="0"/>
                    <w:adjustRightInd w:val="0"/>
                    <w:snapToGrid w:val="0"/>
                    <w:rPr>
                      <w:kern w:val="0"/>
                      <w:szCs w:val="21"/>
                    </w:rPr>
                  </w:pPr>
                  <w:r>
                    <w:rPr>
                      <w:rFonts w:hint="eastAsia"/>
                      <w:kern w:val="0"/>
                      <w:szCs w:val="21"/>
                    </w:rPr>
                    <w:t>本项目不涉及工业窑炉的使用，</w:t>
                  </w:r>
                  <w:r>
                    <w:rPr>
                      <w:rFonts w:hint="eastAsia"/>
                      <w:szCs w:val="21"/>
                    </w:rPr>
                    <w:t>本项目废气及处理方式为：①涉及机械加工等工序产生的颗粒物采用集气罩+布袋除尘的方式进行收集处理，在经过排气筒高空排放；②涉及有机废气的喷漆晾干工序</w:t>
                  </w:r>
                  <w:r>
                    <w:rPr>
                      <w:rFonts w:hint="eastAsia"/>
                      <w:szCs w:val="21"/>
                      <w:lang w:eastAsia="zh-CN"/>
                    </w:rPr>
                    <w:t>采用</w:t>
                  </w:r>
                  <w:r>
                    <w:rPr>
                      <w:rFonts w:hint="eastAsia"/>
                      <w:szCs w:val="21"/>
                      <w:lang w:val="en-US" w:eastAsia="zh-CN"/>
                    </w:rPr>
                    <w:t>低VOCs涂料，从源头进行替代，并且采用</w:t>
                  </w:r>
                  <w:r>
                    <w:rPr>
                      <w:rFonts w:hint="eastAsia"/>
                      <w:szCs w:val="21"/>
                    </w:rPr>
                    <w:t>密闭喷漆房和晾干房，且采用微负压收集+</w:t>
                  </w:r>
                  <w:r>
                    <w:rPr>
                      <w:rFonts w:hint="eastAsia"/>
                      <w:color w:val="000000"/>
                      <w:szCs w:val="21"/>
                    </w:rPr>
                    <w:t>旋转式分子筛吸附+脱附</w:t>
                  </w:r>
                  <w:r>
                    <w:rPr>
                      <w:rFonts w:hint="eastAsia"/>
                      <w:szCs w:val="21"/>
                    </w:rPr>
                    <w:t>+RCO催化燃烧的高效处理方式，可有效降低VOCs的排放。</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vAlign w:val="center"/>
                </w:tcPr>
                <w:p>
                  <w:pPr>
                    <w:widowControl/>
                    <w:autoSpaceDE w:val="0"/>
                    <w:autoSpaceDN w:val="0"/>
                    <w:adjustRightInd w:val="0"/>
                    <w:snapToGrid w:val="0"/>
                    <w:jc w:val="center"/>
                    <w:rPr>
                      <w:kern w:val="0"/>
                      <w:szCs w:val="21"/>
                    </w:rPr>
                  </w:pPr>
                </w:p>
              </w:tc>
              <w:tc>
                <w:tcPr>
                  <w:tcW w:w="2279" w:type="pct"/>
                  <w:tcBorders>
                    <w:tl2br w:val="nil"/>
                    <w:tr2bl w:val="nil"/>
                  </w:tcBorders>
                  <w:vAlign w:val="center"/>
                </w:tcPr>
                <w:p>
                  <w:pPr>
                    <w:autoSpaceDE w:val="0"/>
                    <w:autoSpaceDN w:val="0"/>
                    <w:adjustRightInd w:val="0"/>
                    <w:snapToGrid w:val="0"/>
                    <w:rPr>
                      <w:kern w:val="0"/>
                      <w:szCs w:val="21"/>
                    </w:rPr>
                  </w:pPr>
                  <w:r>
                    <w:rPr>
                      <w:kern w:val="0"/>
                      <w:szCs w:val="21"/>
                    </w:rPr>
                    <w:t>固体废弃物：建立高新区固废规范化管理体系，做好工业固体废物的分类收集、转运、综合利用和无害化处理。对危险废物应严格按照国家有关规定综合利用或妥善处置，对危险废物产生企业和经营单位，应强化日常环境监管</w:t>
                  </w:r>
                  <w:r>
                    <w:rPr>
                      <w:rFonts w:hint="eastAsia"/>
                      <w:kern w:val="0"/>
                      <w:szCs w:val="21"/>
                    </w:rPr>
                    <w:t>。</w:t>
                  </w:r>
                </w:p>
              </w:tc>
              <w:tc>
                <w:tcPr>
                  <w:tcW w:w="1981" w:type="pct"/>
                  <w:tcBorders>
                    <w:tl2br w:val="nil"/>
                    <w:tr2bl w:val="nil"/>
                  </w:tcBorders>
                  <w:vAlign w:val="center"/>
                </w:tcPr>
                <w:p>
                  <w:pPr>
                    <w:autoSpaceDE w:val="0"/>
                    <w:autoSpaceDN w:val="0"/>
                    <w:adjustRightInd w:val="0"/>
                    <w:snapToGrid w:val="0"/>
                    <w:rPr>
                      <w:kern w:val="0"/>
                      <w:szCs w:val="21"/>
                    </w:rPr>
                  </w:pPr>
                  <w:r>
                    <w:rPr>
                      <w:rFonts w:hint="eastAsia"/>
                      <w:kern w:val="0"/>
                      <w:szCs w:val="21"/>
                    </w:rPr>
                    <w:t>本项目一般固体废物分类暂存一般固废暂存间后</w:t>
                  </w:r>
                  <w:r>
                    <w:rPr>
                      <w:rFonts w:hint="eastAsia"/>
                      <w:bCs/>
                      <w:szCs w:val="21"/>
                    </w:rPr>
                    <w:t>交由物资回收单位处理；危险废物暂存危废暂存间后交有资质单位处理。</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vAlign w:val="center"/>
                </w:tcPr>
                <w:p>
                  <w:pPr>
                    <w:widowControl/>
                    <w:autoSpaceDE w:val="0"/>
                    <w:autoSpaceDN w:val="0"/>
                    <w:adjustRightInd w:val="0"/>
                    <w:snapToGrid w:val="0"/>
                    <w:jc w:val="center"/>
                    <w:rPr>
                      <w:kern w:val="0"/>
                      <w:szCs w:val="21"/>
                    </w:rPr>
                  </w:pPr>
                </w:p>
              </w:tc>
              <w:tc>
                <w:tcPr>
                  <w:tcW w:w="2279" w:type="pct"/>
                  <w:tcBorders>
                    <w:tl2br w:val="nil"/>
                    <w:tr2bl w:val="nil"/>
                  </w:tcBorders>
                  <w:vAlign w:val="center"/>
                </w:tcPr>
                <w:p>
                  <w:pPr>
                    <w:autoSpaceDE w:val="0"/>
                    <w:autoSpaceDN w:val="0"/>
                    <w:adjustRightInd w:val="0"/>
                    <w:snapToGrid w:val="0"/>
                    <w:rPr>
                      <w:kern w:val="0"/>
                      <w:szCs w:val="21"/>
                    </w:rPr>
                  </w:pPr>
                  <w:r>
                    <w:rPr>
                      <w:kern w:val="0"/>
                      <w:szCs w:val="21"/>
                    </w:rPr>
                    <w:t>建立健全环境空气、地表水、地下水、土壤等环境要素的监控体系。合理布局大气小微站，并涵盖相关特征污染物监测</w:t>
                  </w:r>
                  <w:r>
                    <w:rPr>
                      <w:rFonts w:hint="eastAsia"/>
                      <w:kern w:val="0"/>
                      <w:szCs w:val="21"/>
                    </w:rPr>
                    <w:t>。</w:t>
                  </w:r>
                </w:p>
              </w:tc>
              <w:tc>
                <w:tcPr>
                  <w:tcW w:w="1981" w:type="pct"/>
                  <w:tcBorders>
                    <w:tl2br w:val="nil"/>
                    <w:tr2bl w:val="nil"/>
                  </w:tcBorders>
                  <w:vAlign w:val="center"/>
                </w:tcPr>
                <w:p>
                  <w:pPr>
                    <w:autoSpaceDE w:val="0"/>
                    <w:autoSpaceDN w:val="0"/>
                    <w:adjustRightInd w:val="0"/>
                    <w:snapToGrid w:val="0"/>
                    <w:rPr>
                      <w:kern w:val="0"/>
                      <w:szCs w:val="21"/>
                    </w:rPr>
                  </w:pPr>
                  <w:r>
                    <w:rPr>
                      <w:rFonts w:hint="eastAsia"/>
                      <w:kern w:val="0"/>
                      <w:szCs w:val="21"/>
                    </w:rPr>
                    <w:t>本评价按要求制定了自行监测方案。</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vAlign w:val="center"/>
                </w:tcPr>
                <w:p>
                  <w:pPr>
                    <w:widowControl/>
                    <w:autoSpaceDE w:val="0"/>
                    <w:autoSpaceDN w:val="0"/>
                    <w:adjustRightInd w:val="0"/>
                    <w:snapToGrid w:val="0"/>
                    <w:jc w:val="center"/>
                    <w:rPr>
                      <w:kern w:val="0"/>
                      <w:szCs w:val="21"/>
                    </w:rPr>
                  </w:pPr>
                </w:p>
              </w:tc>
              <w:tc>
                <w:tcPr>
                  <w:tcW w:w="2279" w:type="pct"/>
                  <w:tcBorders>
                    <w:tl2br w:val="nil"/>
                    <w:tr2bl w:val="nil"/>
                  </w:tcBorders>
                  <w:vAlign w:val="center"/>
                </w:tcPr>
                <w:p>
                  <w:pPr>
                    <w:autoSpaceDE w:val="0"/>
                    <w:autoSpaceDN w:val="0"/>
                    <w:adjustRightInd w:val="0"/>
                    <w:snapToGrid w:val="0"/>
                    <w:rPr>
                      <w:kern w:val="0"/>
                      <w:szCs w:val="21"/>
                    </w:rPr>
                  </w:pPr>
                  <w:r>
                    <w:rPr>
                      <w:kern w:val="0"/>
                      <w:szCs w:val="21"/>
                    </w:rPr>
                    <w:t>高新区内相关行业污染物排放满足《</w:t>
                  </w:r>
                  <w:r>
                    <w:rPr>
                      <w:rFonts w:hint="eastAsia"/>
                      <w:kern w:val="0"/>
                      <w:szCs w:val="21"/>
                    </w:rPr>
                    <w:t>湖南省生态环境厅</w:t>
                  </w:r>
                  <w:r>
                    <w:rPr>
                      <w:kern w:val="0"/>
                      <w:szCs w:val="21"/>
                    </w:rPr>
                    <w:t>关于执行污染物特别排放限值（第一批）的公告》中的要求</w:t>
                  </w:r>
                  <w:r>
                    <w:rPr>
                      <w:rFonts w:hint="eastAsia"/>
                      <w:kern w:val="0"/>
                      <w:szCs w:val="21"/>
                    </w:rPr>
                    <w:t>。</w:t>
                  </w:r>
                </w:p>
              </w:tc>
              <w:tc>
                <w:tcPr>
                  <w:tcW w:w="1981" w:type="pct"/>
                  <w:tcBorders>
                    <w:tl2br w:val="nil"/>
                    <w:tr2bl w:val="nil"/>
                  </w:tcBorders>
                  <w:vAlign w:val="center"/>
                </w:tcPr>
                <w:p>
                  <w:pPr>
                    <w:autoSpaceDE w:val="0"/>
                    <w:autoSpaceDN w:val="0"/>
                    <w:adjustRightInd w:val="0"/>
                    <w:snapToGrid w:val="0"/>
                    <w:rPr>
                      <w:kern w:val="0"/>
                      <w:szCs w:val="21"/>
                    </w:rPr>
                  </w:pPr>
                  <w:r>
                    <w:rPr>
                      <w:rFonts w:hint="eastAsia"/>
                      <w:kern w:val="0"/>
                      <w:szCs w:val="21"/>
                    </w:rPr>
                    <w:t>本项目</w:t>
                  </w:r>
                  <w:r>
                    <w:rPr>
                      <w:rFonts w:hint="eastAsia"/>
                      <w:kern w:val="0"/>
                      <w:szCs w:val="21"/>
                      <w:lang w:val="en-US" w:eastAsia="zh-CN"/>
                    </w:rPr>
                    <w:t>不使用锅炉、不涉及</w:t>
                  </w:r>
                  <w:r>
                    <w:rPr>
                      <w:kern w:val="0"/>
                      <w:szCs w:val="21"/>
                    </w:rPr>
                    <w:t>《</w:t>
                  </w:r>
                  <w:r>
                    <w:rPr>
                      <w:rFonts w:hint="eastAsia"/>
                      <w:kern w:val="0"/>
                      <w:szCs w:val="21"/>
                    </w:rPr>
                    <w:t>湖南省生态环境厅</w:t>
                  </w:r>
                  <w:r>
                    <w:rPr>
                      <w:kern w:val="0"/>
                      <w:szCs w:val="21"/>
                    </w:rPr>
                    <w:t>关于执行污染物特别排放限值（第一批）的公告》</w:t>
                  </w:r>
                  <w:r>
                    <w:rPr>
                      <w:rFonts w:hint="eastAsia"/>
                      <w:kern w:val="0"/>
                      <w:szCs w:val="21"/>
                    </w:rPr>
                    <w:t>中</w:t>
                  </w:r>
                  <w:r>
                    <w:rPr>
                      <w:rFonts w:hint="eastAsia"/>
                      <w:kern w:val="0"/>
                      <w:szCs w:val="21"/>
                      <w:lang w:eastAsia="zh-CN"/>
                    </w:rPr>
                    <w:t>的</w:t>
                  </w:r>
                  <w:r>
                    <w:rPr>
                      <w:rFonts w:hint="eastAsia"/>
                      <w:kern w:val="0"/>
                      <w:szCs w:val="21"/>
                      <w:lang w:val="en-US" w:eastAsia="zh-CN"/>
                    </w:rPr>
                    <w:t>污染因子</w:t>
                  </w:r>
                  <w:r>
                    <w:rPr>
                      <w:rFonts w:hint="eastAsia"/>
                      <w:kern w:val="0"/>
                      <w:szCs w:val="21"/>
                    </w:rPr>
                    <w:t>。</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restart"/>
                  <w:tcBorders>
                    <w:tl2br w:val="nil"/>
                    <w:tr2bl w:val="nil"/>
                  </w:tcBorders>
                  <w:vAlign w:val="center"/>
                </w:tcPr>
                <w:p>
                  <w:pPr>
                    <w:widowControl/>
                    <w:autoSpaceDE w:val="0"/>
                    <w:autoSpaceDN w:val="0"/>
                    <w:adjustRightInd w:val="0"/>
                    <w:snapToGrid w:val="0"/>
                    <w:jc w:val="center"/>
                    <w:rPr>
                      <w:kern w:val="0"/>
                      <w:szCs w:val="21"/>
                    </w:rPr>
                  </w:pPr>
                  <w:r>
                    <w:rPr>
                      <w:rFonts w:hint="eastAsia"/>
                      <w:kern w:val="0"/>
                      <w:szCs w:val="21"/>
                    </w:rPr>
                    <w:t>环境风险防控</w:t>
                  </w:r>
                </w:p>
              </w:tc>
              <w:tc>
                <w:tcPr>
                  <w:tcW w:w="2279" w:type="pct"/>
                  <w:tcBorders>
                    <w:tl2br w:val="nil"/>
                    <w:tr2bl w:val="nil"/>
                  </w:tcBorders>
                  <w:vAlign w:val="center"/>
                </w:tcPr>
                <w:p>
                  <w:pPr>
                    <w:autoSpaceDE w:val="0"/>
                    <w:autoSpaceDN w:val="0"/>
                    <w:adjustRightInd w:val="0"/>
                    <w:snapToGrid w:val="0"/>
                    <w:rPr>
                      <w:kern w:val="0"/>
                      <w:szCs w:val="21"/>
                    </w:rPr>
                  </w:pPr>
                  <w:r>
                    <w:rPr>
                      <w:rFonts w:hint="eastAsia"/>
                      <w:kern w:val="0"/>
                      <w:szCs w:val="21"/>
                    </w:rPr>
                    <w:t>高新区各区块应建立健全环境风险防控体系，组织推动高新区应急预案修编并落实相关要求，加强环境风险事故防范和应急管理。</w:t>
                  </w:r>
                </w:p>
              </w:tc>
              <w:tc>
                <w:tcPr>
                  <w:tcW w:w="1981" w:type="pct"/>
                  <w:vMerge w:val="restart"/>
                  <w:tcBorders>
                    <w:tl2br w:val="nil"/>
                    <w:tr2bl w:val="nil"/>
                  </w:tcBorders>
                  <w:vAlign w:val="center"/>
                </w:tcPr>
                <w:p>
                  <w:pPr>
                    <w:autoSpaceDE w:val="0"/>
                    <w:autoSpaceDN w:val="0"/>
                    <w:adjustRightInd w:val="0"/>
                    <w:snapToGrid w:val="0"/>
                    <w:rPr>
                      <w:kern w:val="0"/>
                      <w:szCs w:val="21"/>
                    </w:rPr>
                  </w:pPr>
                  <w:r>
                    <w:rPr>
                      <w:kern w:val="0"/>
                      <w:szCs w:val="21"/>
                    </w:rPr>
                    <w:t>本次</w:t>
                  </w:r>
                  <w:r>
                    <w:rPr>
                      <w:rFonts w:hint="eastAsia"/>
                      <w:kern w:val="0"/>
                      <w:szCs w:val="21"/>
                    </w:rPr>
                    <w:t>评价</w:t>
                  </w:r>
                  <w:r>
                    <w:rPr>
                      <w:kern w:val="0"/>
                      <w:szCs w:val="21"/>
                    </w:rPr>
                    <w:t>建议建设单位按照</w:t>
                  </w:r>
                  <w:r>
                    <w:rPr>
                      <w:rFonts w:hint="eastAsia"/>
                      <w:kern w:val="0"/>
                      <w:szCs w:val="21"/>
                    </w:rPr>
                    <w:t>《湖南省突发环境事件应急预案管理办法（修订版）》（湘环发〔2024〕49号）</w:t>
                  </w:r>
                  <w:r>
                    <w:rPr>
                      <w:kern w:val="0"/>
                      <w:szCs w:val="21"/>
                    </w:rPr>
                    <w:t>要求编制突发环境事件应急预案。</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5" w:type="pct"/>
                  <w:vMerge w:val="continue"/>
                  <w:tcBorders>
                    <w:tl2br w:val="nil"/>
                    <w:tr2bl w:val="nil"/>
                  </w:tcBorders>
                  <w:vAlign w:val="center"/>
                </w:tcPr>
                <w:p>
                  <w:pPr>
                    <w:widowControl/>
                    <w:autoSpaceDE w:val="0"/>
                    <w:autoSpaceDN w:val="0"/>
                    <w:adjustRightInd w:val="0"/>
                    <w:snapToGrid w:val="0"/>
                    <w:jc w:val="center"/>
                    <w:rPr>
                      <w:kern w:val="0"/>
                      <w:szCs w:val="21"/>
                    </w:rPr>
                  </w:pPr>
                </w:p>
              </w:tc>
              <w:tc>
                <w:tcPr>
                  <w:tcW w:w="2279" w:type="pct"/>
                  <w:tcBorders>
                    <w:tl2br w:val="nil"/>
                    <w:tr2bl w:val="nil"/>
                  </w:tcBorders>
                  <w:vAlign w:val="center"/>
                </w:tcPr>
                <w:p>
                  <w:pPr>
                    <w:autoSpaceDE w:val="0"/>
                    <w:autoSpaceDN w:val="0"/>
                    <w:adjustRightInd w:val="0"/>
                    <w:snapToGrid w:val="0"/>
                    <w:rPr>
                      <w:kern w:val="0"/>
                      <w:szCs w:val="21"/>
                    </w:rPr>
                  </w:pPr>
                  <w:r>
                    <w:rPr>
                      <w:rFonts w:hint="eastAsia"/>
                      <w:kern w:val="0"/>
                      <w:szCs w:val="21"/>
                    </w:rPr>
                    <w:t>高新区可能发生突发环境事件的污染物排放企业，生产、储存、运输、使用危险化学品的企业，生产、收集、贮存、运</w:t>
                  </w:r>
                  <w:r>
                    <w:rPr>
                      <w:kern w:val="0"/>
                      <w:szCs w:val="21"/>
                    </w:rPr>
                    <w:t>输危险废物的企业，应当编制和实施环境应急预案；鼓励其他企业制定单独的环境应急预案，或在突发事件应急预案中制定环境应急预案专章，并备案</w:t>
                  </w:r>
                  <w:r>
                    <w:rPr>
                      <w:rFonts w:hint="eastAsia"/>
                      <w:kern w:val="0"/>
                      <w:szCs w:val="21"/>
                    </w:rPr>
                    <w:t>。</w:t>
                  </w:r>
                </w:p>
              </w:tc>
              <w:tc>
                <w:tcPr>
                  <w:tcW w:w="1981" w:type="pct"/>
                  <w:vMerge w:val="continue"/>
                  <w:tcBorders>
                    <w:tl2br w:val="nil"/>
                    <w:tr2bl w:val="nil"/>
                  </w:tcBorders>
                  <w:vAlign w:val="center"/>
                </w:tcPr>
                <w:p>
                  <w:pPr>
                    <w:autoSpaceDE w:val="0"/>
                    <w:autoSpaceDN w:val="0"/>
                    <w:adjustRightInd w:val="0"/>
                    <w:snapToGrid w:val="0"/>
                    <w:rPr>
                      <w:kern w:val="0"/>
                      <w:szCs w:val="21"/>
                    </w:rPr>
                  </w:pP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375" w:type="pct"/>
                  <w:vMerge w:val="continue"/>
                  <w:tcBorders>
                    <w:tl2br w:val="nil"/>
                    <w:tr2bl w:val="nil"/>
                  </w:tcBorders>
                  <w:vAlign w:val="center"/>
                </w:tcPr>
                <w:p>
                  <w:pPr>
                    <w:widowControl/>
                    <w:autoSpaceDE w:val="0"/>
                    <w:autoSpaceDN w:val="0"/>
                    <w:adjustRightInd w:val="0"/>
                    <w:snapToGrid w:val="0"/>
                    <w:jc w:val="center"/>
                    <w:rPr>
                      <w:kern w:val="0"/>
                      <w:szCs w:val="21"/>
                    </w:rPr>
                  </w:pPr>
                </w:p>
              </w:tc>
              <w:tc>
                <w:tcPr>
                  <w:tcW w:w="2279" w:type="pct"/>
                  <w:tcBorders>
                    <w:tl2br w:val="nil"/>
                    <w:tr2bl w:val="nil"/>
                  </w:tcBorders>
                  <w:vAlign w:val="center"/>
                </w:tcPr>
                <w:p>
                  <w:pPr>
                    <w:autoSpaceDE w:val="0"/>
                    <w:autoSpaceDN w:val="0"/>
                    <w:adjustRightInd w:val="0"/>
                    <w:snapToGrid w:val="0"/>
                    <w:rPr>
                      <w:kern w:val="0"/>
                      <w:szCs w:val="21"/>
                    </w:rPr>
                  </w:pPr>
                  <w:r>
                    <w:rPr>
                      <w:rFonts w:hint="eastAsia"/>
                      <w:kern w:val="0"/>
                      <w:szCs w:val="21"/>
                    </w:rPr>
                    <w:t>强化源头风险隐患排查，建立土壤环境风险管控清单，对重点监管源实施分类别、分用途和分阶段的全过程监管和综合整治，逐步构建形成具有区域特色的土壤环境管理体系，推动区域土壤环境质量逐步改善与提升。</w:t>
                  </w:r>
                </w:p>
              </w:tc>
              <w:tc>
                <w:tcPr>
                  <w:tcW w:w="1981" w:type="pct"/>
                  <w:vMerge w:val="continue"/>
                  <w:tcBorders>
                    <w:tl2br w:val="nil"/>
                    <w:tr2bl w:val="nil"/>
                  </w:tcBorders>
                  <w:vAlign w:val="center"/>
                </w:tcPr>
                <w:p>
                  <w:pPr>
                    <w:autoSpaceDE w:val="0"/>
                    <w:autoSpaceDN w:val="0"/>
                    <w:adjustRightInd w:val="0"/>
                    <w:snapToGrid w:val="0"/>
                    <w:rPr>
                      <w:kern w:val="0"/>
                      <w:szCs w:val="21"/>
                    </w:rPr>
                  </w:pP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restart"/>
                  <w:tcBorders>
                    <w:tl2br w:val="nil"/>
                    <w:tr2bl w:val="nil"/>
                  </w:tcBorders>
                  <w:vAlign w:val="center"/>
                </w:tcPr>
                <w:p>
                  <w:pPr>
                    <w:widowControl/>
                    <w:autoSpaceDE w:val="0"/>
                    <w:autoSpaceDN w:val="0"/>
                    <w:adjustRightInd w:val="0"/>
                    <w:snapToGrid w:val="0"/>
                    <w:jc w:val="center"/>
                    <w:rPr>
                      <w:kern w:val="0"/>
                      <w:szCs w:val="21"/>
                    </w:rPr>
                  </w:pPr>
                  <w:r>
                    <w:rPr>
                      <w:rFonts w:hint="eastAsia"/>
                      <w:kern w:val="0"/>
                      <w:szCs w:val="21"/>
                    </w:rPr>
                    <w:t>资源开发效率要求</w:t>
                  </w:r>
                </w:p>
              </w:tc>
              <w:tc>
                <w:tcPr>
                  <w:tcW w:w="2279" w:type="pct"/>
                  <w:tcBorders>
                    <w:tl2br w:val="nil"/>
                    <w:tr2bl w:val="nil"/>
                  </w:tcBorders>
                  <w:vAlign w:val="center"/>
                </w:tcPr>
                <w:p>
                  <w:pPr>
                    <w:autoSpaceDE w:val="0"/>
                    <w:autoSpaceDN w:val="0"/>
                    <w:adjustRightInd w:val="0"/>
                    <w:snapToGrid w:val="0"/>
                    <w:rPr>
                      <w:kern w:val="0"/>
                      <w:szCs w:val="21"/>
                    </w:rPr>
                  </w:pPr>
                  <w:r>
                    <w:rPr>
                      <w:rFonts w:hint="eastAsia"/>
                      <w:kern w:val="0"/>
                      <w:szCs w:val="21"/>
                    </w:rPr>
                    <w:t>能源：推动高新区能源系统整体优化和污染综合整治，鼓励工业企业、园区优先利用可再生能源。2025年区域综合能耗消费量预测当量值为449200吨标煤，区域单位GDP能耗预测值为0.5561吨标煤/万元，区域“十四五”时期能源消耗增量控制在141700吨标煤。</w:t>
                  </w:r>
                </w:p>
              </w:tc>
              <w:tc>
                <w:tcPr>
                  <w:tcW w:w="1981" w:type="pct"/>
                  <w:tcBorders>
                    <w:tl2br w:val="nil"/>
                    <w:tr2bl w:val="nil"/>
                  </w:tcBorders>
                  <w:vAlign w:val="center"/>
                </w:tcPr>
                <w:p>
                  <w:pPr>
                    <w:autoSpaceDE w:val="0"/>
                    <w:autoSpaceDN w:val="0"/>
                    <w:adjustRightInd w:val="0"/>
                    <w:snapToGrid w:val="0"/>
                    <w:rPr>
                      <w:kern w:val="0"/>
                      <w:szCs w:val="21"/>
                    </w:rPr>
                  </w:pPr>
                  <w:r>
                    <w:rPr>
                      <w:rFonts w:hint="eastAsia"/>
                      <w:kern w:val="0"/>
                      <w:szCs w:val="21"/>
                    </w:rPr>
                    <w:t>本项目不涉及燃煤及重油的使用。</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vAlign w:val="center"/>
                </w:tcPr>
                <w:p>
                  <w:pPr>
                    <w:autoSpaceDE w:val="0"/>
                    <w:autoSpaceDN w:val="0"/>
                    <w:adjustRightInd w:val="0"/>
                    <w:snapToGrid w:val="0"/>
                    <w:jc w:val="center"/>
                    <w:rPr>
                      <w:kern w:val="0"/>
                      <w:szCs w:val="21"/>
                    </w:rPr>
                  </w:pPr>
                </w:p>
              </w:tc>
              <w:tc>
                <w:tcPr>
                  <w:tcW w:w="2279" w:type="pct"/>
                  <w:tcBorders>
                    <w:tl2br w:val="nil"/>
                    <w:tr2bl w:val="nil"/>
                  </w:tcBorders>
                  <w:vAlign w:val="center"/>
                </w:tcPr>
                <w:p>
                  <w:pPr>
                    <w:autoSpaceDE w:val="0"/>
                    <w:autoSpaceDN w:val="0"/>
                    <w:adjustRightInd w:val="0"/>
                    <w:snapToGrid w:val="0"/>
                    <w:rPr>
                      <w:kern w:val="0"/>
                      <w:szCs w:val="21"/>
                    </w:rPr>
                  </w:pPr>
                  <w:r>
                    <w:rPr>
                      <w:rFonts w:hint="eastAsia"/>
                      <w:kern w:val="0"/>
                      <w:szCs w:val="21"/>
                    </w:rPr>
                    <w:t>水资源：（1）强化生产用水管理，大力推广高效冷却、循环用水等节水工艺和技术，支持企业开展节水技术改造。（2）积极推行水循环梯级利用，推动现有企业和高新区开展绿色高质量</w:t>
                  </w:r>
                  <w:r>
                    <w:rPr>
                      <w:rFonts w:hint="eastAsia"/>
                      <w:kern w:val="0"/>
                      <w:szCs w:val="21"/>
                      <w:lang w:eastAsia="zh-CN"/>
                    </w:rPr>
                    <w:t>升级</w:t>
                  </w:r>
                  <w:r>
                    <w:rPr>
                      <w:rFonts w:hint="eastAsia"/>
                      <w:kern w:val="0"/>
                      <w:szCs w:val="21"/>
                    </w:rPr>
                    <w:t>和循环化改造，促进企业间串联用水、分质用水，一水多用和循环利用。（3）2025年，高新区指标应符合相应行政区域的管控要求，湘阴县用水总量控制在3.455亿立方米以内，2025年万元地区生产总值用水量比2020年下降21.26%，2025年万元工业增加值用水量比2020年下降21.55%。</w:t>
                  </w:r>
                </w:p>
              </w:tc>
              <w:tc>
                <w:tcPr>
                  <w:tcW w:w="1981" w:type="pct"/>
                  <w:tcBorders>
                    <w:tl2br w:val="nil"/>
                    <w:tr2bl w:val="nil"/>
                  </w:tcBorders>
                  <w:vAlign w:val="center"/>
                </w:tcPr>
                <w:p>
                  <w:pPr>
                    <w:widowControl/>
                    <w:rPr>
                      <w:kern w:val="0"/>
                      <w:szCs w:val="21"/>
                    </w:rPr>
                  </w:pPr>
                  <w:r>
                    <w:rPr>
                      <w:kern w:val="0"/>
                      <w:szCs w:val="21"/>
                      <w:lang w:val="zh-CN"/>
                    </w:rPr>
                    <w:t>本项目</w:t>
                  </w:r>
                  <w:r>
                    <w:rPr>
                      <w:rFonts w:hint="eastAsia"/>
                      <w:kern w:val="0"/>
                      <w:szCs w:val="21"/>
                    </w:rPr>
                    <w:t>给水来自市政自来水管网供水，本项目用水为员工生活用水不属于高耗水企业，不涉及高耗水工艺，用水均符合</w:t>
                  </w:r>
                  <w:r>
                    <w:rPr>
                      <w:kern w:val="0"/>
                      <w:szCs w:val="21"/>
                    </w:rPr>
                    <w:t>《湖南省用水定额》（DB43/T388-2020）</w:t>
                  </w:r>
                  <w:r>
                    <w:rPr>
                      <w:rFonts w:hint="eastAsia"/>
                      <w:kern w:val="0"/>
                      <w:szCs w:val="21"/>
                    </w:rPr>
                    <w:t>要求。</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vMerge w:val="continue"/>
                  <w:tcBorders>
                    <w:tl2br w:val="nil"/>
                    <w:tr2bl w:val="nil"/>
                  </w:tcBorders>
                  <w:vAlign w:val="center"/>
                </w:tcPr>
                <w:p>
                  <w:pPr>
                    <w:widowControl/>
                    <w:autoSpaceDE w:val="0"/>
                    <w:autoSpaceDN w:val="0"/>
                    <w:adjustRightInd w:val="0"/>
                    <w:snapToGrid w:val="0"/>
                    <w:jc w:val="center"/>
                    <w:rPr>
                      <w:kern w:val="0"/>
                      <w:szCs w:val="21"/>
                    </w:rPr>
                  </w:pPr>
                </w:p>
              </w:tc>
              <w:tc>
                <w:tcPr>
                  <w:tcW w:w="2279" w:type="pct"/>
                  <w:tcBorders>
                    <w:tl2br w:val="nil"/>
                    <w:tr2bl w:val="nil"/>
                  </w:tcBorders>
                  <w:vAlign w:val="center"/>
                </w:tcPr>
                <w:p>
                  <w:pPr>
                    <w:autoSpaceDE w:val="0"/>
                    <w:autoSpaceDN w:val="0"/>
                    <w:adjustRightInd w:val="0"/>
                    <w:snapToGrid w:val="0"/>
                    <w:rPr>
                      <w:kern w:val="0"/>
                      <w:szCs w:val="21"/>
                    </w:rPr>
                  </w:pPr>
                  <w:r>
                    <w:rPr>
                      <w:rFonts w:hint="eastAsia"/>
                      <w:kern w:val="0"/>
                      <w:szCs w:val="21"/>
                    </w:rPr>
                    <w:t>土地资源：在详细规划编制、用地预审与选址、用地报批、土地出让、规划许可、竣工验收等环节，全面推行工业项目建设用地引导指标和工业项目供地负面清单管理。省级园区工业用地固定资产投入强度达到260万元/亩，工业用地地均税收达到13万元/亩。</w:t>
                  </w:r>
                </w:p>
              </w:tc>
              <w:tc>
                <w:tcPr>
                  <w:tcW w:w="1981" w:type="pct"/>
                  <w:tcBorders>
                    <w:tl2br w:val="nil"/>
                    <w:tr2bl w:val="nil"/>
                  </w:tcBorders>
                  <w:vAlign w:val="center"/>
                </w:tcPr>
                <w:p>
                  <w:pPr>
                    <w:autoSpaceDE w:val="0"/>
                    <w:autoSpaceDN w:val="0"/>
                    <w:adjustRightInd w:val="0"/>
                    <w:snapToGrid w:val="0"/>
                    <w:rPr>
                      <w:kern w:val="0"/>
                      <w:szCs w:val="21"/>
                    </w:rPr>
                  </w:pPr>
                  <w:r>
                    <w:rPr>
                      <w:rFonts w:hint="eastAsia"/>
                      <w:spacing w:val="7"/>
                      <w:szCs w:val="21"/>
                    </w:rPr>
                    <w:t>本项目位于园区规划的工业用地范围内，不新增园区工业用地。</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tcBorders>
                    <w:tl2br w:val="nil"/>
                    <w:tr2bl w:val="nil"/>
                  </w:tcBorders>
                  <w:vAlign w:val="center"/>
                </w:tcPr>
                <w:p>
                  <w:pPr>
                    <w:widowControl/>
                    <w:autoSpaceDE w:val="0"/>
                    <w:autoSpaceDN w:val="0"/>
                    <w:adjustRightInd w:val="0"/>
                    <w:snapToGrid w:val="0"/>
                    <w:jc w:val="center"/>
                    <w:rPr>
                      <w:kern w:val="0"/>
                      <w:szCs w:val="21"/>
                    </w:rPr>
                  </w:pPr>
                  <w:r>
                    <w:rPr>
                      <w:kern w:val="0"/>
                      <w:szCs w:val="21"/>
                    </w:rPr>
                    <w:t>备注*（湘发改</w:t>
                  </w:r>
                  <w:r>
                    <w:rPr>
                      <w:rFonts w:hint="eastAsia"/>
                      <w:kern w:val="0"/>
                      <w:szCs w:val="21"/>
                    </w:rPr>
                    <w:t>函</w:t>
                  </w:r>
                  <w:r>
                    <w:rPr>
                      <w:kern w:val="0"/>
                      <w:szCs w:val="21"/>
                    </w:rPr>
                    <w:t>〔202</w:t>
                  </w:r>
                  <w:r>
                    <w:rPr>
                      <w:rFonts w:hint="eastAsia"/>
                      <w:kern w:val="0"/>
                      <w:szCs w:val="21"/>
                    </w:rPr>
                    <w:t>3</w:t>
                  </w:r>
                  <w:r>
                    <w:rPr>
                      <w:kern w:val="0"/>
                      <w:szCs w:val="21"/>
                    </w:rPr>
                    <w:t>〕</w:t>
                  </w:r>
                  <w:r>
                    <w:rPr>
                      <w:rFonts w:hint="eastAsia"/>
                      <w:kern w:val="0"/>
                      <w:szCs w:val="21"/>
                    </w:rPr>
                    <w:t>68</w:t>
                  </w:r>
                  <w:r>
                    <w:rPr>
                      <w:kern w:val="0"/>
                      <w:szCs w:val="21"/>
                    </w:rPr>
                    <w:t>号）</w:t>
                  </w:r>
                </w:p>
              </w:tc>
              <w:tc>
                <w:tcPr>
                  <w:tcW w:w="2279" w:type="pct"/>
                  <w:tcBorders>
                    <w:tl2br w:val="nil"/>
                    <w:tr2bl w:val="nil"/>
                  </w:tcBorders>
                  <w:vAlign w:val="center"/>
                </w:tcPr>
                <w:p>
                  <w:pPr>
                    <w:autoSpaceDE w:val="0"/>
                    <w:autoSpaceDN w:val="0"/>
                    <w:adjustRightInd w:val="0"/>
                    <w:snapToGrid w:val="0"/>
                    <w:rPr>
                      <w:kern w:val="0"/>
                      <w:szCs w:val="21"/>
                    </w:rPr>
                  </w:pPr>
                  <w:r>
                    <w:rPr>
                      <w:rFonts w:hint="eastAsia"/>
                      <w:kern w:val="0"/>
                      <w:szCs w:val="21"/>
                    </w:rPr>
                    <w:t>（1）</w:t>
                  </w:r>
                  <w:r>
                    <w:rPr>
                      <w:kern w:val="0"/>
                      <w:szCs w:val="21"/>
                    </w:rPr>
                    <w:t>区块一：面积6.7464 km</w:t>
                  </w:r>
                  <w:r>
                    <w:rPr>
                      <w:kern w:val="0"/>
                      <w:szCs w:val="21"/>
                      <w:vertAlign w:val="superscript"/>
                    </w:rPr>
                    <w:t>2</w:t>
                  </w:r>
                  <w:r>
                    <w:rPr>
                      <w:kern w:val="0"/>
                      <w:szCs w:val="21"/>
                    </w:rPr>
                    <w:t>，四至范围：东至芙蓉北路，南至城南村，西至中联大道，北至白水江路</w:t>
                  </w:r>
                  <w:r>
                    <w:rPr>
                      <w:rFonts w:hint="eastAsia"/>
                      <w:kern w:val="0"/>
                      <w:szCs w:val="21"/>
                    </w:rPr>
                    <w:t>。</w:t>
                  </w:r>
                </w:p>
                <w:p>
                  <w:pPr>
                    <w:autoSpaceDE w:val="0"/>
                    <w:autoSpaceDN w:val="0"/>
                    <w:adjustRightInd w:val="0"/>
                    <w:snapToGrid w:val="0"/>
                    <w:rPr>
                      <w:kern w:val="0"/>
                      <w:szCs w:val="21"/>
                    </w:rPr>
                  </w:pPr>
                  <w:r>
                    <w:rPr>
                      <w:rFonts w:hint="eastAsia"/>
                      <w:kern w:val="0"/>
                      <w:szCs w:val="21"/>
                    </w:rPr>
                    <w:t>（2）区块二：面积1.7211km</w:t>
                  </w:r>
                  <w:r>
                    <w:rPr>
                      <w:rFonts w:hint="eastAsia"/>
                      <w:kern w:val="0"/>
                      <w:szCs w:val="21"/>
                      <w:vertAlign w:val="superscript"/>
                    </w:rPr>
                    <w:t>2</w:t>
                  </w:r>
                </w:p>
                <w:p>
                  <w:pPr>
                    <w:autoSpaceDE w:val="0"/>
                    <w:autoSpaceDN w:val="0"/>
                    <w:adjustRightInd w:val="0"/>
                    <w:snapToGrid w:val="0"/>
                    <w:rPr>
                      <w:kern w:val="0"/>
                      <w:szCs w:val="21"/>
                    </w:rPr>
                  </w:pPr>
                  <w:r>
                    <w:rPr>
                      <w:rFonts w:hint="eastAsia"/>
                      <w:kern w:val="0"/>
                      <w:szCs w:val="21"/>
                    </w:rPr>
                    <w:t>，四至范围：东至太傅路，南至湘阴</w:t>
                  </w:r>
                  <w:r>
                    <w:rPr>
                      <w:rFonts w:hint="eastAsia"/>
                      <w:color w:val="FF0000"/>
                      <w:kern w:val="0"/>
                      <w:szCs w:val="21"/>
                    </w:rPr>
                    <w:t>潜</w:t>
                  </w:r>
                  <w:r>
                    <w:rPr>
                      <w:rFonts w:hint="eastAsia"/>
                      <w:kern w:val="0"/>
                      <w:szCs w:val="21"/>
                    </w:rPr>
                    <w:t>溪港，西至湘江东岸，北至长岭村三峰窑。</w:t>
                  </w:r>
                </w:p>
                <w:p>
                  <w:pPr>
                    <w:autoSpaceDE w:val="0"/>
                    <w:autoSpaceDN w:val="0"/>
                    <w:adjustRightInd w:val="0"/>
                    <w:snapToGrid w:val="0"/>
                    <w:rPr>
                      <w:kern w:val="0"/>
                      <w:szCs w:val="21"/>
                    </w:rPr>
                  </w:pPr>
                  <w:r>
                    <w:rPr>
                      <w:rFonts w:hint="eastAsia"/>
                      <w:kern w:val="0"/>
                      <w:szCs w:val="21"/>
                    </w:rPr>
                    <w:t>（3）区块三：面积2.4663 km</w:t>
                  </w:r>
                  <w:r>
                    <w:rPr>
                      <w:rFonts w:hint="eastAsia"/>
                      <w:kern w:val="0"/>
                      <w:szCs w:val="21"/>
                      <w:vertAlign w:val="superscript"/>
                    </w:rPr>
                    <w:t>2</w:t>
                  </w:r>
                  <w:r>
                    <w:rPr>
                      <w:rFonts w:hint="eastAsia"/>
                      <w:kern w:val="0"/>
                      <w:szCs w:val="21"/>
                    </w:rPr>
                    <w:t>，四至范围：东至金凤大道，南至余家冲，西至许广高速以东620米处，北至X064县道。</w:t>
                  </w:r>
                </w:p>
              </w:tc>
              <w:tc>
                <w:tcPr>
                  <w:tcW w:w="1981" w:type="pct"/>
                  <w:tcBorders>
                    <w:tl2br w:val="nil"/>
                    <w:tr2bl w:val="nil"/>
                  </w:tcBorders>
                  <w:vAlign w:val="center"/>
                </w:tcPr>
                <w:p>
                  <w:pPr>
                    <w:autoSpaceDE w:val="0"/>
                    <w:autoSpaceDN w:val="0"/>
                    <w:adjustRightInd w:val="0"/>
                    <w:snapToGrid w:val="0"/>
                    <w:jc w:val="center"/>
                    <w:rPr>
                      <w:kern w:val="0"/>
                      <w:szCs w:val="21"/>
                    </w:rPr>
                  </w:pPr>
                  <w:r>
                    <w:rPr>
                      <w:rFonts w:hint="eastAsia"/>
                      <w:kern w:val="0"/>
                      <w:szCs w:val="21"/>
                    </w:rPr>
                    <w:t>本项目位于区块一</w:t>
                  </w:r>
                </w:p>
              </w:tc>
              <w:tc>
                <w:tcPr>
                  <w:tcW w:w="363" w:type="pct"/>
                  <w:tcBorders>
                    <w:tl2br w:val="nil"/>
                    <w:tr2bl w:val="nil"/>
                  </w:tcBorders>
                  <w:vAlign w:val="center"/>
                </w:tcPr>
                <w:p>
                  <w:pPr>
                    <w:autoSpaceDE w:val="0"/>
                    <w:autoSpaceDN w:val="0"/>
                    <w:adjustRightInd w:val="0"/>
                    <w:snapToGrid w:val="0"/>
                    <w:jc w:val="center"/>
                    <w:rPr>
                      <w:kern w:val="0"/>
                      <w:szCs w:val="21"/>
                    </w:rPr>
                  </w:pPr>
                  <w:r>
                    <w:rPr>
                      <w:kern w:val="0"/>
                      <w:szCs w:val="21"/>
                    </w:rPr>
                    <w:t>符合</w:t>
                  </w:r>
                </w:p>
              </w:tc>
            </w:tr>
          </w:tbl>
          <w:p>
            <w:pPr>
              <w:spacing w:line="360" w:lineRule="auto"/>
              <w:ind w:firstLine="480" w:firstLineChars="200"/>
              <w:rPr>
                <w:bCs/>
                <w:sz w:val="24"/>
              </w:rPr>
            </w:pPr>
            <w:r>
              <w:rPr>
                <w:bCs/>
                <w:sz w:val="24"/>
              </w:rPr>
              <w:t>综上，本项目与</w:t>
            </w:r>
            <w:r>
              <w:rPr>
                <w:rFonts w:hint="eastAsia"/>
                <w:kern w:val="0"/>
                <w:sz w:val="24"/>
              </w:rPr>
              <w:t>《湖南省生态环境分区管控总体管控要求暨省级以上产业园区生态环境准入清单》（2023版）</w:t>
            </w:r>
            <w:r>
              <w:rPr>
                <w:bCs/>
                <w:sz w:val="24"/>
              </w:rPr>
              <w:t>相符</w:t>
            </w:r>
            <w:r>
              <w:rPr>
                <w:rFonts w:hint="eastAsia"/>
                <w:bCs/>
                <w:sz w:val="24"/>
              </w:rPr>
              <w:t>。</w:t>
            </w:r>
          </w:p>
          <w:p>
            <w:pPr>
              <w:pStyle w:val="12"/>
              <w:snapToGrid/>
              <w:spacing w:before="0" w:after="0" w:line="360" w:lineRule="auto"/>
              <w:ind w:right="0"/>
              <w:jc w:val="left"/>
              <w:rPr>
                <w:b/>
                <w:bCs/>
                <w:sz w:val="24"/>
                <w:szCs w:val="24"/>
              </w:rPr>
            </w:pPr>
            <w:r>
              <w:rPr>
                <w:rFonts w:hint="eastAsia"/>
                <w:b/>
                <w:bCs/>
                <w:sz w:val="24"/>
                <w:szCs w:val="24"/>
              </w:rPr>
              <w:t>6、与《湘阴高新技术产业开发区调区扩区规划环境影响报告书》中湘阴高新技术产业开发区生态环境准入清单动态更新相符性分析</w:t>
            </w:r>
          </w:p>
          <w:p>
            <w:pPr>
              <w:autoSpaceDE w:val="0"/>
              <w:autoSpaceDN w:val="0"/>
              <w:adjustRightInd w:val="0"/>
              <w:snapToGrid w:val="0"/>
              <w:spacing w:line="360" w:lineRule="auto"/>
              <w:ind w:firstLine="480" w:firstLineChars="200"/>
              <w:rPr>
                <w:kern w:val="0"/>
                <w:sz w:val="24"/>
              </w:rPr>
            </w:pPr>
            <w:r>
              <w:rPr>
                <w:rFonts w:hint="eastAsia"/>
                <w:kern w:val="0"/>
                <w:sz w:val="24"/>
              </w:rPr>
              <w:t>根据《湘阴高新技术产业开发区调区扩区规划环境影响报告书》中“表10.2-1 湘阴高新技术产业开发区生态环境准入清单提出动态更新”，本项目属于湘阴</w:t>
            </w:r>
            <w:r>
              <w:rPr>
                <w:rFonts w:hint="eastAsia"/>
                <w:kern w:val="0"/>
                <w:sz w:val="24"/>
                <w:lang w:eastAsia="zh-CN"/>
              </w:rPr>
              <w:t>高新技术产业开发区</w:t>
            </w:r>
            <w:r>
              <w:rPr>
                <w:rFonts w:hint="eastAsia"/>
                <w:kern w:val="0"/>
                <w:sz w:val="24"/>
              </w:rPr>
              <w:t>范围，其管控要求具体如下：</w:t>
            </w:r>
          </w:p>
          <w:p>
            <w:pPr>
              <w:pStyle w:val="12"/>
              <w:spacing w:before="0" w:after="0" w:line="240" w:lineRule="auto"/>
              <w:ind w:right="0"/>
              <w:jc w:val="center"/>
              <w:rPr>
                <w:b/>
                <w:bCs/>
                <w:sz w:val="21"/>
                <w:szCs w:val="21"/>
              </w:rPr>
            </w:pPr>
            <w:r>
              <w:rPr>
                <w:b/>
                <w:bCs/>
                <w:sz w:val="21"/>
                <w:szCs w:val="21"/>
              </w:rPr>
              <w:t>表1-</w:t>
            </w:r>
            <w:r>
              <w:rPr>
                <w:rFonts w:hint="eastAsia"/>
                <w:b/>
                <w:bCs/>
                <w:sz w:val="21"/>
                <w:szCs w:val="21"/>
              </w:rPr>
              <w:t>5</w:t>
            </w:r>
            <w:r>
              <w:rPr>
                <w:b/>
                <w:bCs/>
                <w:sz w:val="21"/>
                <w:szCs w:val="21"/>
              </w:rPr>
              <w:t xml:space="preserve"> </w:t>
            </w:r>
            <w:r>
              <w:rPr>
                <w:rFonts w:hint="eastAsia"/>
                <w:b/>
                <w:bCs/>
                <w:sz w:val="21"/>
                <w:szCs w:val="21"/>
              </w:rPr>
              <w:t xml:space="preserve"> </w:t>
            </w:r>
            <w:r>
              <w:rPr>
                <w:b/>
                <w:bCs/>
                <w:sz w:val="21"/>
                <w:szCs w:val="21"/>
              </w:rPr>
              <w:t>与</w:t>
            </w:r>
            <w:r>
              <w:rPr>
                <w:rFonts w:hint="eastAsia"/>
                <w:b/>
                <w:bCs/>
                <w:sz w:val="21"/>
                <w:szCs w:val="21"/>
              </w:rPr>
              <w:t>“湘阴高新技术产业开发区生态环境准入清单提出动态更新”</w:t>
            </w:r>
            <w:r>
              <w:rPr>
                <w:b/>
                <w:bCs/>
                <w:sz w:val="21"/>
                <w:szCs w:val="21"/>
              </w:rPr>
              <w:t>的符合性分析表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30"/>
              <w:gridCol w:w="2462"/>
              <w:gridCol w:w="2872"/>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tabs>
                      <w:tab w:val="left" w:pos="7430"/>
                    </w:tabs>
                    <w:jc w:val="center"/>
                    <w:rPr>
                      <w:b/>
                      <w:bCs/>
                      <w:szCs w:val="21"/>
                    </w:rPr>
                  </w:pPr>
                  <w:r>
                    <w:rPr>
                      <w:b/>
                      <w:bCs/>
                      <w:szCs w:val="21"/>
                    </w:rPr>
                    <w:t>序号</w:t>
                  </w:r>
                </w:p>
              </w:tc>
              <w:tc>
                <w:tcPr>
                  <w:tcW w:w="553" w:type="pct"/>
                  <w:tcBorders>
                    <w:tl2br w:val="nil"/>
                    <w:tr2bl w:val="nil"/>
                  </w:tcBorders>
                  <w:vAlign w:val="center"/>
                </w:tcPr>
                <w:p>
                  <w:pPr>
                    <w:tabs>
                      <w:tab w:val="left" w:pos="7430"/>
                    </w:tabs>
                    <w:jc w:val="center"/>
                    <w:rPr>
                      <w:b/>
                      <w:bCs/>
                      <w:szCs w:val="21"/>
                    </w:rPr>
                  </w:pPr>
                  <w:r>
                    <w:rPr>
                      <w:b/>
                      <w:bCs/>
                      <w:szCs w:val="21"/>
                    </w:rPr>
                    <w:t>管控维度</w:t>
                  </w:r>
                </w:p>
              </w:tc>
              <w:tc>
                <w:tcPr>
                  <w:tcW w:w="1641" w:type="pct"/>
                  <w:tcBorders>
                    <w:tl2br w:val="nil"/>
                    <w:tr2bl w:val="nil"/>
                  </w:tcBorders>
                  <w:vAlign w:val="center"/>
                </w:tcPr>
                <w:p>
                  <w:pPr>
                    <w:tabs>
                      <w:tab w:val="left" w:pos="7430"/>
                    </w:tabs>
                    <w:jc w:val="center"/>
                    <w:rPr>
                      <w:b/>
                      <w:bCs/>
                      <w:szCs w:val="21"/>
                    </w:rPr>
                  </w:pPr>
                  <w:r>
                    <w:rPr>
                      <w:b/>
                      <w:bCs/>
                      <w:szCs w:val="21"/>
                    </w:rPr>
                    <w:t>管控要求</w:t>
                  </w:r>
                </w:p>
              </w:tc>
              <w:tc>
                <w:tcPr>
                  <w:tcW w:w="1914" w:type="pct"/>
                  <w:tcBorders>
                    <w:tl2br w:val="nil"/>
                    <w:tr2bl w:val="nil"/>
                  </w:tcBorders>
                  <w:vAlign w:val="center"/>
                </w:tcPr>
                <w:p>
                  <w:pPr>
                    <w:tabs>
                      <w:tab w:val="left" w:pos="7430"/>
                    </w:tabs>
                    <w:jc w:val="center"/>
                    <w:rPr>
                      <w:b/>
                      <w:bCs/>
                      <w:szCs w:val="21"/>
                    </w:rPr>
                  </w:pPr>
                  <w:r>
                    <w:rPr>
                      <w:b/>
                      <w:bCs/>
                      <w:szCs w:val="21"/>
                    </w:rPr>
                    <w:t>本项目情况</w:t>
                  </w:r>
                </w:p>
              </w:tc>
              <w:tc>
                <w:tcPr>
                  <w:tcW w:w="511" w:type="pct"/>
                  <w:tcBorders>
                    <w:tl2br w:val="nil"/>
                    <w:tr2bl w:val="nil"/>
                  </w:tcBorders>
                  <w:vAlign w:val="center"/>
                </w:tcPr>
                <w:p>
                  <w:pPr>
                    <w:tabs>
                      <w:tab w:val="left" w:pos="7430"/>
                    </w:tabs>
                    <w:jc w:val="cente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1</w:t>
                  </w:r>
                </w:p>
              </w:tc>
              <w:tc>
                <w:tcPr>
                  <w:tcW w:w="553" w:type="pct"/>
                  <w:vMerge w:val="restart"/>
                  <w:tcBorders>
                    <w:tl2br w:val="nil"/>
                    <w:tr2bl w:val="nil"/>
                  </w:tcBorders>
                  <w:vAlign w:val="center"/>
                </w:tcPr>
                <w:p>
                  <w:pPr>
                    <w:pStyle w:val="12"/>
                    <w:spacing w:before="0" w:after="0" w:line="240" w:lineRule="auto"/>
                    <w:ind w:right="0"/>
                    <w:jc w:val="center"/>
                    <w:rPr>
                      <w:sz w:val="21"/>
                      <w:szCs w:val="21"/>
                    </w:rPr>
                  </w:pPr>
                  <w:r>
                    <w:rPr>
                      <w:sz w:val="21"/>
                      <w:szCs w:val="21"/>
                    </w:rPr>
                    <w:t>空间布局约束</w:t>
                  </w:r>
                </w:p>
              </w:tc>
              <w:tc>
                <w:tcPr>
                  <w:tcW w:w="1641" w:type="pct"/>
                  <w:tcBorders>
                    <w:tl2br w:val="nil"/>
                    <w:tr2bl w:val="nil"/>
                  </w:tcBorders>
                  <w:vAlign w:val="center"/>
                </w:tcPr>
                <w:p>
                  <w:pPr>
                    <w:widowControl/>
                    <w:jc w:val="left"/>
                  </w:pPr>
                  <w:r>
                    <w:rPr>
                      <w:rFonts w:hint="eastAsia" w:ascii="宋体" w:hAnsi="宋体" w:cs="宋体"/>
                      <w:color w:val="000000"/>
                      <w:kern w:val="0"/>
                      <w:szCs w:val="21"/>
                      <w:lang w:bidi="ar"/>
                    </w:rPr>
                    <w:t>洋沙湖片区：按产业布局规划、用地布局引进产业，严格限制三类工业入驻；临居民区、学校的一类工业用地，严禁引进噪声、气型污染大的企业；严格控制排放一类污染物或持久性、难降解污染物的项目；</w:t>
                  </w:r>
                </w:p>
                <w:p>
                  <w:pPr>
                    <w:pStyle w:val="12"/>
                    <w:spacing w:before="0" w:after="0" w:line="240" w:lineRule="auto"/>
                    <w:ind w:right="0"/>
                    <w:rPr>
                      <w:sz w:val="21"/>
                      <w:szCs w:val="21"/>
                    </w:rPr>
                  </w:pPr>
                </w:p>
              </w:tc>
              <w:tc>
                <w:tcPr>
                  <w:tcW w:w="1914" w:type="pct"/>
                  <w:tcBorders>
                    <w:tl2br w:val="nil"/>
                    <w:tr2bl w:val="nil"/>
                  </w:tcBorders>
                  <w:vAlign w:val="center"/>
                </w:tcPr>
                <w:p>
                  <w:pPr>
                    <w:pStyle w:val="12"/>
                    <w:spacing w:before="0" w:after="0" w:line="240" w:lineRule="auto"/>
                    <w:ind w:right="0"/>
                    <w:rPr>
                      <w:sz w:val="21"/>
                      <w:szCs w:val="21"/>
                    </w:rPr>
                  </w:pPr>
                  <w:r>
                    <w:rPr>
                      <w:sz w:val="21"/>
                      <w:szCs w:val="21"/>
                      <w:u w:val="single"/>
                    </w:rPr>
                    <w:t>本项目不属于</w:t>
                  </w:r>
                  <w:r>
                    <w:rPr>
                      <w:rFonts w:hint="eastAsia"/>
                      <w:sz w:val="21"/>
                      <w:szCs w:val="21"/>
                      <w:u w:val="single"/>
                      <w:lang w:val="en-US" w:eastAsia="zh-CN"/>
                    </w:rPr>
                    <w:t>高污染高能耗的</w:t>
                  </w:r>
                  <w:r>
                    <w:rPr>
                      <w:sz w:val="21"/>
                      <w:szCs w:val="21"/>
                      <w:u w:val="single"/>
                    </w:rPr>
                    <w:t>三类工业，</w:t>
                  </w:r>
                  <w:r>
                    <w:rPr>
                      <w:rFonts w:hint="eastAsia"/>
                      <w:sz w:val="21"/>
                      <w:szCs w:val="21"/>
                      <w:u w:val="single"/>
                      <w:lang w:val="en-US" w:eastAsia="zh-CN"/>
                    </w:rPr>
                    <w:t>本项目所排放的噪声和废气经分析，能够达到国家和地方的排放标准，且所排放的VOCs排放量控制在招商引资要求的范围之内，经分析对周边居民影响较小</w:t>
                  </w:r>
                  <w:r>
                    <w:rPr>
                      <w:rFonts w:hint="eastAsia"/>
                      <w:sz w:val="21"/>
                      <w:szCs w:val="21"/>
                      <w:u w:val="single"/>
                    </w:rPr>
                    <w:t>，</w:t>
                  </w:r>
                  <w:r>
                    <w:rPr>
                      <w:rFonts w:hint="eastAsia"/>
                      <w:sz w:val="21"/>
                      <w:szCs w:val="21"/>
                      <w:u w:val="single"/>
                      <w:lang w:val="en-US" w:eastAsia="zh-CN"/>
                    </w:rPr>
                    <w:t>本项目无生产废水外排，</w:t>
                  </w:r>
                  <w:r>
                    <w:rPr>
                      <w:rFonts w:hint="eastAsia"/>
                      <w:sz w:val="21"/>
                      <w:szCs w:val="21"/>
                      <w:u w:val="single"/>
                    </w:rPr>
                    <w:t>不涉及第一类污染物或持久性、难降解有机污染物的排放。</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2</w:t>
                  </w:r>
                </w:p>
              </w:tc>
              <w:tc>
                <w:tcPr>
                  <w:tcW w:w="553" w:type="pct"/>
                  <w:vMerge w:val="continue"/>
                  <w:tcBorders>
                    <w:tl2br w:val="nil"/>
                    <w:tr2bl w:val="nil"/>
                  </w:tcBorders>
                  <w:vAlign w:val="center"/>
                </w:tcPr>
                <w:p>
                  <w:pPr>
                    <w:pStyle w:val="12"/>
                    <w:spacing w:before="0" w:after="0" w:line="240" w:lineRule="auto"/>
                    <w:ind w:right="0"/>
                    <w:jc w:val="center"/>
                    <w:rPr>
                      <w:sz w:val="21"/>
                      <w:szCs w:val="21"/>
                    </w:rPr>
                  </w:pP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严格按照经核准、认定的规划范围开展园区建设，涉及状元塔、左太傅祠省级文物保护范围、建设控制地带和涉及湖南湘阴洋沙湖-东湖国家湿地公园的地块，禁止占用和开发；</w:t>
                  </w:r>
                </w:p>
              </w:tc>
              <w:tc>
                <w:tcPr>
                  <w:tcW w:w="1914" w:type="pct"/>
                  <w:tcBorders>
                    <w:tl2br w:val="nil"/>
                    <w:tr2bl w:val="nil"/>
                  </w:tcBorders>
                  <w:vAlign w:val="center"/>
                </w:tcPr>
                <w:p>
                  <w:pPr>
                    <w:pStyle w:val="12"/>
                    <w:spacing w:before="0" w:after="0" w:line="240" w:lineRule="auto"/>
                    <w:ind w:right="0"/>
                    <w:rPr>
                      <w:sz w:val="21"/>
                      <w:szCs w:val="21"/>
                    </w:rPr>
                  </w:pPr>
                  <w:r>
                    <w:rPr>
                      <w:sz w:val="21"/>
                      <w:szCs w:val="21"/>
                    </w:rPr>
                    <w:t>本项目位于湘阴高新区</w:t>
                  </w:r>
                  <w:r>
                    <w:rPr>
                      <w:rFonts w:hint="eastAsia"/>
                      <w:sz w:val="21"/>
                      <w:szCs w:val="21"/>
                    </w:rPr>
                    <w:t>洋沙湖</w:t>
                  </w:r>
                  <w:r>
                    <w:rPr>
                      <w:sz w:val="21"/>
                      <w:szCs w:val="21"/>
                    </w:rPr>
                    <w:t>片区，不涉及状元塔、左太傅祠省级文物保护范围、建设控制地带和涉及湖南湘阴洋沙湖-东湖国家湿地公园的地块</w:t>
                  </w:r>
                  <w:r>
                    <w:rPr>
                      <w:rFonts w:hint="eastAsia"/>
                      <w:sz w:val="21"/>
                      <w:szCs w:val="21"/>
                    </w:rPr>
                    <w:t>。</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3</w:t>
                  </w:r>
                </w:p>
              </w:tc>
              <w:tc>
                <w:tcPr>
                  <w:tcW w:w="553" w:type="pct"/>
                  <w:vMerge w:val="continue"/>
                  <w:tcBorders>
                    <w:tl2br w:val="nil"/>
                    <w:tr2bl w:val="nil"/>
                  </w:tcBorders>
                  <w:vAlign w:val="center"/>
                </w:tcPr>
                <w:p>
                  <w:pPr>
                    <w:pStyle w:val="12"/>
                    <w:spacing w:before="0" w:after="0" w:line="240" w:lineRule="auto"/>
                    <w:ind w:right="0"/>
                    <w:jc w:val="center"/>
                    <w:rPr>
                      <w:sz w:val="21"/>
                      <w:szCs w:val="21"/>
                    </w:rPr>
                  </w:pP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产业准入：应严格遵循《</w:t>
                  </w:r>
                  <w:r>
                    <w:rPr>
                      <w:rFonts w:hint="eastAsia"/>
                      <w:sz w:val="21"/>
                      <w:szCs w:val="21"/>
                    </w:rPr>
                    <w:t>中华人民共和国长江保护法》《</w:t>
                  </w:r>
                  <w:r>
                    <w:rPr>
                      <w:sz w:val="21"/>
                      <w:szCs w:val="21"/>
                    </w:rPr>
                    <w:t>长江经济带发展负面清单指南（试行）</w:t>
                  </w:r>
                  <w:r>
                    <w:rPr>
                      <w:rFonts w:hint="eastAsia"/>
                      <w:sz w:val="21"/>
                      <w:szCs w:val="21"/>
                    </w:rPr>
                    <w:t>》《</w:t>
                  </w:r>
                  <w:r>
                    <w:rPr>
                      <w:sz w:val="21"/>
                      <w:szCs w:val="21"/>
                    </w:rPr>
                    <w:t>湖南省湘江保护条例</w:t>
                  </w:r>
                  <w:r>
                    <w:rPr>
                      <w:rFonts w:hint="eastAsia"/>
                      <w:sz w:val="21"/>
                      <w:szCs w:val="21"/>
                    </w:rPr>
                    <w:t>》《</w:t>
                  </w:r>
                  <w:r>
                    <w:rPr>
                      <w:sz w:val="21"/>
                      <w:szCs w:val="21"/>
                    </w:rPr>
                    <w:t>湖南省洞庭湖保护条例》等法律法规及相关政策的要求，落实“三线一单”环境准入要求及《报告书》提出的准入条件。</w:t>
                  </w:r>
                </w:p>
              </w:tc>
              <w:tc>
                <w:tcPr>
                  <w:tcW w:w="1914" w:type="pct"/>
                  <w:tcBorders>
                    <w:tl2br w:val="nil"/>
                    <w:tr2bl w:val="nil"/>
                  </w:tcBorders>
                  <w:vAlign w:val="center"/>
                </w:tcPr>
                <w:p>
                  <w:pPr>
                    <w:pStyle w:val="12"/>
                    <w:spacing w:before="0" w:after="0" w:line="240" w:lineRule="auto"/>
                    <w:ind w:right="0"/>
                    <w:rPr>
                      <w:sz w:val="21"/>
                      <w:szCs w:val="21"/>
                    </w:rPr>
                  </w:pPr>
                  <w:r>
                    <w:rPr>
                      <w:sz w:val="21"/>
                      <w:szCs w:val="21"/>
                    </w:rPr>
                    <w:t>项目为</w:t>
                  </w:r>
                  <w:r>
                    <w:rPr>
                      <w:rFonts w:hint="eastAsia"/>
                      <w:sz w:val="21"/>
                      <w:szCs w:val="21"/>
                    </w:rPr>
                    <w:t>C2032 木门窗制造</w:t>
                  </w:r>
                  <w:r>
                    <w:rPr>
                      <w:sz w:val="21"/>
                      <w:szCs w:val="21"/>
                    </w:rPr>
                    <w:t>，不属于环境准入清单负面行业，符合工业园产业定位。项目符合《</w:t>
                  </w:r>
                  <w:r>
                    <w:rPr>
                      <w:rFonts w:hint="eastAsia"/>
                      <w:sz w:val="21"/>
                      <w:szCs w:val="21"/>
                    </w:rPr>
                    <w:t>中华人民共和国长江保护法</w:t>
                  </w:r>
                  <w:r>
                    <w:rPr>
                      <w:sz w:val="21"/>
                      <w:szCs w:val="21"/>
                    </w:rPr>
                    <w:t>》《长江经济带发展负面清单》《湘江保护条例》等法律法规及相关政策的要求。项目不属于园区规划环评中负面清单产业</w:t>
                  </w:r>
                  <w:r>
                    <w:rPr>
                      <w:rFonts w:hint="eastAsia"/>
                      <w:sz w:val="21"/>
                      <w:szCs w:val="21"/>
                    </w:rPr>
                    <w:t>，满足</w:t>
                  </w:r>
                  <w:r>
                    <w:rPr>
                      <w:sz w:val="21"/>
                      <w:szCs w:val="21"/>
                    </w:rPr>
                    <w:t>“三线一单”环境准入要求。</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4</w:t>
                  </w:r>
                </w:p>
              </w:tc>
              <w:tc>
                <w:tcPr>
                  <w:tcW w:w="553" w:type="pct"/>
                  <w:vMerge w:val="continue"/>
                  <w:tcBorders>
                    <w:tl2br w:val="nil"/>
                    <w:tr2bl w:val="nil"/>
                  </w:tcBorders>
                  <w:vAlign w:val="center"/>
                </w:tcPr>
                <w:p>
                  <w:pPr>
                    <w:pStyle w:val="12"/>
                    <w:spacing w:before="0" w:after="0" w:line="240" w:lineRule="auto"/>
                    <w:ind w:right="0"/>
                    <w:jc w:val="center"/>
                    <w:rPr>
                      <w:sz w:val="21"/>
                      <w:szCs w:val="21"/>
                    </w:rPr>
                  </w:pP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周边控规。优化开发时序，落实拆迁安置计划，杜绝在规划的工业用地上新增环境敏感目标，确保园区开发过程中的居民拆迁安置到位，防止发生居民再次安置和次生环境问题，对于具体项目环评设置防护距离和拆迁要求的，要确保予以落实。</w:t>
                  </w:r>
                </w:p>
              </w:tc>
              <w:tc>
                <w:tcPr>
                  <w:tcW w:w="1914" w:type="pct"/>
                  <w:tcBorders>
                    <w:tl2br w:val="nil"/>
                    <w:tr2bl w:val="nil"/>
                  </w:tcBorders>
                  <w:vAlign w:val="center"/>
                </w:tcPr>
                <w:p>
                  <w:pPr>
                    <w:pStyle w:val="12"/>
                    <w:spacing w:before="0" w:after="0" w:line="240" w:lineRule="auto"/>
                    <w:ind w:right="0"/>
                    <w:rPr>
                      <w:sz w:val="21"/>
                      <w:szCs w:val="21"/>
                    </w:rPr>
                  </w:pPr>
                  <w:r>
                    <w:rPr>
                      <w:sz w:val="21"/>
                      <w:szCs w:val="21"/>
                    </w:rPr>
                    <w:t>本项目不涉及居民拆迁，符合要求。</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5</w:t>
                  </w:r>
                </w:p>
              </w:tc>
              <w:tc>
                <w:tcPr>
                  <w:tcW w:w="553" w:type="pct"/>
                  <w:vMerge w:val="restart"/>
                  <w:tcBorders>
                    <w:tl2br w:val="nil"/>
                    <w:tr2bl w:val="nil"/>
                  </w:tcBorders>
                  <w:vAlign w:val="center"/>
                </w:tcPr>
                <w:p>
                  <w:pPr>
                    <w:pStyle w:val="12"/>
                    <w:spacing w:before="0" w:after="0" w:line="240" w:lineRule="auto"/>
                    <w:ind w:right="0"/>
                    <w:jc w:val="center"/>
                    <w:rPr>
                      <w:sz w:val="21"/>
                      <w:szCs w:val="21"/>
                    </w:rPr>
                  </w:pPr>
                  <w:r>
                    <w:rPr>
                      <w:sz w:val="21"/>
                      <w:szCs w:val="21"/>
                    </w:rPr>
                    <w:t>污染物排放管控</w:t>
                  </w: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废水：园区排水实施雨污分流，园区雨水经雨水管网收集设置雨水排放口排放。洋沙湖片区废水进入湘阴县第二污水处理厂处理，园区不得超过污水处理厂的处理能力和排污口审批所规定的废水排放量引进项目。</w:t>
                  </w:r>
                </w:p>
              </w:tc>
              <w:tc>
                <w:tcPr>
                  <w:tcW w:w="1914" w:type="pct"/>
                  <w:tcBorders>
                    <w:tl2br w:val="nil"/>
                    <w:tr2bl w:val="nil"/>
                  </w:tcBorders>
                  <w:vAlign w:val="center"/>
                </w:tcPr>
                <w:p>
                  <w:pPr>
                    <w:pStyle w:val="12"/>
                    <w:spacing w:before="0" w:after="0" w:line="240" w:lineRule="auto"/>
                    <w:ind w:right="0"/>
                    <w:rPr>
                      <w:sz w:val="21"/>
                      <w:szCs w:val="21"/>
                    </w:rPr>
                  </w:pPr>
                  <w:r>
                    <w:rPr>
                      <w:sz w:val="21"/>
                      <w:szCs w:val="21"/>
                    </w:rPr>
                    <w:t>本项目所在园区已实现“雨污分流”，本</w:t>
                  </w:r>
                  <w:r>
                    <w:rPr>
                      <w:rFonts w:hint="eastAsia"/>
                      <w:sz w:val="21"/>
                      <w:szCs w:val="21"/>
                    </w:rPr>
                    <w:t>项目的生活污水</w:t>
                  </w:r>
                  <w:r>
                    <w:rPr>
                      <w:sz w:val="21"/>
                      <w:szCs w:val="21"/>
                    </w:rPr>
                    <w:t>经</w:t>
                  </w:r>
                  <w:r>
                    <w:rPr>
                      <w:rFonts w:hint="eastAsia"/>
                      <w:sz w:val="21"/>
                      <w:szCs w:val="21"/>
                    </w:rPr>
                    <w:t>化粪池</w:t>
                  </w:r>
                  <w:r>
                    <w:rPr>
                      <w:sz w:val="21"/>
                      <w:szCs w:val="21"/>
                    </w:rPr>
                    <w:t>预处理后</w:t>
                  </w:r>
                  <w:r>
                    <w:rPr>
                      <w:rFonts w:hint="eastAsia"/>
                      <w:lang w:eastAsia="zh-CN"/>
                    </w:rPr>
                    <w:t>（</w:t>
                  </w:r>
                  <w:r>
                    <w:rPr>
                      <w:rFonts w:hint="eastAsia"/>
                      <w:lang w:val="en-US" w:eastAsia="zh-CN"/>
                    </w:rPr>
                    <w:t>食堂污水先经隔油池处理</w:t>
                  </w:r>
                  <w:r>
                    <w:rPr>
                      <w:rFonts w:hint="eastAsia"/>
                      <w:lang w:eastAsia="zh-CN"/>
                    </w:rPr>
                    <w:t>）</w:t>
                  </w:r>
                  <w:r>
                    <w:rPr>
                      <w:sz w:val="21"/>
                      <w:szCs w:val="21"/>
                    </w:rPr>
                    <w:t>经园区管网进入</w:t>
                  </w:r>
                  <w:r>
                    <w:rPr>
                      <w:rFonts w:hint="eastAsia"/>
                      <w:sz w:val="21"/>
                      <w:szCs w:val="21"/>
                    </w:rPr>
                    <w:t>湘阴县第二污水处理厂</w:t>
                  </w:r>
                  <w:r>
                    <w:rPr>
                      <w:sz w:val="21"/>
                      <w:szCs w:val="21"/>
                    </w:rPr>
                    <w:t>处理，雨水经园区现有雨水管网排入洋沙湖。</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6</w:t>
                  </w:r>
                </w:p>
              </w:tc>
              <w:tc>
                <w:tcPr>
                  <w:tcW w:w="553" w:type="pct"/>
                  <w:vMerge w:val="continue"/>
                  <w:tcBorders>
                    <w:tl2br w:val="nil"/>
                    <w:tr2bl w:val="nil"/>
                  </w:tcBorders>
                  <w:vAlign w:val="center"/>
                </w:tcPr>
                <w:p>
                  <w:pPr>
                    <w:pStyle w:val="12"/>
                    <w:spacing w:before="0" w:after="0" w:line="240" w:lineRule="auto"/>
                    <w:ind w:right="0"/>
                    <w:jc w:val="center"/>
                    <w:rPr>
                      <w:sz w:val="21"/>
                      <w:szCs w:val="21"/>
                    </w:rPr>
                  </w:pP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废气：禁止新建燃煤锅炉（集中供热除外），对各企业工艺废气产出的生产节点，须配置废气收集与处理净化装置，确保达标排放；加强生产工艺研究与技术改进，采取有效措施，减少入园企业工艺废气的无组织排放。推进装备制造、建筑建材等行业挥发性有机物综合治理。</w:t>
                  </w:r>
                </w:p>
              </w:tc>
              <w:tc>
                <w:tcPr>
                  <w:tcW w:w="1914" w:type="pct"/>
                  <w:tcBorders>
                    <w:tl2br w:val="nil"/>
                    <w:tr2bl w:val="nil"/>
                  </w:tcBorders>
                  <w:vAlign w:val="center"/>
                </w:tcPr>
                <w:p>
                  <w:pPr>
                    <w:autoSpaceDE w:val="0"/>
                    <w:autoSpaceDN w:val="0"/>
                    <w:adjustRightInd w:val="0"/>
                    <w:snapToGrid w:val="0"/>
                    <w:rPr>
                      <w:szCs w:val="21"/>
                    </w:rPr>
                  </w:pPr>
                  <w:r>
                    <w:rPr>
                      <w:rFonts w:hint="eastAsia"/>
                      <w:bCs/>
                      <w:szCs w:val="21"/>
                    </w:rPr>
                    <w:t>本项目不涉及锅炉，废气主要产生节点均有收集处理设备，减少园区内无组织废气的排放</w:t>
                  </w:r>
                  <w:r>
                    <w:rPr>
                      <w:szCs w:val="21"/>
                    </w:rPr>
                    <w:t>。</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7</w:t>
                  </w:r>
                </w:p>
              </w:tc>
              <w:tc>
                <w:tcPr>
                  <w:tcW w:w="553" w:type="pct"/>
                  <w:vMerge w:val="continue"/>
                  <w:tcBorders>
                    <w:tl2br w:val="nil"/>
                    <w:tr2bl w:val="nil"/>
                  </w:tcBorders>
                  <w:vAlign w:val="center"/>
                </w:tcPr>
                <w:p>
                  <w:pPr>
                    <w:pStyle w:val="12"/>
                    <w:spacing w:before="0" w:after="0" w:line="240" w:lineRule="auto"/>
                    <w:ind w:right="0"/>
                    <w:jc w:val="center"/>
                    <w:rPr>
                      <w:sz w:val="21"/>
                      <w:szCs w:val="21"/>
                    </w:rPr>
                  </w:pP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开发区内相关行业及锅炉废气污染物排放满足《湖南省生态环境厅关于执行污染物特别排放限值（第一批）的公告》中的要求。</w:t>
                  </w:r>
                </w:p>
              </w:tc>
              <w:tc>
                <w:tcPr>
                  <w:tcW w:w="1914" w:type="pct"/>
                  <w:tcBorders>
                    <w:tl2br w:val="nil"/>
                    <w:tr2bl w:val="nil"/>
                  </w:tcBorders>
                  <w:vAlign w:val="center"/>
                </w:tcPr>
                <w:p>
                  <w:pPr>
                    <w:pStyle w:val="12"/>
                    <w:spacing w:before="0" w:after="0" w:line="240" w:lineRule="auto"/>
                    <w:ind w:right="0"/>
                    <w:rPr>
                      <w:sz w:val="21"/>
                      <w:szCs w:val="21"/>
                    </w:rPr>
                  </w:pPr>
                  <w:r>
                    <w:rPr>
                      <w:sz w:val="21"/>
                      <w:szCs w:val="21"/>
                    </w:rPr>
                    <w:t>本项目</w:t>
                  </w:r>
                  <w:r>
                    <w:rPr>
                      <w:rFonts w:hint="eastAsia"/>
                      <w:sz w:val="21"/>
                      <w:szCs w:val="21"/>
                    </w:rPr>
                    <w:t>不涉及</w:t>
                  </w:r>
                  <w:r>
                    <w:rPr>
                      <w:sz w:val="21"/>
                      <w:szCs w:val="21"/>
                    </w:rPr>
                    <w:t>。</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8</w:t>
                  </w:r>
                </w:p>
              </w:tc>
              <w:tc>
                <w:tcPr>
                  <w:tcW w:w="553" w:type="pct"/>
                  <w:vMerge w:val="continue"/>
                  <w:tcBorders>
                    <w:tl2br w:val="nil"/>
                    <w:tr2bl w:val="nil"/>
                  </w:tcBorders>
                  <w:vAlign w:val="center"/>
                </w:tcPr>
                <w:p>
                  <w:pPr>
                    <w:pStyle w:val="12"/>
                    <w:spacing w:before="0" w:after="0" w:line="240" w:lineRule="auto"/>
                    <w:ind w:right="0"/>
                    <w:jc w:val="center"/>
                    <w:rPr>
                      <w:sz w:val="21"/>
                      <w:szCs w:val="21"/>
                    </w:rPr>
                  </w:pP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固体废弃物：做好园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的固体废物特别是危险废物应按国家有关规定综合利用或妥善处置，严防二次污染。</w:t>
                  </w:r>
                </w:p>
              </w:tc>
              <w:tc>
                <w:tcPr>
                  <w:tcW w:w="1914" w:type="pct"/>
                  <w:tcBorders>
                    <w:tl2br w:val="nil"/>
                    <w:tr2bl w:val="nil"/>
                  </w:tcBorders>
                  <w:vAlign w:val="center"/>
                </w:tcPr>
                <w:p>
                  <w:pPr>
                    <w:pStyle w:val="12"/>
                    <w:spacing w:before="0" w:after="0" w:line="240" w:lineRule="auto"/>
                    <w:ind w:right="0"/>
                    <w:rPr>
                      <w:sz w:val="21"/>
                      <w:szCs w:val="21"/>
                    </w:rPr>
                  </w:pPr>
                  <w:r>
                    <w:rPr>
                      <w:sz w:val="21"/>
                      <w:szCs w:val="21"/>
                    </w:rPr>
                    <w:t>一般工业固废暂存一般固废暂存间，定期交物资回收单位处理；</w:t>
                  </w:r>
                  <w:r>
                    <w:rPr>
                      <w:rFonts w:hint="eastAsia"/>
                      <w:sz w:val="21"/>
                      <w:szCs w:val="21"/>
                    </w:rPr>
                    <w:t>危险废物委托有资质单位处理。</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9</w:t>
                  </w:r>
                </w:p>
              </w:tc>
              <w:tc>
                <w:tcPr>
                  <w:tcW w:w="553" w:type="pct"/>
                  <w:vMerge w:val="restart"/>
                  <w:tcBorders>
                    <w:tl2br w:val="nil"/>
                    <w:tr2bl w:val="nil"/>
                  </w:tcBorders>
                  <w:vAlign w:val="center"/>
                </w:tcPr>
                <w:p>
                  <w:pPr>
                    <w:pStyle w:val="12"/>
                    <w:spacing w:before="0" w:after="0" w:line="240" w:lineRule="auto"/>
                    <w:ind w:right="0"/>
                    <w:jc w:val="center"/>
                    <w:rPr>
                      <w:sz w:val="21"/>
                      <w:szCs w:val="21"/>
                    </w:rPr>
                  </w:pPr>
                  <w:r>
                    <w:rPr>
                      <w:sz w:val="21"/>
                      <w:szCs w:val="21"/>
                    </w:rPr>
                    <w:t>环境风险管控</w:t>
                  </w: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园区应建立健全环境风险防控体系，严格落实《湖南湘阴工业园区突发环境事件应急预案》</w:t>
                  </w:r>
                  <w:r>
                    <w:rPr>
                      <w:rFonts w:hint="eastAsia"/>
                      <w:sz w:val="21"/>
                      <w:szCs w:val="21"/>
                    </w:rPr>
                    <w:t>中的</w:t>
                  </w:r>
                  <w:r>
                    <w:rPr>
                      <w:sz w:val="21"/>
                      <w:szCs w:val="21"/>
                    </w:rPr>
                    <w:t xml:space="preserve">相关要求，园区定期修编园区突发环境应急预案、开展应急演练，储备环境应急物资及装备，健全环境风险事故防范措施，全面提升园区环境风险防控和应急处置能力。 </w:t>
                  </w:r>
                </w:p>
              </w:tc>
              <w:tc>
                <w:tcPr>
                  <w:tcW w:w="1914" w:type="pct"/>
                  <w:tcBorders>
                    <w:tl2br w:val="nil"/>
                    <w:tr2bl w:val="nil"/>
                  </w:tcBorders>
                  <w:vAlign w:val="center"/>
                </w:tcPr>
                <w:p>
                  <w:pPr>
                    <w:pStyle w:val="12"/>
                    <w:spacing w:before="0" w:after="0" w:line="240" w:lineRule="auto"/>
                    <w:ind w:right="0"/>
                    <w:rPr>
                      <w:sz w:val="21"/>
                      <w:szCs w:val="21"/>
                    </w:rPr>
                  </w:pPr>
                  <w:r>
                    <w:rPr>
                      <w:sz w:val="21"/>
                      <w:szCs w:val="21"/>
                    </w:rPr>
                    <w:t>本项目位于湘阴县工业园内，该园区已编制《湖南湘阴工业园突发环境事件应急预案》。</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10</w:t>
                  </w:r>
                </w:p>
              </w:tc>
              <w:tc>
                <w:tcPr>
                  <w:tcW w:w="553" w:type="pct"/>
                  <w:vMerge w:val="continue"/>
                  <w:tcBorders>
                    <w:tl2br w:val="nil"/>
                    <w:tr2bl w:val="nil"/>
                  </w:tcBorders>
                  <w:vAlign w:val="center"/>
                </w:tcPr>
                <w:p>
                  <w:pPr>
                    <w:pStyle w:val="12"/>
                    <w:spacing w:before="0" w:after="0" w:line="240" w:lineRule="auto"/>
                    <w:ind w:right="0"/>
                    <w:jc w:val="center"/>
                    <w:rPr>
                      <w:sz w:val="21"/>
                      <w:szCs w:val="21"/>
                    </w:rPr>
                  </w:pP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园区可能发生突发环境事件的污染物排放企业，生产、储存、运输、使用危险化学品的企业，</w:t>
                  </w:r>
                  <w:r>
                    <w:rPr>
                      <w:rFonts w:hint="eastAsia"/>
                      <w:sz w:val="21"/>
                      <w:szCs w:val="21"/>
                    </w:rPr>
                    <w:t>生产</w:t>
                  </w:r>
                  <w:r>
                    <w:rPr>
                      <w:sz w:val="21"/>
                      <w:szCs w:val="21"/>
                    </w:rPr>
                    <w:t xml:space="preserve">、收集、贮存、运输、利用、处置危险废物的企业应当编制和实施环境应急预案；鼓励其他企业制定单独的环境应急预案，或在突发事件应急预案中制定环境应急预案专章，并备案。 </w:t>
                  </w:r>
                </w:p>
              </w:tc>
              <w:tc>
                <w:tcPr>
                  <w:tcW w:w="1914" w:type="pct"/>
                  <w:tcBorders>
                    <w:tl2br w:val="nil"/>
                    <w:tr2bl w:val="nil"/>
                  </w:tcBorders>
                  <w:vAlign w:val="center"/>
                </w:tcPr>
                <w:p>
                  <w:pPr>
                    <w:pStyle w:val="12"/>
                    <w:spacing w:before="0" w:after="0" w:line="240" w:lineRule="auto"/>
                    <w:ind w:right="0"/>
                    <w:rPr>
                      <w:sz w:val="21"/>
                      <w:szCs w:val="21"/>
                    </w:rPr>
                  </w:pPr>
                  <w:r>
                    <w:rPr>
                      <w:rFonts w:hint="eastAsia"/>
                      <w:sz w:val="21"/>
                      <w:szCs w:val="21"/>
                    </w:rPr>
                    <w:t>建设单位将按要求做好突发环境事件应急预案</w:t>
                  </w:r>
                  <w:r>
                    <w:rPr>
                      <w:sz w:val="21"/>
                      <w:szCs w:val="21"/>
                    </w:rPr>
                    <w:t>。</w:t>
                  </w:r>
                </w:p>
              </w:tc>
              <w:tc>
                <w:tcPr>
                  <w:tcW w:w="511" w:type="pct"/>
                  <w:tcBorders>
                    <w:tl2br w:val="nil"/>
                    <w:tr2bl w:val="nil"/>
                  </w:tcBorders>
                  <w:vAlign w:val="center"/>
                </w:tcPr>
                <w:p>
                  <w:pPr>
                    <w:pStyle w:val="12"/>
                    <w:spacing w:before="0" w:after="0" w:line="240" w:lineRule="auto"/>
                    <w:ind w:right="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11</w:t>
                  </w:r>
                </w:p>
              </w:tc>
              <w:tc>
                <w:tcPr>
                  <w:tcW w:w="553" w:type="pct"/>
                  <w:vMerge w:val="continue"/>
                  <w:tcBorders>
                    <w:tl2br w:val="nil"/>
                    <w:tr2bl w:val="nil"/>
                  </w:tcBorders>
                  <w:vAlign w:val="center"/>
                </w:tcPr>
                <w:p>
                  <w:pPr>
                    <w:pStyle w:val="12"/>
                    <w:spacing w:before="0" w:after="0" w:line="240" w:lineRule="auto"/>
                    <w:ind w:right="0"/>
                    <w:jc w:val="center"/>
                    <w:rPr>
                      <w:sz w:val="21"/>
                      <w:szCs w:val="21"/>
                    </w:rPr>
                  </w:pP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 xml:space="preserve">建设用地土壤风险防控：对拟收回土地使用权的相关行业企业用地，以及用途拟变更为居住和商业、学校、医疗、养老机构等公共设施的企业用地开展土壤环境状况调查评估。 </w:t>
                  </w:r>
                </w:p>
              </w:tc>
              <w:tc>
                <w:tcPr>
                  <w:tcW w:w="1914" w:type="pct"/>
                  <w:tcBorders>
                    <w:tl2br w:val="nil"/>
                    <w:tr2bl w:val="nil"/>
                  </w:tcBorders>
                  <w:vAlign w:val="center"/>
                </w:tcPr>
                <w:p>
                  <w:pPr>
                    <w:pStyle w:val="12"/>
                    <w:spacing w:before="0" w:after="0" w:line="240" w:lineRule="auto"/>
                    <w:ind w:right="0"/>
                    <w:jc w:val="center"/>
                    <w:rPr>
                      <w:sz w:val="21"/>
                      <w:szCs w:val="21"/>
                    </w:rPr>
                  </w:pPr>
                  <w:r>
                    <w:rPr>
                      <w:sz w:val="21"/>
                      <w:szCs w:val="21"/>
                    </w:rPr>
                    <w:t>不涉及</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12</w:t>
                  </w:r>
                </w:p>
              </w:tc>
              <w:tc>
                <w:tcPr>
                  <w:tcW w:w="553" w:type="pct"/>
                  <w:vMerge w:val="continue"/>
                  <w:tcBorders>
                    <w:tl2br w:val="nil"/>
                    <w:tr2bl w:val="nil"/>
                  </w:tcBorders>
                  <w:vAlign w:val="center"/>
                </w:tcPr>
                <w:p>
                  <w:pPr>
                    <w:pStyle w:val="12"/>
                    <w:spacing w:before="0" w:after="0" w:line="240" w:lineRule="auto"/>
                    <w:ind w:right="0"/>
                    <w:jc w:val="center"/>
                    <w:rPr>
                      <w:sz w:val="21"/>
                      <w:szCs w:val="21"/>
                    </w:rPr>
                  </w:pP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加强环境风险防控和应急管理。开展园区环境风险管控要求：本次调区扩区后。</w:t>
                  </w:r>
                </w:p>
              </w:tc>
              <w:tc>
                <w:tcPr>
                  <w:tcW w:w="1914" w:type="pct"/>
                  <w:tcBorders>
                    <w:tl2br w:val="nil"/>
                    <w:tr2bl w:val="nil"/>
                  </w:tcBorders>
                  <w:vAlign w:val="center"/>
                </w:tcPr>
                <w:p>
                  <w:pPr>
                    <w:pStyle w:val="12"/>
                    <w:spacing w:before="0" w:after="0" w:line="240" w:lineRule="auto"/>
                    <w:ind w:right="0"/>
                    <w:rPr>
                      <w:sz w:val="21"/>
                      <w:szCs w:val="21"/>
                    </w:rPr>
                  </w:pPr>
                  <w:r>
                    <w:rPr>
                      <w:rFonts w:hint="eastAsia"/>
                      <w:sz w:val="21"/>
                      <w:szCs w:val="21"/>
                    </w:rPr>
                    <w:t>本次评价鼓励建设单位做好突发环境事件应急预案</w:t>
                  </w:r>
                  <w:r>
                    <w:rPr>
                      <w:sz w:val="21"/>
                      <w:szCs w:val="21"/>
                    </w:rPr>
                    <w:t>。</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13</w:t>
                  </w:r>
                </w:p>
              </w:tc>
              <w:tc>
                <w:tcPr>
                  <w:tcW w:w="553" w:type="pct"/>
                  <w:vMerge w:val="restart"/>
                  <w:tcBorders>
                    <w:tl2br w:val="nil"/>
                    <w:tr2bl w:val="nil"/>
                  </w:tcBorders>
                  <w:vAlign w:val="center"/>
                </w:tcPr>
                <w:p>
                  <w:pPr>
                    <w:pStyle w:val="12"/>
                    <w:spacing w:before="0" w:after="0" w:line="240" w:lineRule="auto"/>
                    <w:ind w:right="0"/>
                    <w:jc w:val="center"/>
                    <w:rPr>
                      <w:sz w:val="21"/>
                      <w:szCs w:val="21"/>
                    </w:rPr>
                  </w:pPr>
                  <w:r>
                    <w:rPr>
                      <w:sz w:val="21"/>
                      <w:szCs w:val="21"/>
                    </w:rPr>
                    <w:t>资源开发效率要求</w:t>
                  </w: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能源：积极推广清洁能源，在天然气接入园区后，应禁止新上燃煤设施并对现有燃煤锅炉进行清洁能源替代改造。开发区目前主要能源为电、天然气、生物质能源。园区应按“湖南省工程建设项目审批制度改革工作领导小组办公室关于印发《工程建设项目区域评估工作实施方案》的通知”，尽快开展节能评估工作。</w:t>
                  </w:r>
                </w:p>
              </w:tc>
              <w:tc>
                <w:tcPr>
                  <w:tcW w:w="1914" w:type="pct"/>
                  <w:tcBorders>
                    <w:tl2br w:val="nil"/>
                    <w:tr2bl w:val="nil"/>
                  </w:tcBorders>
                  <w:vAlign w:val="center"/>
                </w:tcPr>
                <w:p>
                  <w:pPr>
                    <w:pStyle w:val="12"/>
                    <w:spacing w:before="0" w:after="0" w:line="240" w:lineRule="auto"/>
                    <w:ind w:right="0"/>
                    <w:rPr>
                      <w:sz w:val="21"/>
                      <w:szCs w:val="21"/>
                    </w:rPr>
                  </w:pPr>
                  <w:r>
                    <w:rPr>
                      <w:rFonts w:hint="eastAsia"/>
                      <w:sz w:val="21"/>
                      <w:szCs w:val="21"/>
                    </w:rPr>
                    <w:t>本项目使用电能，不涉及锅炉等</w:t>
                  </w:r>
                  <w:r>
                    <w:rPr>
                      <w:sz w:val="21"/>
                      <w:szCs w:val="21"/>
                    </w:rPr>
                    <w:t>。</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14</w:t>
                  </w:r>
                </w:p>
              </w:tc>
              <w:tc>
                <w:tcPr>
                  <w:tcW w:w="553" w:type="pct"/>
                  <w:vMerge w:val="continue"/>
                  <w:tcBorders>
                    <w:tl2br w:val="nil"/>
                    <w:tr2bl w:val="nil"/>
                  </w:tcBorders>
                  <w:vAlign w:val="center"/>
                </w:tcPr>
                <w:p>
                  <w:pPr>
                    <w:pStyle w:val="12"/>
                    <w:spacing w:before="0" w:after="0" w:line="240" w:lineRule="auto"/>
                    <w:ind w:right="0"/>
                    <w:jc w:val="center"/>
                    <w:rPr>
                      <w:sz w:val="21"/>
                      <w:szCs w:val="21"/>
                    </w:rPr>
                  </w:pP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 xml:space="preserve">水资源：加强工业节水，重点开展相关工业行业节水技术改造，逐步淘汰高耗水的落后产能，积极推广工业水循环利用，支持引导企业开展水平衡测试，继续推进节水型企业、节水型工业园区建设。2020 年，湘阴县万元国内生产总值用水量 75 立方米/万元，万元工业增加值用水量 28 立方米/万元。 </w:t>
                  </w:r>
                </w:p>
              </w:tc>
              <w:tc>
                <w:tcPr>
                  <w:tcW w:w="1914" w:type="pct"/>
                  <w:tcBorders>
                    <w:tl2br w:val="nil"/>
                    <w:tr2bl w:val="nil"/>
                  </w:tcBorders>
                  <w:vAlign w:val="center"/>
                </w:tcPr>
                <w:p>
                  <w:pPr>
                    <w:pStyle w:val="12"/>
                    <w:spacing w:before="0" w:after="0" w:line="240" w:lineRule="auto"/>
                    <w:ind w:right="0"/>
                    <w:rPr>
                      <w:sz w:val="21"/>
                      <w:szCs w:val="21"/>
                    </w:rPr>
                  </w:pPr>
                  <w:r>
                    <w:rPr>
                      <w:sz w:val="21"/>
                      <w:szCs w:val="21"/>
                    </w:rPr>
                    <w:t>本项目不属于高耗水项目，项目</w:t>
                  </w:r>
                  <w:r>
                    <w:rPr>
                      <w:rFonts w:hint="eastAsia"/>
                      <w:sz w:val="21"/>
                      <w:szCs w:val="21"/>
                    </w:rPr>
                    <w:t>主要</w:t>
                  </w:r>
                  <w:r>
                    <w:rPr>
                      <w:sz w:val="21"/>
                      <w:szCs w:val="21"/>
                    </w:rPr>
                    <w:t>用水</w:t>
                  </w:r>
                  <w:r>
                    <w:rPr>
                      <w:rFonts w:hint="eastAsia"/>
                      <w:sz w:val="21"/>
                      <w:szCs w:val="21"/>
                    </w:rPr>
                    <w:t>为员工生活用水</w:t>
                  </w:r>
                  <w:r>
                    <w:rPr>
                      <w:sz w:val="21"/>
                      <w:szCs w:val="21"/>
                    </w:rPr>
                    <w:t>。</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pStyle w:val="12"/>
                    <w:spacing w:before="0" w:after="0" w:line="240" w:lineRule="auto"/>
                    <w:ind w:right="0"/>
                    <w:jc w:val="center"/>
                    <w:rPr>
                      <w:sz w:val="21"/>
                      <w:szCs w:val="21"/>
                    </w:rPr>
                  </w:pPr>
                  <w:r>
                    <w:rPr>
                      <w:sz w:val="21"/>
                      <w:szCs w:val="21"/>
                    </w:rPr>
                    <w:t>15</w:t>
                  </w:r>
                </w:p>
              </w:tc>
              <w:tc>
                <w:tcPr>
                  <w:tcW w:w="553" w:type="pct"/>
                  <w:vMerge w:val="continue"/>
                  <w:tcBorders>
                    <w:tl2br w:val="nil"/>
                    <w:tr2bl w:val="nil"/>
                  </w:tcBorders>
                  <w:vAlign w:val="center"/>
                </w:tcPr>
                <w:p>
                  <w:pPr>
                    <w:pStyle w:val="12"/>
                    <w:spacing w:before="0" w:after="0" w:line="240" w:lineRule="auto"/>
                    <w:ind w:right="0"/>
                    <w:jc w:val="center"/>
                    <w:rPr>
                      <w:sz w:val="21"/>
                      <w:szCs w:val="21"/>
                    </w:rPr>
                  </w:pPr>
                </w:p>
              </w:tc>
              <w:tc>
                <w:tcPr>
                  <w:tcW w:w="1641" w:type="pct"/>
                  <w:tcBorders>
                    <w:tl2br w:val="nil"/>
                    <w:tr2bl w:val="nil"/>
                  </w:tcBorders>
                  <w:vAlign w:val="center"/>
                </w:tcPr>
                <w:p>
                  <w:pPr>
                    <w:pStyle w:val="12"/>
                    <w:spacing w:before="0" w:after="0" w:line="240" w:lineRule="auto"/>
                    <w:ind w:right="0"/>
                    <w:rPr>
                      <w:sz w:val="21"/>
                      <w:szCs w:val="21"/>
                    </w:rPr>
                  </w:pPr>
                  <w:r>
                    <w:rPr>
                      <w:sz w:val="21"/>
                      <w:szCs w:val="21"/>
                    </w:rPr>
                    <w:t>土地资源：以国家产业发展政策为导向，合理制定区域产业用地政策，优先保障主导产业发展用地，严禁向禁止类工业项目供地，严格控制限制类工业项目用地，重点支持发展与区域资源环境条件相适应的产业。食品加工、建筑建材、装备制造、新材料、轻工产品制造土地投资强度拟定标准分别为 190 万元/亩、250 万元/亩、250 万元/亩、230 万元/亩、210 万元/亩。</w:t>
                  </w:r>
                </w:p>
              </w:tc>
              <w:tc>
                <w:tcPr>
                  <w:tcW w:w="1914" w:type="pct"/>
                  <w:tcBorders>
                    <w:tl2br w:val="nil"/>
                    <w:tr2bl w:val="nil"/>
                  </w:tcBorders>
                  <w:vAlign w:val="center"/>
                </w:tcPr>
                <w:p>
                  <w:pPr>
                    <w:pStyle w:val="12"/>
                    <w:spacing w:before="0" w:after="0" w:line="240" w:lineRule="auto"/>
                    <w:ind w:right="0"/>
                    <w:rPr>
                      <w:sz w:val="21"/>
                      <w:szCs w:val="21"/>
                    </w:rPr>
                  </w:pPr>
                  <w:r>
                    <w:rPr>
                      <w:sz w:val="21"/>
                      <w:szCs w:val="21"/>
                    </w:rPr>
                    <w:t>本项目土地投资强度高于规定要求。</w:t>
                  </w:r>
                </w:p>
              </w:tc>
              <w:tc>
                <w:tcPr>
                  <w:tcW w:w="511" w:type="pct"/>
                  <w:tcBorders>
                    <w:tl2br w:val="nil"/>
                    <w:tr2bl w:val="nil"/>
                  </w:tcBorders>
                  <w:vAlign w:val="center"/>
                </w:tcPr>
                <w:p>
                  <w:pPr>
                    <w:pStyle w:val="12"/>
                    <w:spacing w:before="0" w:after="0" w:line="240" w:lineRule="auto"/>
                    <w:ind w:right="0"/>
                    <w:jc w:val="center"/>
                    <w:rPr>
                      <w:sz w:val="21"/>
                      <w:szCs w:val="21"/>
                    </w:rPr>
                  </w:pPr>
                  <w:r>
                    <w:rPr>
                      <w:sz w:val="21"/>
                      <w:szCs w:val="21"/>
                    </w:rPr>
                    <w:t>符合</w:t>
                  </w:r>
                </w:p>
              </w:tc>
            </w:tr>
          </w:tbl>
          <w:p>
            <w:pPr>
              <w:spacing w:line="360" w:lineRule="auto"/>
              <w:ind w:firstLine="480" w:firstLineChars="200"/>
              <w:rPr>
                <w:bCs/>
                <w:sz w:val="24"/>
              </w:rPr>
            </w:pPr>
            <w:r>
              <w:rPr>
                <w:rFonts w:hint="eastAsia"/>
                <w:bCs/>
                <w:sz w:val="24"/>
              </w:rPr>
              <w:t>综上，本项目与《湘阴高新技术产业开发区调区扩区规划环境影响报告书》中“表10.2-1 湘阴高新技术产业开发区生态环境准入清单提出动态更新”相符。</w:t>
            </w:r>
          </w:p>
          <w:p>
            <w:pPr>
              <w:pStyle w:val="12"/>
              <w:snapToGrid/>
              <w:spacing w:before="0" w:after="0" w:line="360" w:lineRule="auto"/>
              <w:ind w:right="0"/>
              <w:jc w:val="left"/>
              <w:rPr>
                <w:b/>
                <w:bCs/>
                <w:sz w:val="24"/>
                <w:szCs w:val="24"/>
              </w:rPr>
            </w:pPr>
            <w:r>
              <w:rPr>
                <w:rFonts w:hint="eastAsia"/>
                <w:b/>
                <w:bCs/>
                <w:sz w:val="24"/>
                <w:szCs w:val="24"/>
              </w:rPr>
              <w:t>1.7 与湘阴县高新区环境准入行业清单相符性分析</w:t>
            </w:r>
          </w:p>
          <w:p>
            <w:pPr>
              <w:widowControl/>
              <w:jc w:val="center"/>
              <w:rPr>
                <w:szCs w:val="21"/>
              </w:rPr>
            </w:pPr>
            <w:r>
              <w:rPr>
                <w:rFonts w:hint="eastAsia" w:ascii="宋体" w:hAnsi="宋体" w:cs="宋体"/>
                <w:b/>
                <w:bCs/>
                <w:color w:val="000000"/>
                <w:kern w:val="0"/>
                <w:szCs w:val="21"/>
                <w:lang w:bidi="ar"/>
              </w:rPr>
              <w:t>表1-6   与湘阴县高新区环境准入行业清单相符性分析</w:t>
            </w:r>
          </w:p>
          <w:tbl>
            <w:tblPr>
              <w:tblStyle w:val="9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777"/>
              <w:gridCol w:w="3725"/>
              <w:gridCol w:w="2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4" w:hRule="atLeast"/>
                <w:jc w:val="center"/>
              </w:trPr>
              <w:tc>
                <w:tcPr>
                  <w:tcW w:w="641" w:type="dxa"/>
                  <w:vAlign w:val="center"/>
                </w:tcPr>
                <w:p>
                  <w:pPr>
                    <w:pStyle w:val="140"/>
                    <w:jc w:val="center"/>
                    <w:rPr>
                      <w:rFonts w:ascii="Times New Roman" w:hAnsi="Times New Roman" w:cs="Times New Roman"/>
                      <w:sz w:val="21"/>
                      <w:szCs w:val="21"/>
                    </w:rPr>
                  </w:pPr>
                  <w:r>
                    <w:rPr>
                      <w:rFonts w:ascii="Times New Roman" w:hAnsi="Times New Roman" w:cs="Times New Roman"/>
                      <w:spacing w:val="2"/>
                      <w:sz w:val="21"/>
                      <w:szCs w:val="21"/>
                    </w:rPr>
                    <w:t>区域</w:t>
                  </w:r>
                </w:p>
              </w:tc>
              <w:tc>
                <w:tcPr>
                  <w:tcW w:w="777" w:type="dxa"/>
                  <w:vAlign w:val="center"/>
                </w:tcPr>
                <w:p>
                  <w:pPr>
                    <w:pStyle w:val="140"/>
                    <w:jc w:val="center"/>
                    <w:rPr>
                      <w:rFonts w:ascii="Times New Roman" w:hAnsi="Times New Roman" w:cs="Times New Roman"/>
                      <w:sz w:val="21"/>
                      <w:szCs w:val="21"/>
                    </w:rPr>
                  </w:pPr>
                  <w:r>
                    <w:rPr>
                      <w:rFonts w:ascii="Times New Roman" w:hAnsi="Times New Roman" w:cs="Times New Roman"/>
                      <w:spacing w:val="-2"/>
                      <w:sz w:val="21"/>
                      <w:szCs w:val="21"/>
                    </w:rPr>
                    <w:t>类别</w:t>
                  </w:r>
                </w:p>
              </w:tc>
              <w:tc>
                <w:tcPr>
                  <w:tcW w:w="3725" w:type="dxa"/>
                  <w:vAlign w:val="center"/>
                </w:tcPr>
                <w:p>
                  <w:pPr>
                    <w:pStyle w:val="140"/>
                    <w:jc w:val="center"/>
                    <w:rPr>
                      <w:rFonts w:ascii="Times New Roman" w:hAnsi="Times New Roman" w:cs="Times New Roman"/>
                      <w:sz w:val="21"/>
                      <w:szCs w:val="21"/>
                    </w:rPr>
                  </w:pPr>
                  <w:r>
                    <w:rPr>
                      <w:rFonts w:ascii="Times New Roman" w:hAnsi="Times New Roman" w:cs="Times New Roman"/>
                      <w:spacing w:val="-2"/>
                      <w:sz w:val="21"/>
                      <w:szCs w:val="21"/>
                    </w:rPr>
                    <w:t>行业类别</w:t>
                  </w:r>
                </w:p>
              </w:tc>
              <w:tc>
                <w:tcPr>
                  <w:tcW w:w="2357" w:type="dxa"/>
                  <w:vAlign w:val="center"/>
                </w:tcPr>
                <w:p>
                  <w:pPr>
                    <w:pStyle w:val="140"/>
                    <w:jc w:val="center"/>
                    <w:rPr>
                      <w:rFonts w:ascii="Times New Roman" w:hAnsi="Times New Roman" w:cs="Times New Roman"/>
                      <w:sz w:val="21"/>
                      <w:szCs w:val="21"/>
                      <w:lang w:eastAsia="zh-CN"/>
                    </w:rPr>
                  </w:pPr>
                  <w:r>
                    <w:rPr>
                      <w:rFonts w:hint="eastAsia" w:ascii="Times New Roman" w:hAnsi="Times New Roman" w:cs="Times New Roman"/>
                      <w:spacing w:val="-2"/>
                      <w:sz w:val="21"/>
                      <w:szCs w:val="21"/>
                      <w:lang w:eastAsia="zh-CN"/>
                    </w:rPr>
                    <w:t>本项目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8" w:hRule="atLeast"/>
                <w:jc w:val="center"/>
              </w:trPr>
              <w:tc>
                <w:tcPr>
                  <w:tcW w:w="641" w:type="dxa"/>
                  <w:vMerge w:val="restart"/>
                  <w:tcBorders>
                    <w:bottom w:val="nil"/>
                  </w:tcBorders>
                  <w:vAlign w:val="center"/>
                </w:tcPr>
                <w:p>
                  <w:pPr>
                    <w:jc w:val="center"/>
                    <w:rPr>
                      <w:szCs w:val="21"/>
                    </w:rPr>
                  </w:pPr>
                </w:p>
                <w:p>
                  <w:pPr>
                    <w:jc w:val="center"/>
                    <w:rPr>
                      <w:szCs w:val="21"/>
                    </w:rPr>
                  </w:pPr>
                </w:p>
                <w:p>
                  <w:pPr>
                    <w:pStyle w:val="140"/>
                    <w:jc w:val="center"/>
                    <w:rPr>
                      <w:rFonts w:ascii="Times New Roman" w:hAnsi="Times New Roman" w:cs="Times New Roman"/>
                      <w:sz w:val="21"/>
                      <w:szCs w:val="21"/>
                    </w:rPr>
                  </w:pPr>
                  <w:r>
                    <w:rPr>
                      <w:rFonts w:ascii="Times New Roman" w:hAnsi="Times New Roman" w:cs="Times New Roman"/>
                      <w:spacing w:val="-2"/>
                      <w:sz w:val="21"/>
                      <w:szCs w:val="21"/>
                    </w:rPr>
                    <w:t>洋沙湖片区其他区域</w:t>
                  </w:r>
                </w:p>
              </w:tc>
              <w:tc>
                <w:tcPr>
                  <w:tcW w:w="777" w:type="dxa"/>
                  <w:vAlign w:val="center"/>
                </w:tcPr>
                <w:p>
                  <w:pPr>
                    <w:pStyle w:val="140"/>
                    <w:jc w:val="center"/>
                    <w:rPr>
                      <w:rFonts w:ascii="Times New Roman" w:hAnsi="Times New Roman" w:cs="Times New Roman"/>
                      <w:sz w:val="21"/>
                      <w:szCs w:val="21"/>
                    </w:rPr>
                  </w:pPr>
                  <w:r>
                    <w:rPr>
                      <w:rFonts w:ascii="Times New Roman" w:hAnsi="Times New Roman" w:cs="Times New Roman"/>
                      <w:spacing w:val="-1"/>
                      <w:sz w:val="21"/>
                      <w:szCs w:val="21"/>
                    </w:rPr>
                    <w:t>产业定位</w:t>
                  </w:r>
                </w:p>
              </w:tc>
              <w:tc>
                <w:tcPr>
                  <w:tcW w:w="3725" w:type="dxa"/>
                  <w:vAlign w:val="center"/>
                </w:tcPr>
                <w:p>
                  <w:pPr>
                    <w:pStyle w:val="140"/>
                    <w:jc w:val="center"/>
                    <w:rPr>
                      <w:rFonts w:ascii="Times New Roman" w:hAnsi="Times New Roman" w:cs="Times New Roman"/>
                      <w:sz w:val="21"/>
                      <w:szCs w:val="21"/>
                      <w:lang w:eastAsia="zh-CN"/>
                    </w:rPr>
                  </w:pPr>
                  <w:r>
                    <w:rPr>
                      <w:rFonts w:ascii="Times New Roman" w:hAnsi="Times New Roman" w:cs="Times New Roman"/>
                      <w:spacing w:val="-4"/>
                      <w:sz w:val="21"/>
                      <w:szCs w:val="21"/>
                      <w:lang w:eastAsia="zh-CN"/>
                    </w:rPr>
                    <w:t>主要发展装备制造、食品加工、电子信息、建筑建材产业。代表行业：C13农副食品加</w:t>
                  </w:r>
                  <w:r>
                    <w:rPr>
                      <w:rFonts w:ascii="Times New Roman" w:hAnsi="Times New Roman" w:cs="Times New Roman"/>
                      <w:spacing w:val="-2"/>
                      <w:sz w:val="21"/>
                      <w:szCs w:val="21"/>
                      <w:lang w:eastAsia="zh-CN"/>
                    </w:rPr>
                    <w:t>工业、C14食品制造业；C21家具制造业；C33金属制品业、C34通用设备制造业、C35</w:t>
                  </w:r>
                  <w:r>
                    <w:rPr>
                      <w:rFonts w:ascii="Times New Roman" w:hAnsi="Times New Roman" w:cs="Times New Roman"/>
                      <w:spacing w:val="-4"/>
                      <w:sz w:val="21"/>
                      <w:szCs w:val="21"/>
                      <w:lang w:eastAsia="zh-CN"/>
                    </w:rPr>
                    <w:t>专用设备制造业，C36汽车制造业、C37铁路、船舶、航空航天和其他运输设备制造业、</w:t>
                  </w:r>
                  <w:r>
                    <w:rPr>
                      <w:rFonts w:ascii="Times New Roman" w:hAnsi="Times New Roman" w:cs="Times New Roman"/>
                      <w:spacing w:val="15"/>
                      <w:sz w:val="21"/>
                      <w:szCs w:val="21"/>
                      <w:lang w:eastAsia="zh-CN"/>
                    </w:rPr>
                    <w:t xml:space="preserve"> </w:t>
                  </w:r>
                  <w:r>
                    <w:rPr>
                      <w:rFonts w:ascii="Times New Roman" w:hAnsi="Times New Roman" w:cs="Times New Roman"/>
                      <w:spacing w:val="-1"/>
                      <w:sz w:val="21"/>
                      <w:szCs w:val="21"/>
                      <w:lang w:eastAsia="zh-CN"/>
                    </w:rPr>
                    <w:t>C38电气机械和器材制造业：C39计算机、通信和其他电子设备制造</w:t>
                  </w:r>
                  <w:r>
                    <w:rPr>
                      <w:rFonts w:ascii="Times New Roman" w:hAnsi="Times New Roman" w:cs="Times New Roman"/>
                      <w:spacing w:val="-2"/>
                      <w:sz w:val="21"/>
                      <w:szCs w:val="21"/>
                      <w:lang w:eastAsia="zh-CN"/>
                    </w:rPr>
                    <w:t>业：</w:t>
                  </w:r>
                </w:p>
              </w:tc>
              <w:tc>
                <w:tcPr>
                  <w:tcW w:w="2357" w:type="dxa"/>
                  <w:vMerge w:val="restart"/>
                  <w:tcBorders>
                    <w:top w:val="single" w:color="auto" w:sz="4" w:space="0"/>
                  </w:tcBorders>
                  <w:vAlign w:val="center"/>
                </w:tcPr>
                <w:p>
                  <w:pPr>
                    <w:jc w:val="center"/>
                    <w:rPr>
                      <w:szCs w:val="21"/>
                    </w:rPr>
                  </w:pPr>
                  <w:r>
                    <w:rPr>
                      <w:rFonts w:hint="eastAsia"/>
                      <w:szCs w:val="21"/>
                    </w:rPr>
                    <w:t>本项目位于洋沙湖片区的绿色装备制造产业区，所属行业为C2032 木门窗制造，不属于园区禁止进入的行业，且已于2025年7月16日通过项目联审，并根据招商引资合同，限制项目VOCs排放</w:t>
                  </w:r>
                  <w:r>
                    <w:rPr>
                      <w:szCs w:val="21"/>
                    </w:rPr>
                    <w:t>1</w:t>
                  </w:r>
                  <w:r>
                    <w:rPr>
                      <w:rFonts w:hint="eastAsia"/>
                      <w:szCs w:val="21"/>
                    </w:rPr>
                    <w:t>t/a，本项目经过论证分析，VOCs废气排放量在0.</w:t>
                  </w:r>
                  <w:r>
                    <w:rPr>
                      <w:rFonts w:hint="eastAsia"/>
                      <w:szCs w:val="21"/>
                      <w:lang w:val="en-US" w:eastAsia="zh-CN"/>
                    </w:rPr>
                    <w:t>895</w:t>
                  </w:r>
                  <w:r>
                    <w:rPr>
                      <w:rFonts w:hint="eastAsia"/>
                      <w:szCs w:val="21"/>
                    </w:rPr>
                    <w:t>t/a，低于招商引资合同限制，且大量使用水性粘胶剂、水性油漆，溶剂型油漆占产品比例的十分之一，从源头预防VOCs的产生。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641" w:type="dxa"/>
                  <w:vMerge w:val="continue"/>
                  <w:tcBorders>
                    <w:top w:val="nil"/>
                    <w:bottom w:val="nil"/>
                  </w:tcBorders>
                  <w:vAlign w:val="center"/>
                </w:tcPr>
                <w:p>
                  <w:pPr>
                    <w:jc w:val="center"/>
                    <w:rPr>
                      <w:szCs w:val="21"/>
                    </w:rPr>
                  </w:pPr>
                  <w:bookmarkStart w:id="3" w:name="_Hlk205804877"/>
                </w:p>
              </w:tc>
              <w:tc>
                <w:tcPr>
                  <w:tcW w:w="777" w:type="dxa"/>
                  <w:vAlign w:val="center"/>
                </w:tcPr>
                <w:p>
                  <w:pPr>
                    <w:pStyle w:val="140"/>
                    <w:jc w:val="center"/>
                    <w:rPr>
                      <w:rFonts w:ascii="Times New Roman" w:hAnsi="Times New Roman" w:cs="Times New Roman"/>
                      <w:sz w:val="21"/>
                      <w:szCs w:val="21"/>
                    </w:rPr>
                  </w:pPr>
                  <w:r>
                    <w:rPr>
                      <w:rFonts w:ascii="Times New Roman" w:hAnsi="Times New Roman" w:cs="Times New Roman"/>
                      <w:spacing w:val="-4"/>
                      <w:sz w:val="21"/>
                      <w:szCs w:val="21"/>
                    </w:rPr>
                    <w:t>限制类</w:t>
                  </w:r>
                </w:p>
              </w:tc>
              <w:tc>
                <w:tcPr>
                  <w:tcW w:w="3725" w:type="dxa"/>
                  <w:vAlign w:val="center"/>
                </w:tcPr>
                <w:p>
                  <w:pPr>
                    <w:pStyle w:val="140"/>
                    <w:jc w:val="center"/>
                    <w:rPr>
                      <w:rFonts w:ascii="Times New Roman" w:hAnsi="Times New Roman" w:cs="Times New Roman"/>
                      <w:sz w:val="21"/>
                      <w:szCs w:val="21"/>
                      <w:lang w:eastAsia="zh-CN"/>
                    </w:rPr>
                  </w:pPr>
                  <w:r>
                    <w:rPr>
                      <w:rFonts w:ascii="Times New Roman" w:hAnsi="Times New Roman" w:cs="Times New Roman"/>
                      <w:spacing w:val="-1"/>
                      <w:sz w:val="21"/>
                      <w:szCs w:val="21"/>
                      <w:lang w:eastAsia="zh-CN"/>
                    </w:rPr>
                    <w:t>涉及挥发性有机物排放较大的喷漆、家具制造等行业；使用油性涂料且用量较大的项目：严格控制重金属类污染物和持久性有机污染物等有毒有害物质排放的项目。</w:t>
                  </w:r>
                </w:p>
              </w:tc>
              <w:tc>
                <w:tcPr>
                  <w:tcW w:w="2357" w:type="dxa"/>
                  <w:vMerge w:val="continue"/>
                  <w:vAlign w:val="center"/>
                </w:tcPr>
                <w:p>
                  <w:pPr>
                    <w:jc w:val="center"/>
                    <w:rPr>
                      <w:szCs w:val="21"/>
                    </w:rPr>
                  </w:pPr>
                </w:p>
              </w:tc>
            </w:tr>
            <w:bookmarkEnd w:id="3"/>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641" w:type="dxa"/>
                  <w:vMerge w:val="continue"/>
                  <w:tcBorders>
                    <w:top w:val="nil"/>
                  </w:tcBorders>
                  <w:vAlign w:val="center"/>
                </w:tcPr>
                <w:p>
                  <w:pPr>
                    <w:jc w:val="center"/>
                    <w:rPr>
                      <w:szCs w:val="21"/>
                    </w:rPr>
                  </w:pPr>
                </w:p>
              </w:tc>
              <w:tc>
                <w:tcPr>
                  <w:tcW w:w="777" w:type="dxa"/>
                  <w:vAlign w:val="center"/>
                </w:tcPr>
                <w:p>
                  <w:pPr>
                    <w:pStyle w:val="140"/>
                    <w:jc w:val="center"/>
                    <w:rPr>
                      <w:rFonts w:ascii="Times New Roman" w:hAnsi="Times New Roman" w:cs="Times New Roman"/>
                      <w:sz w:val="21"/>
                      <w:szCs w:val="21"/>
                    </w:rPr>
                  </w:pPr>
                  <w:r>
                    <w:rPr>
                      <w:rFonts w:ascii="Times New Roman" w:hAnsi="Times New Roman" w:cs="Times New Roman"/>
                      <w:spacing w:val="-2"/>
                      <w:sz w:val="21"/>
                      <w:szCs w:val="21"/>
                    </w:rPr>
                    <w:t>禁止类</w:t>
                  </w:r>
                </w:p>
              </w:tc>
              <w:tc>
                <w:tcPr>
                  <w:tcW w:w="3725" w:type="dxa"/>
                  <w:vAlign w:val="center"/>
                </w:tcPr>
                <w:p>
                  <w:pPr>
                    <w:pStyle w:val="140"/>
                    <w:jc w:val="center"/>
                    <w:rPr>
                      <w:rFonts w:ascii="Times New Roman" w:hAnsi="Times New Roman" w:cs="Times New Roman"/>
                      <w:sz w:val="21"/>
                      <w:szCs w:val="21"/>
                      <w:lang w:eastAsia="zh-CN"/>
                    </w:rPr>
                  </w:pPr>
                  <w:r>
                    <w:rPr>
                      <w:rFonts w:ascii="Times New Roman" w:hAnsi="Times New Roman" w:cs="Times New Roman"/>
                      <w:spacing w:val="-1"/>
                      <w:sz w:val="21"/>
                      <w:szCs w:val="21"/>
                      <w:lang w:eastAsia="zh-CN"/>
                    </w:rPr>
                    <w:t>禁止建设印刷线路板项目：禁止引入化工、平板玻璃、水泥、烧结砖瓦、陶瓷制品项</w:t>
                  </w:r>
                  <w:r>
                    <w:rPr>
                      <w:rFonts w:ascii="Times New Roman" w:hAnsi="Times New Roman" w:cs="Times New Roman"/>
                      <w:sz w:val="21"/>
                      <w:szCs w:val="21"/>
                      <w:lang w:eastAsia="zh-CN"/>
                    </w:rPr>
                    <w:t>目：C271化学药品原料药制造：C31黑色金属冶炼和压延加工业(C313钢压延加工</w:t>
                  </w:r>
                  <w:r>
                    <w:rPr>
                      <w:rFonts w:ascii="Times New Roman" w:hAnsi="Times New Roman" w:cs="Times New Roman"/>
                      <w:spacing w:val="5"/>
                      <w:sz w:val="21"/>
                      <w:szCs w:val="21"/>
                      <w:lang w:eastAsia="zh-CN"/>
                    </w:rPr>
                    <w:t xml:space="preserve"> </w:t>
                  </w:r>
                  <w:r>
                    <w:rPr>
                      <w:rFonts w:ascii="Times New Roman" w:hAnsi="Times New Roman" w:cs="Times New Roman"/>
                      <w:sz w:val="21"/>
                      <w:szCs w:val="21"/>
                      <w:lang w:eastAsia="zh-CN"/>
                    </w:rPr>
                    <w:t>除外)、C32有色金属冶炼和压延加工业(C325有色金属压延加工除外)。</w:t>
                  </w:r>
                </w:p>
              </w:tc>
              <w:tc>
                <w:tcPr>
                  <w:tcW w:w="2357" w:type="dxa"/>
                  <w:vMerge w:val="continue"/>
                  <w:tcBorders>
                    <w:bottom w:val="single" w:color="auto" w:sz="4" w:space="0"/>
                  </w:tcBorders>
                  <w:vAlign w:val="center"/>
                </w:tcPr>
                <w:p>
                  <w:pPr>
                    <w:jc w:val="center"/>
                    <w:rPr>
                      <w:szCs w:val="21"/>
                    </w:rPr>
                  </w:pPr>
                </w:p>
              </w:tc>
            </w:tr>
          </w:tbl>
          <w:p>
            <w:pPr>
              <w:spacing w:line="360" w:lineRule="auto"/>
              <w:rPr>
                <w:b/>
                <w:sz w:val="24"/>
              </w:rPr>
            </w:pPr>
            <w:r>
              <w:rPr>
                <w:rFonts w:hint="eastAsia"/>
                <w:b/>
                <w:sz w:val="24"/>
              </w:rPr>
              <w:t>8、</w:t>
            </w:r>
            <w:r>
              <w:rPr>
                <w:b/>
                <w:sz w:val="24"/>
              </w:rPr>
              <w:t xml:space="preserve"> 与《湖南省洞庭湖保护条例》符合性分析</w:t>
            </w:r>
          </w:p>
          <w:p>
            <w:pPr>
              <w:adjustRightInd w:val="0"/>
              <w:snapToGrid w:val="0"/>
              <w:spacing w:line="360" w:lineRule="auto"/>
              <w:ind w:firstLine="480" w:firstLineChars="200"/>
              <w:rPr>
                <w:bCs/>
                <w:kern w:val="0"/>
                <w:sz w:val="24"/>
                <w:szCs w:val="20"/>
              </w:rPr>
            </w:pPr>
            <w:r>
              <w:rPr>
                <w:rFonts w:hint="eastAsia"/>
                <w:bCs/>
                <w:kern w:val="0"/>
                <w:sz w:val="24"/>
                <w:szCs w:val="20"/>
              </w:rPr>
              <w:t>本项目与《湖南省洞庭湖保护条例》相符性分析详见下表：</w:t>
            </w:r>
          </w:p>
          <w:p>
            <w:pPr>
              <w:autoSpaceDE w:val="0"/>
              <w:autoSpaceDN w:val="0"/>
              <w:adjustRightInd w:val="0"/>
              <w:snapToGrid w:val="0"/>
              <w:jc w:val="center"/>
              <w:rPr>
                <w:b/>
                <w:bCs/>
                <w:kern w:val="0"/>
                <w:szCs w:val="21"/>
              </w:rPr>
            </w:pPr>
            <w:r>
              <w:rPr>
                <w:b/>
                <w:bCs/>
                <w:kern w:val="0"/>
                <w:szCs w:val="21"/>
              </w:rPr>
              <w:t>表1-</w:t>
            </w:r>
            <w:r>
              <w:rPr>
                <w:rFonts w:hint="eastAsia"/>
                <w:b/>
                <w:bCs/>
                <w:kern w:val="0"/>
                <w:szCs w:val="21"/>
              </w:rPr>
              <w:t xml:space="preserve">7  </w:t>
            </w:r>
            <w:r>
              <w:rPr>
                <w:b/>
                <w:bCs/>
                <w:kern w:val="0"/>
                <w:szCs w:val="21"/>
              </w:rPr>
              <w:t xml:space="preserve"> 与</w:t>
            </w:r>
            <w:r>
              <w:rPr>
                <w:b/>
                <w:bCs/>
                <w:szCs w:val="21"/>
              </w:rPr>
              <w:t>《湖南省洞庭湖保护条例》</w:t>
            </w:r>
            <w:r>
              <w:rPr>
                <w:b/>
                <w:bCs/>
                <w:kern w:val="0"/>
                <w:szCs w:val="21"/>
              </w:rPr>
              <w:t>符合性分析一览表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3143"/>
              <w:gridCol w:w="2816"/>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Align w:val="center"/>
                </w:tcPr>
                <w:p>
                  <w:pPr>
                    <w:jc w:val="center"/>
                    <w:rPr>
                      <w:kern w:val="0"/>
                      <w:szCs w:val="21"/>
                    </w:rPr>
                  </w:pPr>
                  <w:r>
                    <w:rPr>
                      <w:rFonts w:hint="eastAsia"/>
                      <w:kern w:val="0"/>
                      <w:szCs w:val="21"/>
                    </w:rPr>
                    <w:t>序号</w:t>
                  </w:r>
                </w:p>
              </w:tc>
              <w:tc>
                <w:tcPr>
                  <w:tcW w:w="2095" w:type="pct"/>
                  <w:vAlign w:val="center"/>
                </w:tcPr>
                <w:p>
                  <w:pPr>
                    <w:jc w:val="center"/>
                    <w:rPr>
                      <w:kern w:val="0"/>
                      <w:szCs w:val="21"/>
                    </w:rPr>
                  </w:pPr>
                  <w:r>
                    <w:rPr>
                      <w:rFonts w:hint="eastAsia"/>
                      <w:kern w:val="0"/>
                      <w:szCs w:val="21"/>
                    </w:rPr>
                    <w:t>要求</w:t>
                  </w:r>
                </w:p>
              </w:tc>
              <w:tc>
                <w:tcPr>
                  <w:tcW w:w="1877" w:type="pct"/>
                  <w:vAlign w:val="center"/>
                </w:tcPr>
                <w:p>
                  <w:pPr>
                    <w:jc w:val="center"/>
                    <w:rPr>
                      <w:kern w:val="0"/>
                      <w:szCs w:val="21"/>
                    </w:rPr>
                  </w:pPr>
                  <w:r>
                    <w:rPr>
                      <w:rFonts w:hint="eastAsia"/>
                      <w:kern w:val="0"/>
                      <w:szCs w:val="21"/>
                    </w:rPr>
                    <w:t>本扩建项目情况</w:t>
                  </w:r>
                </w:p>
              </w:tc>
              <w:tc>
                <w:tcPr>
                  <w:tcW w:w="568" w:type="pct"/>
                  <w:vAlign w:val="center"/>
                </w:tcPr>
                <w:p>
                  <w:pPr>
                    <w:jc w:val="center"/>
                  </w:pPr>
                  <w:r>
                    <w:rPr>
                      <w:rFonts w:hint="eastAsia"/>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Align w:val="center"/>
                </w:tcPr>
                <w:p>
                  <w:pPr>
                    <w:jc w:val="center"/>
                    <w:rPr>
                      <w:kern w:val="0"/>
                      <w:szCs w:val="21"/>
                    </w:rPr>
                  </w:pPr>
                  <w:r>
                    <w:rPr>
                      <w:rFonts w:hint="eastAsia"/>
                      <w:kern w:val="0"/>
                      <w:szCs w:val="21"/>
                    </w:rPr>
                    <w:t>1</w:t>
                  </w:r>
                </w:p>
              </w:tc>
              <w:tc>
                <w:tcPr>
                  <w:tcW w:w="2095" w:type="pct"/>
                  <w:vAlign w:val="center"/>
                </w:tcPr>
                <w:p>
                  <w:pPr>
                    <w:jc w:val="center"/>
                    <w:rPr>
                      <w:kern w:val="0"/>
                      <w:szCs w:val="21"/>
                    </w:rPr>
                  </w:pPr>
                  <w:r>
                    <w:rPr>
                      <w:rFonts w:hint="eastAsia"/>
                      <w:kern w:val="0"/>
                      <w:szCs w:val="21"/>
                    </w:rPr>
                    <w:t>禁止在湖区布局对生态系统有严重影响的产业。禁止重污染企业和项目向湖区转移。</w:t>
                  </w:r>
                </w:p>
              </w:tc>
              <w:tc>
                <w:tcPr>
                  <w:tcW w:w="1877" w:type="pct"/>
                  <w:vAlign w:val="center"/>
                </w:tcPr>
                <w:p>
                  <w:pPr>
                    <w:jc w:val="center"/>
                    <w:rPr>
                      <w:kern w:val="0"/>
                      <w:szCs w:val="21"/>
                    </w:rPr>
                  </w:pPr>
                  <w:r>
                    <w:rPr>
                      <w:rFonts w:hint="eastAsia"/>
                      <w:kern w:val="0"/>
                      <w:szCs w:val="21"/>
                    </w:rPr>
                    <w:t>本项目为</w:t>
                  </w:r>
                  <w:r>
                    <w:rPr>
                      <w:rFonts w:hint="eastAsia"/>
                      <w:szCs w:val="21"/>
                    </w:rPr>
                    <w:t>C2032 木门窗制造</w:t>
                  </w:r>
                  <w:r>
                    <w:rPr>
                      <w:rFonts w:hint="eastAsia"/>
                      <w:kern w:val="0"/>
                      <w:szCs w:val="21"/>
                    </w:rPr>
                    <w:t>，所引进的企业符合园区要求，不属于禁止进入的重污染企业。</w:t>
                  </w:r>
                </w:p>
              </w:tc>
              <w:tc>
                <w:tcPr>
                  <w:tcW w:w="568" w:type="pct"/>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Align w:val="center"/>
                </w:tcPr>
                <w:p>
                  <w:pPr>
                    <w:jc w:val="center"/>
                    <w:rPr>
                      <w:kern w:val="0"/>
                      <w:szCs w:val="21"/>
                    </w:rPr>
                  </w:pPr>
                  <w:r>
                    <w:rPr>
                      <w:rFonts w:hint="eastAsia"/>
                      <w:kern w:val="0"/>
                      <w:szCs w:val="21"/>
                    </w:rPr>
                    <w:t>2</w:t>
                  </w:r>
                </w:p>
              </w:tc>
              <w:tc>
                <w:tcPr>
                  <w:tcW w:w="2095" w:type="pct"/>
                  <w:vAlign w:val="center"/>
                </w:tcPr>
                <w:p>
                  <w:pPr>
                    <w:jc w:val="center"/>
                    <w:rPr>
                      <w:kern w:val="0"/>
                      <w:szCs w:val="21"/>
                    </w:rPr>
                  </w:pPr>
                  <w:r>
                    <w:rPr>
                      <w:rFonts w:hint="eastAsia"/>
                      <w:kern w:val="0"/>
                      <w:szCs w:val="21"/>
                    </w:rPr>
                    <w:t>湖区市、县（市、区）人民政府应当按照国家、省有关标准统筹安排城乡排水与污水收集处理管网建设、改造和运行，确保生产生活污水全面收集，达标排放。湖区市、县（市、区）人民政府应当推广农村卫生厕所，推进粪污无害化处理与资源化利用，配套建设农村污水治理设施，防止粪污污染水体。鼓励城乡生活污水循环化利用。</w:t>
                  </w:r>
                </w:p>
              </w:tc>
              <w:tc>
                <w:tcPr>
                  <w:tcW w:w="1877" w:type="pct"/>
                  <w:vAlign w:val="center"/>
                </w:tcPr>
                <w:p>
                  <w:pPr>
                    <w:jc w:val="center"/>
                    <w:rPr>
                      <w:kern w:val="0"/>
                      <w:szCs w:val="21"/>
                    </w:rPr>
                  </w:pPr>
                  <w:r>
                    <w:rPr>
                      <w:rFonts w:hint="eastAsia"/>
                      <w:kern w:val="0"/>
                      <w:szCs w:val="21"/>
                    </w:rPr>
                    <w:t>本项目位于</w:t>
                  </w:r>
                  <w:r>
                    <w:rPr>
                      <w:kern w:val="0"/>
                      <w:szCs w:val="21"/>
                    </w:rPr>
                    <w:t>湘阴高新区</w:t>
                  </w:r>
                  <w:r>
                    <w:rPr>
                      <w:rFonts w:hint="eastAsia"/>
                      <w:kern w:val="0"/>
                      <w:szCs w:val="21"/>
                    </w:rPr>
                    <w:t>洋沙湖</w:t>
                  </w:r>
                  <w:r>
                    <w:rPr>
                      <w:kern w:val="0"/>
                      <w:szCs w:val="21"/>
                    </w:rPr>
                    <w:t>片区</w:t>
                  </w:r>
                  <w:r>
                    <w:rPr>
                      <w:rFonts w:hint="eastAsia"/>
                      <w:kern w:val="0"/>
                      <w:szCs w:val="21"/>
                    </w:rPr>
                    <w:t>，项目所在区域已通市政污水管网，生活污水经化粪池预处理后</w:t>
                  </w:r>
                  <w:r>
                    <w:rPr>
                      <w:rFonts w:hint="eastAsia"/>
                      <w:lang w:eastAsia="zh-CN"/>
                    </w:rPr>
                    <w:t>（</w:t>
                  </w:r>
                  <w:r>
                    <w:rPr>
                      <w:rFonts w:hint="eastAsia"/>
                      <w:lang w:val="en-US" w:eastAsia="zh-CN"/>
                    </w:rPr>
                    <w:t>食堂污水先经隔油池处理</w:t>
                  </w:r>
                  <w:r>
                    <w:rPr>
                      <w:rFonts w:hint="eastAsia"/>
                      <w:lang w:eastAsia="zh-CN"/>
                    </w:rPr>
                    <w:t>）</w:t>
                  </w:r>
                  <w:r>
                    <w:rPr>
                      <w:rFonts w:hint="eastAsia"/>
                      <w:kern w:val="0"/>
                      <w:szCs w:val="21"/>
                    </w:rPr>
                    <w:t>进入湘阴县第二污水处理厂处理。</w:t>
                  </w:r>
                </w:p>
              </w:tc>
              <w:tc>
                <w:tcPr>
                  <w:tcW w:w="568" w:type="pct"/>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Align w:val="center"/>
                </w:tcPr>
                <w:p>
                  <w:pPr>
                    <w:jc w:val="center"/>
                    <w:rPr>
                      <w:kern w:val="0"/>
                      <w:szCs w:val="21"/>
                    </w:rPr>
                  </w:pPr>
                  <w:r>
                    <w:rPr>
                      <w:rFonts w:hint="eastAsia"/>
                      <w:kern w:val="0"/>
                      <w:szCs w:val="21"/>
                    </w:rPr>
                    <w:t>3</w:t>
                  </w:r>
                </w:p>
              </w:tc>
              <w:tc>
                <w:tcPr>
                  <w:tcW w:w="2095" w:type="pct"/>
                  <w:vAlign w:val="center"/>
                </w:tcPr>
                <w:p>
                  <w:pPr>
                    <w:jc w:val="center"/>
                    <w:rPr>
                      <w:kern w:val="0"/>
                      <w:szCs w:val="21"/>
                    </w:rPr>
                  </w:pPr>
                  <w:r>
                    <w:rPr>
                      <w:rFonts w:hint="eastAsia"/>
                      <w:kern w:val="0"/>
                      <w:szCs w:val="21"/>
                    </w:rPr>
                    <w:t>禁止填湖造地、围湖造田、建设矮围网、填埋湿地等非法侵占河湖水域或者违法利用、占用河湖岸线的行为。</w:t>
                  </w:r>
                </w:p>
              </w:tc>
              <w:tc>
                <w:tcPr>
                  <w:tcW w:w="1877" w:type="pct"/>
                  <w:vAlign w:val="center"/>
                </w:tcPr>
                <w:p>
                  <w:pPr>
                    <w:jc w:val="center"/>
                    <w:rPr>
                      <w:kern w:val="0"/>
                      <w:szCs w:val="21"/>
                    </w:rPr>
                  </w:pPr>
                  <w:r>
                    <w:rPr>
                      <w:rFonts w:hint="eastAsia"/>
                      <w:kern w:val="0"/>
                      <w:szCs w:val="21"/>
                    </w:rPr>
                    <w:t>本项目不涉及填湖造地、围湖造田、建设矮围网、填埋湿地等非法行为</w:t>
                  </w:r>
                </w:p>
              </w:tc>
              <w:tc>
                <w:tcPr>
                  <w:tcW w:w="568" w:type="pct"/>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Align w:val="center"/>
                </w:tcPr>
                <w:p>
                  <w:pPr>
                    <w:jc w:val="center"/>
                    <w:rPr>
                      <w:kern w:val="0"/>
                      <w:szCs w:val="21"/>
                    </w:rPr>
                  </w:pPr>
                  <w:r>
                    <w:rPr>
                      <w:rFonts w:hint="eastAsia"/>
                      <w:kern w:val="0"/>
                      <w:szCs w:val="21"/>
                    </w:rPr>
                    <w:t>4</w:t>
                  </w:r>
                </w:p>
              </w:tc>
              <w:tc>
                <w:tcPr>
                  <w:tcW w:w="2095" w:type="pct"/>
                  <w:vAlign w:val="center"/>
                </w:tcPr>
                <w:p>
                  <w:pPr>
                    <w:jc w:val="center"/>
                    <w:rPr>
                      <w:kern w:val="0"/>
                      <w:szCs w:val="21"/>
                    </w:rPr>
                  </w:pPr>
                  <w:r>
                    <w:rPr>
                      <w:rFonts w:hint="eastAsia"/>
                      <w:kern w:val="0"/>
                      <w:szCs w:val="21"/>
                    </w:rPr>
                    <w:t>洞庭湖生态保护红线划定、永久基本农田划定、城镇开发边界划定应当满足防洪设施建设管理要求，预留防洪设施建设空间和范围，确保防洪安全。</w:t>
                  </w:r>
                </w:p>
              </w:tc>
              <w:tc>
                <w:tcPr>
                  <w:tcW w:w="1877" w:type="pct"/>
                  <w:vAlign w:val="center"/>
                </w:tcPr>
                <w:p>
                  <w:pPr>
                    <w:jc w:val="center"/>
                    <w:rPr>
                      <w:kern w:val="0"/>
                      <w:szCs w:val="21"/>
                    </w:rPr>
                  </w:pPr>
                  <w:r>
                    <w:rPr>
                      <w:rFonts w:hint="eastAsia"/>
                      <w:kern w:val="0"/>
                      <w:szCs w:val="21"/>
                    </w:rPr>
                    <w:t>本项目位于</w:t>
                  </w:r>
                  <w:r>
                    <w:rPr>
                      <w:kern w:val="0"/>
                      <w:szCs w:val="21"/>
                    </w:rPr>
                    <w:t>湘阴高新区</w:t>
                  </w:r>
                  <w:r>
                    <w:rPr>
                      <w:rFonts w:hint="eastAsia"/>
                      <w:kern w:val="0"/>
                      <w:szCs w:val="21"/>
                    </w:rPr>
                    <w:t>洋沙湖</w:t>
                  </w:r>
                  <w:r>
                    <w:rPr>
                      <w:kern w:val="0"/>
                      <w:szCs w:val="21"/>
                    </w:rPr>
                    <w:t>片区</w:t>
                  </w:r>
                  <w:r>
                    <w:rPr>
                      <w:rFonts w:hint="eastAsia"/>
                      <w:kern w:val="0"/>
                      <w:szCs w:val="21"/>
                    </w:rPr>
                    <w:t>，不涉及生态保护红线、永久基本农田等，不会影响大堤防洪。</w:t>
                  </w:r>
                </w:p>
              </w:tc>
              <w:tc>
                <w:tcPr>
                  <w:tcW w:w="568" w:type="pct"/>
                  <w:vAlign w:val="center"/>
                </w:tcPr>
                <w:p>
                  <w:pPr>
                    <w:jc w:val="center"/>
                  </w:pPr>
                  <w:r>
                    <w:rPr>
                      <w:rFonts w:hint="eastAsia"/>
                    </w:rPr>
                    <w:t>符合</w:t>
                  </w:r>
                </w:p>
              </w:tc>
            </w:tr>
          </w:tbl>
          <w:p>
            <w:pPr>
              <w:adjustRightInd w:val="0"/>
              <w:snapToGrid w:val="0"/>
              <w:spacing w:line="360" w:lineRule="auto"/>
              <w:ind w:firstLine="420" w:firstLineChars="200"/>
            </w:pPr>
            <w:r>
              <w:rPr>
                <w:szCs w:val="21"/>
              </w:rPr>
              <w:t>综上所述，本项目的建设满足《湖南省洞庭湖保护条例》相关要求。</w:t>
            </w:r>
          </w:p>
          <w:p>
            <w:pPr>
              <w:tabs>
                <w:tab w:val="left" w:pos="3705"/>
                <w:tab w:val="left" w:pos="4680"/>
              </w:tabs>
              <w:autoSpaceDE w:val="0"/>
              <w:autoSpaceDN w:val="0"/>
              <w:spacing w:line="360" w:lineRule="auto"/>
              <w:ind w:firstLine="482" w:firstLineChars="200"/>
              <w:rPr>
                <w:b/>
                <w:bCs/>
                <w:color w:val="000000"/>
                <w:sz w:val="24"/>
                <w:lang w:bidi="zh-CN"/>
              </w:rPr>
            </w:pPr>
            <w:r>
              <w:rPr>
                <w:rFonts w:hint="eastAsia"/>
                <w:b/>
                <w:bCs/>
                <w:color w:val="000000"/>
                <w:sz w:val="24"/>
                <w:lang w:bidi="zh-CN"/>
              </w:rPr>
              <w:t>9、与《挥发性有机物无组织排放控制标准》(GB37822-2019)符合性分析</w:t>
            </w:r>
          </w:p>
          <w:p>
            <w:pPr>
              <w:autoSpaceDE w:val="0"/>
              <w:autoSpaceDN w:val="0"/>
              <w:adjustRightInd w:val="0"/>
              <w:snapToGrid w:val="0"/>
              <w:jc w:val="center"/>
              <w:rPr>
                <w:b/>
                <w:bCs/>
                <w:kern w:val="0"/>
                <w:szCs w:val="21"/>
              </w:rPr>
            </w:pPr>
            <w:r>
              <w:rPr>
                <w:rFonts w:hint="eastAsia"/>
                <w:b/>
                <w:bCs/>
                <w:kern w:val="0"/>
                <w:szCs w:val="21"/>
              </w:rPr>
              <w:t>表1-8  与《挥发性有机物无组织排放控制标准》(GB37822-2019)符合性分析表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3312"/>
              <w:gridCol w:w="2750"/>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序号</w:t>
                  </w:r>
                </w:p>
              </w:tc>
              <w:tc>
                <w:tcPr>
                  <w:tcW w:w="3589"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方案要求</w:t>
                  </w:r>
                </w:p>
              </w:tc>
              <w:tc>
                <w:tcPr>
                  <w:tcW w:w="2977"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项目情况</w:t>
                  </w:r>
                </w:p>
              </w:tc>
              <w:tc>
                <w:tcPr>
                  <w:tcW w:w="981"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1</w:t>
                  </w:r>
                </w:p>
              </w:tc>
              <w:tc>
                <w:tcPr>
                  <w:tcW w:w="3589"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VOCs物料应储存于密闭的容器、储罐中，VOCs物料储罐应密封良好；在反应期间，反应设备的进料口、出料口等开口（孔）在不操作时应保持密闭；</w:t>
                  </w:r>
                </w:p>
              </w:tc>
              <w:tc>
                <w:tcPr>
                  <w:tcW w:w="2977"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本项目在生产过程中将全程对含有VOCs的原料</w:t>
                  </w:r>
                  <w:r>
                    <w:rPr>
                      <w:rFonts w:hint="eastAsia" w:ascii="Times New Roman"/>
                      <w:color w:val="000000"/>
                      <w:szCs w:val="21"/>
                    </w:rPr>
                    <w:t>（水性漆、油性漆、水基胶等）</w:t>
                  </w:r>
                  <w:r>
                    <w:rPr>
                      <w:rFonts w:ascii="Times New Roman"/>
                      <w:color w:val="000000"/>
                      <w:szCs w:val="21"/>
                    </w:rPr>
                    <w:t>和产品进行管控，存放、转运过程中密封保存，使用时做到开封即用</w:t>
                  </w:r>
                  <w:r>
                    <w:rPr>
                      <w:rFonts w:hint="eastAsia" w:ascii="Times New Roman"/>
                      <w:color w:val="000000"/>
                      <w:szCs w:val="21"/>
                    </w:rPr>
                    <w:t>，在喷漆房内进行调漆</w:t>
                  </w:r>
                  <w:r>
                    <w:rPr>
                      <w:rFonts w:ascii="Times New Roman"/>
                      <w:color w:val="000000"/>
                      <w:szCs w:val="21"/>
                    </w:rPr>
                    <w:t>，尽量避免VOCs无组织排放。</w:t>
                  </w:r>
                </w:p>
              </w:tc>
              <w:tc>
                <w:tcPr>
                  <w:tcW w:w="981"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2</w:t>
                  </w:r>
                </w:p>
              </w:tc>
              <w:tc>
                <w:tcPr>
                  <w:tcW w:w="3589"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2977"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hint="eastAsia" w:ascii="Times New Roman"/>
                      <w:color w:val="000000"/>
                      <w:szCs w:val="21"/>
                    </w:rPr>
                    <w:t>本项目水基胶VOCs占比</w:t>
                  </w:r>
                  <w:r>
                    <w:rPr>
                      <w:rFonts w:hint="eastAsia" w:ascii="Times New Roman"/>
                      <w:color w:val="000000"/>
                      <w:szCs w:val="21"/>
                      <w:lang w:eastAsia="zh-CN"/>
                    </w:rPr>
                    <w:t>低于</w:t>
                  </w:r>
                  <w:r>
                    <w:rPr>
                      <w:rFonts w:ascii="Times New Roman"/>
                      <w:color w:val="000000"/>
                      <w:szCs w:val="21"/>
                    </w:rPr>
                    <w:t>0.8</w:t>
                  </w:r>
                  <w:r>
                    <w:rPr>
                      <w:rFonts w:hint="eastAsia" w:ascii="Times New Roman"/>
                      <w:color w:val="000000"/>
                      <w:szCs w:val="21"/>
                    </w:rPr>
                    <w:t>%，低于10%，从源头减少VOCs的排放；喷漆房、晾干房采用密闭作业，废气微负压收集，通过旋转式分子筛吸附+脱附+催化燃烧处理后通过15m高排气筒排放。</w:t>
                  </w:r>
                </w:p>
              </w:tc>
              <w:tc>
                <w:tcPr>
                  <w:tcW w:w="981"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4"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3</w:t>
                  </w:r>
                </w:p>
              </w:tc>
              <w:tc>
                <w:tcPr>
                  <w:tcW w:w="3589"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VOCs物料加工过程中，液态VOCs物料应采用密闭管道输送。采用非管道输送方式转移液态VOCs物料时，应采用密闭容器、罐车。</w:t>
                  </w:r>
                </w:p>
              </w:tc>
              <w:tc>
                <w:tcPr>
                  <w:tcW w:w="2977"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本项目的液态VOCs物料</w:t>
                  </w:r>
                  <w:r>
                    <w:rPr>
                      <w:rFonts w:hint="eastAsia" w:ascii="Times New Roman"/>
                      <w:color w:val="000000"/>
                      <w:szCs w:val="21"/>
                    </w:rPr>
                    <w:t>（油性漆等）</w:t>
                  </w:r>
                  <w:r>
                    <w:rPr>
                      <w:rFonts w:ascii="Times New Roman"/>
                      <w:color w:val="000000"/>
                      <w:szCs w:val="21"/>
                    </w:rPr>
                    <w:t>在运输和存放过程中均使用密闭容器盛装。</w:t>
                  </w:r>
                </w:p>
              </w:tc>
              <w:tc>
                <w:tcPr>
                  <w:tcW w:w="981"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4</w:t>
                  </w:r>
                </w:p>
              </w:tc>
              <w:tc>
                <w:tcPr>
                  <w:tcW w:w="3589"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液态VOCs物料应采用密闭管道输送方式或采用高位槽（罐）、桶泵等给料方式密闭投加。无法密闭的，应采取局部气体收集措施，废气应排至VOCs废气收集处理系统。</w:t>
                  </w:r>
                </w:p>
              </w:tc>
              <w:tc>
                <w:tcPr>
                  <w:tcW w:w="2977"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项目在</w:t>
                  </w:r>
                  <w:r>
                    <w:rPr>
                      <w:rFonts w:hint="eastAsia" w:ascii="Times New Roman"/>
                      <w:color w:val="000000"/>
                      <w:szCs w:val="21"/>
                    </w:rPr>
                    <w:t>热压工序使用的低挥发性有机物，含量仅有0.8%，排放速率低于2kg/h，无组织排放，喷漆室、晾干室均为密闭作业，微负压收集，通过旋转式分子筛吸附+脱附+RCO催化燃烧处理</w:t>
                  </w:r>
                  <w:r>
                    <w:rPr>
                      <w:rFonts w:ascii="Times New Roman"/>
                      <w:color w:val="000000"/>
                      <w:szCs w:val="21"/>
                    </w:rPr>
                    <w:t>。</w:t>
                  </w:r>
                </w:p>
              </w:tc>
              <w:tc>
                <w:tcPr>
                  <w:tcW w:w="981"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5</w:t>
                  </w:r>
                </w:p>
              </w:tc>
              <w:tc>
                <w:tcPr>
                  <w:tcW w:w="3589"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VOCs废气收集处理系统应与生产工艺设备同步运行。VOCs废气收集处理系统发生故障或检修时，对应的生产工艺设备应停止运行，待检修完毕后同步投入使用。</w:t>
                  </w:r>
                </w:p>
              </w:tc>
              <w:tc>
                <w:tcPr>
                  <w:tcW w:w="2977"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项目的有机废气治理收集处理系统与生产工艺设备串联接线，实现同步运行，废气处理系统发生故障，对应生产工艺设备也停止运行。</w:t>
                  </w:r>
                </w:p>
              </w:tc>
              <w:tc>
                <w:tcPr>
                  <w:tcW w:w="981"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6</w:t>
                  </w:r>
                </w:p>
              </w:tc>
              <w:tc>
                <w:tcPr>
                  <w:tcW w:w="3589"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收集的废气中NMHC初始排放速率&gt;3 kgh 时，应配置VOCs处理设施，处理效率不应低于80%</w:t>
                  </w:r>
                  <w:r>
                    <w:rPr>
                      <w:rFonts w:hint="eastAsia" w:ascii="Times New Roman"/>
                      <w:color w:val="000000"/>
                      <w:szCs w:val="21"/>
                    </w:rPr>
                    <w:t>；</w:t>
                  </w:r>
                  <w:r>
                    <w:rPr>
                      <w:rFonts w:ascii="Times New Roman"/>
                      <w:color w:val="000000"/>
                      <w:szCs w:val="21"/>
                    </w:rPr>
                    <w:t>对于重点地区，收集的废气中NMHC初始排放速率&gt;2kgh时，应配置VOCs处理设施，处理效率不应低于80%</w:t>
                  </w:r>
                  <w:r>
                    <w:rPr>
                      <w:rFonts w:hint="eastAsia" w:ascii="Times New Roman"/>
                      <w:color w:val="000000"/>
                      <w:szCs w:val="21"/>
                    </w:rPr>
                    <w:t>；</w:t>
                  </w:r>
                  <w:r>
                    <w:rPr>
                      <w:rFonts w:ascii="Times New Roman"/>
                      <w:color w:val="000000"/>
                      <w:szCs w:val="21"/>
                    </w:rPr>
                    <w:t>采用的原辅材料符合国家有关低VOCs含量产品规定的除外。进入VOCs燃烧(焚烧、氧化)装置的废气需要补充空气进行燃烧、氧化反应的，排气筒中实测大气污染物排放浓度，应按式(1)换算为基准含氧量为3%的大气污染物基准排放浓度。利用锅炉、工业炉窑、固废焚烧炉焚烧处理有机废气的，烟气基准含氧量按其排放标准规定执行。</w:t>
                  </w:r>
                </w:p>
              </w:tc>
              <w:tc>
                <w:tcPr>
                  <w:tcW w:w="2977"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项目</w:t>
                  </w:r>
                  <w:r>
                    <w:rPr>
                      <w:rFonts w:hint="eastAsia" w:ascii="Times New Roman"/>
                      <w:color w:val="000000"/>
                      <w:szCs w:val="21"/>
                    </w:rPr>
                    <w:t>热压工序采用水基胶，VOCs含量低于10%，可不采取收集处理措施，本项目在此工段采用源头替代使用水基胶，初始排放速率低于2kg/h，故满足该要求；喷漆房、晾干房密闭作业，通过微负压收集+旋转式分子筛吸附+脱附+RCO催化燃烧处理设施处理。</w:t>
                  </w:r>
                </w:p>
              </w:tc>
              <w:tc>
                <w:tcPr>
                  <w:tcW w:w="981"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p>
              </w:tc>
            </w:tr>
          </w:tbl>
          <w:p>
            <w:pPr>
              <w:pStyle w:val="169"/>
              <w:ind w:firstLine="480"/>
              <w:rPr>
                <w:color w:val="000000"/>
              </w:rPr>
            </w:pPr>
            <w:r>
              <w:rPr>
                <w:rFonts w:hint="eastAsia"/>
                <w:color w:val="000000"/>
              </w:rPr>
              <w:t>由上表可知，本项目建设符合《挥发性有机物无组织排放控制标准》(GB37822-2019)中无组织排放相关要求。</w:t>
            </w:r>
          </w:p>
          <w:p>
            <w:pPr>
              <w:spacing w:line="360" w:lineRule="auto"/>
              <w:rPr>
                <w:b/>
                <w:sz w:val="24"/>
              </w:rPr>
            </w:pPr>
            <w:r>
              <w:rPr>
                <w:rFonts w:hint="eastAsia"/>
                <w:b/>
                <w:sz w:val="24"/>
              </w:rPr>
              <w:t>8、与《湖南省大气污染防治“守护蓝天”攻坚行动计划（</w:t>
            </w:r>
            <w:r>
              <w:rPr>
                <w:b/>
                <w:sz w:val="24"/>
              </w:rPr>
              <w:t>2023</w:t>
            </w:r>
            <w:r>
              <w:rPr>
                <w:rFonts w:hint="eastAsia"/>
                <w:b/>
                <w:sz w:val="24"/>
              </w:rPr>
              <w:t>—</w:t>
            </w:r>
            <w:r>
              <w:rPr>
                <w:b/>
                <w:sz w:val="24"/>
              </w:rPr>
              <w:t xml:space="preserve">2025 </w:t>
            </w:r>
            <w:r>
              <w:rPr>
                <w:rFonts w:hint="eastAsia"/>
                <w:b/>
                <w:sz w:val="24"/>
              </w:rPr>
              <w:t>年）的通知》湘政办发〔</w:t>
            </w:r>
            <w:r>
              <w:rPr>
                <w:b/>
                <w:sz w:val="24"/>
              </w:rPr>
              <w:t>2023</w:t>
            </w:r>
            <w:r>
              <w:rPr>
                <w:rFonts w:hint="eastAsia"/>
                <w:b/>
                <w:sz w:val="24"/>
              </w:rPr>
              <w:t>〕</w:t>
            </w:r>
            <w:r>
              <w:rPr>
                <w:b/>
                <w:sz w:val="24"/>
              </w:rPr>
              <w:t>34</w:t>
            </w:r>
            <w:r>
              <w:rPr>
                <w:rFonts w:hint="eastAsia"/>
                <w:b/>
                <w:sz w:val="24"/>
              </w:rPr>
              <w:t>号符合性分析</w:t>
            </w:r>
          </w:p>
          <w:p>
            <w:pPr>
              <w:autoSpaceDE w:val="0"/>
              <w:autoSpaceDN w:val="0"/>
              <w:adjustRightInd w:val="0"/>
              <w:snapToGrid w:val="0"/>
              <w:jc w:val="center"/>
              <w:rPr>
                <w:b/>
                <w:bCs/>
                <w:kern w:val="0"/>
                <w:szCs w:val="21"/>
              </w:rPr>
            </w:pPr>
            <w:r>
              <w:rPr>
                <w:rFonts w:hint="eastAsia"/>
                <w:b/>
                <w:bCs/>
                <w:kern w:val="0"/>
                <w:szCs w:val="21"/>
              </w:rPr>
              <w:t>表1-9   与湘政办发〔2023〕34号符合性分析表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3435"/>
              <w:gridCol w:w="2385"/>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pStyle w:val="65"/>
                    <w:autoSpaceDE w:val="0"/>
                    <w:autoSpaceDN w:val="0"/>
                    <w:spacing w:beforeLines="0" w:afterLines="0" w:line="240" w:lineRule="auto"/>
                    <w:ind w:left="0" w:leftChars="0" w:firstLine="0" w:firstLineChars="0"/>
                    <w:rPr>
                      <w:rFonts w:ascii="Times New Roman"/>
                      <w:color w:val="000000"/>
                      <w:szCs w:val="21"/>
                    </w:rPr>
                  </w:pPr>
                  <w:r>
                    <w:rPr>
                      <w:rFonts w:ascii="Times New Roman"/>
                      <w:color w:val="000000"/>
                      <w:szCs w:val="21"/>
                    </w:rPr>
                    <w:t>序号</w:t>
                  </w:r>
                </w:p>
              </w:tc>
              <w:tc>
                <w:tcPr>
                  <w:tcW w:w="3435" w:type="dxa"/>
                  <w:vAlign w:val="center"/>
                </w:tcPr>
                <w:p>
                  <w:pPr>
                    <w:pStyle w:val="65"/>
                    <w:autoSpaceDE w:val="0"/>
                    <w:autoSpaceDN w:val="0"/>
                    <w:spacing w:beforeLines="0" w:afterLines="0" w:line="240" w:lineRule="auto"/>
                    <w:ind w:left="0" w:leftChars="0" w:firstLine="0" w:firstLineChars="0"/>
                    <w:rPr>
                      <w:rFonts w:ascii="Times New Roman"/>
                      <w:color w:val="000000"/>
                      <w:szCs w:val="21"/>
                    </w:rPr>
                  </w:pPr>
                  <w:r>
                    <w:rPr>
                      <w:rFonts w:ascii="Times New Roman"/>
                      <w:color w:val="000000"/>
                      <w:szCs w:val="21"/>
                    </w:rPr>
                    <w:t>要求</w:t>
                  </w:r>
                </w:p>
              </w:tc>
              <w:tc>
                <w:tcPr>
                  <w:tcW w:w="2385" w:type="dxa"/>
                  <w:vAlign w:val="center"/>
                </w:tcPr>
                <w:p>
                  <w:pPr>
                    <w:pStyle w:val="65"/>
                    <w:autoSpaceDE w:val="0"/>
                    <w:autoSpaceDN w:val="0"/>
                    <w:spacing w:beforeLines="0" w:afterLines="0" w:line="240" w:lineRule="auto"/>
                    <w:ind w:left="0" w:leftChars="0" w:firstLine="0" w:firstLineChars="0"/>
                    <w:rPr>
                      <w:rFonts w:ascii="Times New Roman"/>
                      <w:color w:val="000000"/>
                      <w:szCs w:val="21"/>
                    </w:rPr>
                  </w:pPr>
                  <w:r>
                    <w:rPr>
                      <w:rFonts w:ascii="Times New Roman"/>
                      <w:color w:val="000000"/>
                      <w:szCs w:val="21"/>
                    </w:rPr>
                    <w:t>项目情况</w:t>
                  </w:r>
                </w:p>
              </w:tc>
              <w:tc>
                <w:tcPr>
                  <w:tcW w:w="953" w:type="dxa"/>
                  <w:vAlign w:val="center"/>
                </w:tcPr>
                <w:p>
                  <w:pPr>
                    <w:pStyle w:val="65"/>
                    <w:autoSpaceDE w:val="0"/>
                    <w:autoSpaceDN w:val="0"/>
                    <w:spacing w:beforeLines="0" w:afterLines="0" w:line="240" w:lineRule="auto"/>
                    <w:ind w:left="0" w:leftChars="0" w:firstLine="0" w:firstLineChars="0"/>
                    <w:rPr>
                      <w:rFonts w:ascii="Times New Roman"/>
                      <w:color w:val="000000"/>
                      <w:szCs w:val="21"/>
                    </w:rPr>
                  </w:pPr>
                  <w:r>
                    <w:rPr>
                      <w:rFonts w:ascii="Times New Roman"/>
                      <w:color w:val="00000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1</w:t>
                  </w:r>
                </w:p>
              </w:tc>
              <w:tc>
                <w:tcPr>
                  <w:tcW w:w="3435"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推动能源绿色低碳转型。严格落实煤炭等量、减量替代，提高电煤消费占比。多渠道扩展天然气气源，扩大外受电比重，持续推进“煤改气”“煤改电”工程，大力推进使用</w:t>
                  </w:r>
                  <w:r>
                    <w:rPr>
                      <w:rFonts w:hint="eastAsia" w:ascii="Times New Roman"/>
                      <w:color w:val="000000"/>
                      <w:szCs w:val="21"/>
                    </w:rPr>
                    <w:t>清洁</w:t>
                  </w:r>
                  <w:r>
                    <w:rPr>
                      <w:rFonts w:ascii="Times New Roman"/>
                      <w:color w:val="000000"/>
                      <w:szCs w:val="21"/>
                    </w:rPr>
                    <w:t>能源或电厂热力、工业余热等替代锅炉、炉窑燃料用煤，加快推动玻璃、地板砖等建材行业企业以及有色</w:t>
                  </w:r>
                  <w:r>
                    <w:rPr>
                      <w:rFonts w:hint="eastAsia" w:ascii="Times New Roman"/>
                      <w:color w:val="000000"/>
                      <w:szCs w:val="21"/>
                    </w:rPr>
                    <w:t>冶炼</w:t>
                  </w:r>
                  <w:r>
                    <w:rPr>
                      <w:rFonts w:ascii="Times New Roman"/>
                      <w:color w:val="000000"/>
                      <w:szCs w:val="21"/>
                    </w:rPr>
                    <w:t>行业鼓风炉、反射炉等“煤改气”，依法依规推进煤气发生炉有序退出，推动非化石能源发展。到2025年，煤炭消费占一次能源消费比重下降至51%左右，电煤消费占比达到55%以上。</w:t>
                  </w:r>
                </w:p>
              </w:tc>
              <w:tc>
                <w:tcPr>
                  <w:tcW w:w="2385"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项目生产过程中使用的能源为电能，不涉及燃煤</w:t>
                  </w:r>
                  <w:r>
                    <w:rPr>
                      <w:rFonts w:hint="eastAsia" w:ascii="Times New Roman"/>
                      <w:color w:val="000000"/>
                      <w:szCs w:val="21"/>
                    </w:rPr>
                    <w:t>。</w:t>
                  </w:r>
                </w:p>
              </w:tc>
              <w:tc>
                <w:tcPr>
                  <w:tcW w:w="953"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2</w:t>
                  </w:r>
                </w:p>
              </w:tc>
              <w:tc>
                <w:tcPr>
                  <w:tcW w:w="3435"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强化禁燃区管控，推进散煤替代。加强煤炭生产、销售和使用监管。优化调整高污染燃料禁燃区范围，严厉查处禁燃区内煤炭燃用行为。推进农村用能低碳化转型，加快农业种植、养殖、农产品加工等散煤替代。</w:t>
                  </w:r>
                </w:p>
              </w:tc>
              <w:tc>
                <w:tcPr>
                  <w:tcW w:w="2385"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项目燃料为电和</w:t>
                  </w:r>
                  <w:r>
                    <w:rPr>
                      <w:rFonts w:hint="eastAsia" w:ascii="Times New Roman"/>
                      <w:color w:val="000000"/>
                      <w:szCs w:val="21"/>
                    </w:rPr>
                    <w:t>天然气</w:t>
                  </w:r>
                  <w:r>
                    <w:rPr>
                      <w:rFonts w:ascii="Times New Roman"/>
                      <w:color w:val="000000"/>
                      <w:szCs w:val="21"/>
                    </w:rPr>
                    <w:t>，不</w:t>
                  </w:r>
                  <w:r>
                    <w:rPr>
                      <w:rFonts w:hint="eastAsia" w:ascii="Times New Roman"/>
                      <w:color w:val="000000"/>
                      <w:szCs w:val="21"/>
                    </w:rPr>
                    <w:t>使用</w:t>
                  </w:r>
                  <w:r>
                    <w:rPr>
                      <w:rFonts w:ascii="Times New Roman"/>
                      <w:color w:val="000000"/>
                      <w:szCs w:val="21"/>
                    </w:rPr>
                    <w:t>煤</w:t>
                  </w:r>
                  <w:r>
                    <w:rPr>
                      <w:rFonts w:hint="eastAsia" w:ascii="Times New Roman"/>
                      <w:color w:val="000000"/>
                      <w:szCs w:val="21"/>
                    </w:rPr>
                    <w:t>。</w:t>
                  </w:r>
                </w:p>
              </w:tc>
              <w:tc>
                <w:tcPr>
                  <w:tcW w:w="953"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3</w:t>
                  </w:r>
                </w:p>
              </w:tc>
              <w:tc>
                <w:tcPr>
                  <w:tcW w:w="3435"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提升重点行业能效水平。开展重点行业节能降碳改造，全省低于能效基准水平的存量项目全面实施节能技改，在建、拟建项目按照国家行业能效标杆水平建设。到2025年，钢铁、建材、化工等重点行业企业全部达到能效基准水平以上，达到能效标杆水平的比例超过30%</w:t>
                  </w:r>
                  <w:r>
                    <w:rPr>
                      <w:rFonts w:hint="eastAsia" w:ascii="Times New Roman"/>
                      <w:color w:val="000000"/>
                      <w:szCs w:val="21"/>
                    </w:rPr>
                    <w:t>；</w:t>
                  </w:r>
                  <w:r>
                    <w:rPr>
                      <w:rFonts w:ascii="Times New Roman"/>
                      <w:color w:val="000000"/>
                      <w:szCs w:val="21"/>
                    </w:rPr>
                    <w:t>全省煤电机组平均供电煤耗降至300克标煤/千瓦时以</w:t>
                  </w:r>
                  <w:r>
                    <w:rPr>
                      <w:rFonts w:hint="eastAsia" w:ascii="Times New Roman"/>
                      <w:color w:val="000000"/>
                      <w:szCs w:val="21"/>
                    </w:rPr>
                    <w:t>下。</w:t>
                  </w:r>
                </w:p>
              </w:tc>
              <w:tc>
                <w:tcPr>
                  <w:tcW w:w="2385"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本项目建筑材料制造</w:t>
                  </w:r>
                  <w:r>
                    <w:rPr>
                      <w:rFonts w:hint="eastAsia" w:ascii="Times New Roman"/>
                      <w:color w:val="000000"/>
                      <w:szCs w:val="21"/>
                    </w:rPr>
                    <w:t>，</w:t>
                  </w:r>
                  <w:r>
                    <w:rPr>
                      <w:rFonts w:ascii="Times New Roman"/>
                      <w:color w:val="000000"/>
                      <w:szCs w:val="21"/>
                    </w:rPr>
                    <w:t>项目运营过程中使用</w:t>
                  </w:r>
                  <w:r>
                    <w:rPr>
                      <w:rFonts w:hint="eastAsia" w:ascii="Times New Roman"/>
                      <w:color w:val="000000"/>
                      <w:szCs w:val="21"/>
                    </w:rPr>
                    <w:t>天然气</w:t>
                  </w:r>
                  <w:r>
                    <w:rPr>
                      <w:rFonts w:ascii="Times New Roman"/>
                      <w:color w:val="000000"/>
                      <w:szCs w:val="21"/>
                    </w:rPr>
                    <w:t>和电，不涉及煤</w:t>
                  </w:r>
                  <w:r>
                    <w:rPr>
                      <w:rFonts w:hint="eastAsia" w:ascii="Times New Roman"/>
                      <w:color w:val="000000"/>
                      <w:szCs w:val="21"/>
                    </w:rPr>
                    <w:t>。</w:t>
                  </w:r>
                </w:p>
              </w:tc>
              <w:tc>
                <w:tcPr>
                  <w:tcW w:w="953"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4</w:t>
                  </w:r>
                </w:p>
              </w:tc>
              <w:tc>
                <w:tcPr>
                  <w:tcW w:w="3435"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优化产业结构和布局。严格项目准入，</w:t>
                  </w:r>
                  <w:r>
                    <w:rPr>
                      <w:rFonts w:hint="eastAsia" w:ascii="Times New Roman"/>
                      <w:color w:val="000000"/>
                      <w:szCs w:val="21"/>
                    </w:rPr>
                    <w:t>遏</w:t>
                  </w:r>
                  <w:r>
                    <w:rPr>
                      <w:rFonts w:ascii="Times New Roman"/>
                      <w:color w:val="000000"/>
                      <w:szCs w:val="21"/>
                    </w:rPr>
                    <w:t>制“两高一低”项目盲目发展。落实产业规划及产业政策，严格执行重点行业产能置换办法，依法依规淘汰落后产能。优化产业链布局，开展传统产业集群排查整治，推进重点涉气企业入区入园。到2025年，按照相关政策和环保标准整合关停环境绩效水平低的砖瓦企业。</w:t>
                  </w:r>
                </w:p>
              </w:tc>
              <w:tc>
                <w:tcPr>
                  <w:tcW w:w="2385"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项目属于</w:t>
                  </w:r>
                  <w:r>
                    <w:rPr>
                      <w:rFonts w:hint="eastAsia" w:ascii="Times New Roman"/>
                      <w:color w:val="000000"/>
                      <w:szCs w:val="21"/>
                    </w:rPr>
                    <w:t>C2032 木门窗制造</w:t>
                  </w:r>
                  <w:r>
                    <w:rPr>
                      <w:rFonts w:ascii="Times New Roman"/>
                      <w:color w:val="000000"/>
                      <w:szCs w:val="21"/>
                    </w:rPr>
                    <w:t>，符合产业布局、产业规划和产业政策要求，符合园区准入要求，不属于“两高一低”项目，不属于落后产能项目，</w:t>
                  </w:r>
                  <w:r>
                    <w:rPr>
                      <w:rFonts w:hint="eastAsia" w:ascii="Times New Roman"/>
                      <w:color w:val="000000"/>
                      <w:szCs w:val="21"/>
                    </w:rPr>
                    <w:t>项目</w:t>
                  </w:r>
                  <w:r>
                    <w:rPr>
                      <w:rFonts w:ascii="Times New Roman"/>
                      <w:color w:val="000000"/>
                      <w:szCs w:val="21"/>
                    </w:rPr>
                    <w:t>位于湖南湘阴高新技术产业开发区洋沙湖产业园</w:t>
                  </w:r>
                  <w:r>
                    <w:rPr>
                      <w:rFonts w:hint="eastAsia" w:ascii="Times New Roman"/>
                      <w:color w:val="000000"/>
                      <w:szCs w:val="21"/>
                    </w:rPr>
                    <w:t>内</w:t>
                  </w:r>
                  <w:r>
                    <w:rPr>
                      <w:rFonts w:ascii="Times New Roman"/>
                      <w:color w:val="000000"/>
                      <w:szCs w:val="21"/>
                    </w:rPr>
                    <w:t>，其产生的废气均经处理后由排气</w:t>
                  </w:r>
                  <w:r>
                    <w:rPr>
                      <w:rFonts w:hint="eastAsia" w:ascii="Times New Roman"/>
                      <w:color w:val="000000"/>
                      <w:szCs w:val="21"/>
                    </w:rPr>
                    <w:t>筒</w:t>
                  </w:r>
                  <w:r>
                    <w:rPr>
                      <w:rFonts w:ascii="Times New Roman"/>
                      <w:color w:val="000000"/>
                      <w:szCs w:val="21"/>
                    </w:rPr>
                    <w:t>高空排放。</w:t>
                  </w:r>
                </w:p>
              </w:tc>
              <w:tc>
                <w:tcPr>
                  <w:tcW w:w="953"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5</w:t>
                  </w:r>
                </w:p>
              </w:tc>
              <w:tc>
                <w:tcPr>
                  <w:tcW w:w="3435"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加大低VOCs原辅材料替代力度。建立多部门联合执法机制，加大监督检查力度，确保生产、销售、使用符合 VOCs含量限值标准的产品。以工业涂装、包装印刷和胶粘剂使用等为重点，在企业清洁生产审核中明确提出低VOCs原辅材料替代要求。</w:t>
                  </w:r>
                </w:p>
              </w:tc>
              <w:tc>
                <w:tcPr>
                  <w:tcW w:w="2385"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项目属于</w:t>
                  </w:r>
                  <w:r>
                    <w:rPr>
                      <w:rFonts w:hint="eastAsia" w:ascii="Times New Roman"/>
                      <w:color w:val="000000"/>
                      <w:szCs w:val="21"/>
                    </w:rPr>
                    <w:t>C2032 木门窗制造</w:t>
                  </w:r>
                  <w:r>
                    <w:rPr>
                      <w:rFonts w:ascii="Times New Roman"/>
                      <w:color w:val="000000"/>
                      <w:szCs w:val="21"/>
                    </w:rPr>
                    <w:t>，根据项目使用环境</w:t>
                  </w:r>
                  <w:r>
                    <w:rPr>
                      <w:rFonts w:hint="eastAsia" w:ascii="Times New Roman"/>
                      <w:color w:val="000000"/>
                      <w:szCs w:val="21"/>
                    </w:rPr>
                    <w:t>和客户要求，项目使用水基胶作为粘胶剂，水性油漆、少量油</w:t>
                  </w:r>
                  <w:r>
                    <w:rPr>
                      <w:rFonts w:ascii="Times New Roman"/>
                      <w:color w:val="000000"/>
                      <w:szCs w:val="21"/>
                    </w:rPr>
                    <w:t>性漆进行涂装，</w:t>
                  </w:r>
                  <w:r>
                    <w:rPr>
                      <w:rFonts w:hint="eastAsia" w:ascii="Times New Roman"/>
                      <w:color w:val="000000"/>
                      <w:szCs w:val="21"/>
                    </w:rPr>
                    <w:t>从源头减少VOCs的排放</w:t>
                  </w:r>
                  <w:r>
                    <w:rPr>
                      <w:rFonts w:ascii="Times New Roman"/>
                      <w:color w:val="000000"/>
                      <w:szCs w:val="21"/>
                    </w:rPr>
                    <w:t>。</w:t>
                  </w:r>
                </w:p>
              </w:tc>
              <w:tc>
                <w:tcPr>
                  <w:tcW w:w="953"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6</w:t>
                  </w:r>
                </w:p>
              </w:tc>
              <w:tc>
                <w:tcPr>
                  <w:tcW w:w="3435"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推进锅</w:t>
                  </w:r>
                  <w:r>
                    <w:rPr>
                      <w:rFonts w:hint="eastAsia" w:ascii="Times New Roman"/>
                      <w:color w:val="000000"/>
                      <w:szCs w:val="21"/>
                    </w:rPr>
                    <w:t>炉</w:t>
                  </w:r>
                  <w:r>
                    <w:rPr>
                      <w:rFonts w:ascii="Times New Roman"/>
                      <w:color w:val="000000"/>
                      <w:szCs w:val="21"/>
                    </w:rPr>
                    <w:t>窑炉超低排放与深度治理。全面开展钢铁、水泥行业超低排放改造，深入开展锅炉窑炉深度治理和简易低效处理设施排查，对高排放重点行业开展专项整治。生物质锅炉使用专用炉具和成型燃料并配套高效治理设施，推动城市建成区生物质锅炉安装烟气在线监测设施。到2025年，全面完成钢铁和重点城市水泥企业超低排放改造。</w:t>
                  </w:r>
                </w:p>
              </w:tc>
              <w:tc>
                <w:tcPr>
                  <w:tcW w:w="2385"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本</w:t>
                  </w:r>
                  <w:r>
                    <w:rPr>
                      <w:rFonts w:hint="eastAsia" w:ascii="Times New Roman"/>
                      <w:color w:val="000000"/>
                      <w:szCs w:val="21"/>
                    </w:rPr>
                    <w:t>项目不涉及。</w:t>
                  </w:r>
                </w:p>
              </w:tc>
              <w:tc>
                <w:tcPr>
                  <w:tcW w:w="953"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7</w:t>
                  </w:r>
                </w:p>
              </w:tc>
              <w:tc>
                <w:tcPr>
                  <w:tcW w:w="3435" w:type="dxa"/>
                  <w:vAlign w:val="center"/>
                </w:tcPr>
                <w:p>
                  <w:pPr>
                    <w:pStyle w:val="65"/>
                    <w:autoSpaceDE w:val="0"/>
                    <w:autoSpaceDN w:val="0"/>
                    <w:spacing w:beforeLines="0" w:afterLines="0" w:line="260" w:lineRule="auto"/>
                    <w:ind w:left="0" w:leftChars="0" w:firstLine="0" w:firstLineChars="0"/>
                    <w:jc w:val="left"/>
                    <w:rPr>
                      <w:rFonts w:ascii="Times New Roman"/>
                      <w:color w:val="000000"/>
                      <w:szCs w:val="21"/>
                    </w:rPr>
                  </w:pPr>
                  <w:r>
                    <w:rPr>
                      <w:rFonts w:ascii="Times New Roman"/>
                      <w:color w:val="000000"/>
                      <w:szCs w:val="21"/>
                    </w:rPr>
                    <w:t>开展涉VOCs重点行业全流程整治。持续开展 VOCs治理突出问题排查,清理整顿简易低效、不合规定治理设施，强化无组织和非正常工况废气排放管控。规范开展泄漏检测与修复。推动各市州分别新建1-3个涉 VOC</w:t>
                  </w:r>
                  <w:r>
                    <w:rPr>
                      <w:rFonts w:ascii="Times New Roman" w:eastAsia="仿宋"/>
                      <w:color w:val="000000"/>
                      <w:szCs w:val="21"/>
                    </w:rPr>
                    <w:t>s</w:t>
                  </w:r>
                  <w:r>
                    <w:rPr>
                      <w:rFonts w:hint="eastAsia" w:hAnsi="宋体" w:cs="宋体"/>
                      <w:color w:val="000000"/>
                      <w:szCs w:val="21"/>
                    </w:rPr>
                    <w:t>“绿岛”项目</w:t>
                  </w:r>
                  <w:r>
                    <w:rPr>
                      <w:rFonts w:ascii="Times New Roman"/>
                      <w:color w:val="000000"/>
                      <w:szCs w:val="21"/>
                    </w:rPr>
                    <w:t>。</w:t>
                  </w:r>
                </w:p>
              </w:tc>
              <w:tc>
                <w:tcPr>
                  <w:tcW w:w="2385" w:type="dxa"/>
                  <w:vAlign w:val="center"/>
                </w:tcPr>
                <w:p>
                  <w:pPr>
                    <w:pStyle w:val="65"/>
                    <w:autoSpaceDE w:val="0"/>
                    <w:autoSpaceDN w:val="0"/>
                    <w:spacing w:beforeLines="0" w:afterLines="0" w:line="260" w:lineRule="auto"/>
                    <w:ind w:left="0" w:leftChars="0" w:firstLine="0" w:firstLineChars="0"/>
                    <w:jc w:val="left"/>
                    <w:rPr>
                      <w:rFonts w:ascii="Times New Roman"/>
                      <w:color w:val="000000"/>
                      <w:szCs w:val="21"/>
                    </w:rPr>
                  </w:pPr>
                  <w:r>
                    <w:rPr>
                      <w:rFonts w:ascii="Times New Roman"/>
                      <w:color w:val="000000"/>
                      <w:szCs w:val="21"/>
                    </w:rPr>
                    <w:t>项目有机废气均设置了处理设施处理排放</w:t>
                  </w:r>
                  <w:r>
                    <w:rPr>
                      <w:rFonts w:hint="eastAsia" w:ascii="Times New Roman"/>
                      <w:color w:val="000000"/>
                      <w:szCs w:val="21"/>
                    </w:rPr>
                    <w:t>，减少无组织排放，要求企业加强管理，减少非正常工况的产生</w:t>
                  </w:r>
                </w:p>
              </w:tc>
              <w:tc>
                <w:tcPr>
                  <w:tcW w:w="953"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hint="eastAsia" w:ascii="Times New Roman"/>
                      <w:color w:val="000000"/>
                      <w:szCs w:val="21"/>
                    </w:rPr>
                    <w:t>符合</w:t>
                  </w:r>
                </w:p>
              </w:tc>
            </w:tr>
          </w:tbl>
          <w:p>
            <w:pPr>
              <w:pStyle w:val="169"/>
              <w:ind w:firstLine="480"/>
              <w:rPr>
                <w:rFonts w:hint="eastAsia"/>
                <w:color w:val="000000"/>
              </w:rPr>
            </w:pPr>
            <w:r>
              <w:rPr>
                <w:rFonts w:hint="eastAsia"/>
                <w:color w:val="000000"/>
              </w:rPr>
              <w:t>综上所述，本项目符合《湖南省大气污染防治“守护蓝天”攻坚行动计划（</w:t>
            </w:r>
            <w:r>
              <w:rPr>
                <w:color w:val="000000"/>
              </w:rPr>
              <w:t>2023</w:t>
            </w:r>
            <w:r>
              <w:rPr>
                <w:rFonts w:hint="eastAsia"/>
                <w:color w:val="000000"/>
              </w:rPr>
              <w:t>—</w:t>
            </w:r>
            <w:r>
              <w:rPr>
                <w:color w:val="000000"/>
              </w:rPr>
              <w:t>2025</w:t>
            </w:r>
            <w:r>
              <w:rPr>
                <w:rFonts w:hint="eastAsia"/>
                <w:color w:val="000000"/>
              </w:rPr>
              <w:t>年）》的通知湘政办发〔</w:t>
            </w:r>
            <w:r>
              <w:rPr>
                <w:color w:val="000000"/>
              </w:rPr>
              <w:t>2023</w:t>
            </w:r>
            <w:r>
              <w:rPr>
                <w:rFonts w:hint="eastAsia"/>
                <w:color w:val="000000"/>
              </w:rPr>
              <w:t>〕</w:t>
            </w:r>
            <w:r>
              <w:rPr>
                <w:color w:val="000000"/>
              </w:rPr>
              <w:t>34</w:t>
            </w:r>
            <w:r>
              <w:rPr>
                <w:rFonts w:hint="eastAsia"/>
                <w:color w:val="000000"/>
              </w:rPr>
              <w:t>号相关要求。</w:t>
            </w:r>
          </w:p>
          <w:p>
            <w:pPr>
              <w:pStyle w:val="169"/>
              <w:numPr>
                <w:ilvl w:val="0"/>
                <w:numId w:val="2"/>
              </w:numPr>
              <w:ind w:left="0" w:leftChars="0" w:firstLine="0" w:firstLineChars="0"/>
              <w:rPr>
                <w:rFonts w:hint="default" w:ascii="Times New Roman" w:hAnsi="Times New Roman" w:eastAsia="宋体" w:cs="Times New Roman"/>
                <w:b/>
                <w:bCs w:val="0"/>
                <w:color w:val="000000" w:themeColor="text1"/>
                <w:kern w:val="0"/>
                <w:sz w:val="24"/>
                <w:szCs w:val="20"/>
                <w:u w:val="single" w:color="auto"/>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4"/>
                <w:szCs w:val="20"/>
                <w:u w:val="single" w:color="auto"/>
                <w:lang w:val="en-US" w:eastAsia="zh-CN" w:bidi="ar-SA"/>
                <w14:textFill>
                  <w14:solidFill>
                    <w14:schemeClr w14:val="tx1"/>
                  </w14:solidFill>
                </w14:textFill>
              </w:rPr>
              <w:t>项目与《木质家具绿色生产技术规范》（DB43/T 2077-2021）等相关指标要求的符合性分析</w:t>
            </w:r>
          </w:p>
          <w:p>
            <w:pPr>
              <w:pStyle w:val="169"/>
              <w:widowControl w:val="0"/>
              <w:numPr>
                <w:ilvl w:val="0"/>
                <w:numId w:val="0"/>
              </w:numPr>
              <w:spacing w:line="360" w:lineRule="auto"/>
              <w:jc w:val="both"/>
              <w:rPr>
                <w:rFonts w:hint="eastAsia" w:ascii="Times New Roman" w:hAnsi="Times New Roman" w:eastAsia="宋体" w:cs="Times New Roman"/>
                <w:bCs/>
                <w:color w:val="000000" w:themeColor="text1"/>
                <w:kern w:val="0"/>
                <w:sz w:val="24"/>
                <w:szCs w:val="20"/>
                <w:u w:val="single" w:color="auto"/>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0"/>
                <w:u w:val="single" w:color="auto"/>
                <w:lang w:val="en-US" w:eastAsia="zh-CN" w:bidi="ar-SA"/>
                <w14:textFill>
                  <w14:solidFill>
                    <w14:schemeClr w14:val="tx1"/>
                  </w14:solidFill>
                </w14:textFill>
              </w:rPr>
              <w:t xml:space="preserve">   </w:t>
            </w:r>
            <w:r>
              <w:rPr>
                <w:rFonts w:hint="default" w:ascii="Times New Roman" w:hAnsi="Times New Roman" w:eastAsia="宋体" w:cs="Times New Roman"/>
                <w:bCs/>
                <w:color w:val="000000" w:themeColor="text1"/>
                <w:kern w:val="0"/>
                <w:sz w:val="24"/>
                <w:szCs w:val="20"/>
                <w:u w:val="single" w:color="auto"/>
                <w:lang w:val="en-US" w:eastAsia="zh-CN" w:bidi="ar-SA"/>
                <w14:textFill>
                  <w14:solidFill>
                    <w14:schemeClr w14:val="tx1"/>
                  </w14:solidFill>
                </w14:textFill>
              </w:rPr>
              <w:t>（DB43/T 2077-2021）</w:t>
            </w:r>
            <w:r>
              <w:rPr>
                <w:rFonts w:hint="eastAsia" w:ascii="Times New Roman" w:hAnsi="Times New Roman" w:eastAsia="宋体" w:cs="Times New Roman"/>
                <w:bCs/>
                <w:color w:val="000000" w:themeColor="text1"/>
                <w:kern w:val="0"/>
                <w:sz w:val="24"/>
                <w:szCs w:val="20"/>
                <w:u w:val="single" w:color="auto"/>
                <w:lang w:val="en-US" w:eastAsia="zh-CN" w:bidi="ar-SA"/>
                <w14:textFill>
                  <w14:solidFill>
                    <w14:schemeClr w14:val="tx1"/>
                  </w14:solidFill>
                </w14:textFill>
              </w:rPr>
              <w:t xml:space="preserve"> 规范中要求不应使用国家及地方明令淘汰的设备和工艺；主要生产设备75%以上为国际先进水平；有计划并持续改进；中央除尘系统运行有效；能源要求≥80%的采用清洁能源；</w:t>
            </w:r>
          </w:p>
          <w:p>
            <w:pPr>
              <w:pStyle w:val="169"/>
              <w:widowControl w:val="0"/>
              <w:numPr>
                <w:ilvl w:val="0"/>
                <w:numId w:val="0"/>
              </w:numPr>
              <w:spacing w:line="360" w:lineRule="auto"/>
              <w:ind w:firstLine="480" w:firstLineChars="200"/>
              <w:jc w:val="both"/>
              <w:rPr>
                <w:rFonts w:hint="default" w:ascii="Times New Roman" w:hAnsi="Times New Roman" w:eastAsia="宋体" w:cs="Times New Roman"/>
                <w:bCs/>
                <w:color w:val="000000" w:themeColor="text1"/>
                <w:kern w:val="0"/>
                <w:sz w:val="24"/>
                <w:szCs w:val="20"/>
                <w:u w:val="single" w:color="auto"/>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0"/>
                <w:u w:val="single" w:color="auto"/>
                <w:lang w:val="en-US" w:eastAsia="zh-CN" w:bidi="ar-SA"/>
                <w14:textFill>
                  <w14:solidFill>
                    <w14:schemeClr w14:val="tx1"/>
                  </w14:solidFill>
                </w14:textFill>
              </w:rPr>
              <w:t>本项目使用的设备不属于《工业和信息化部高耗能落后机电设备（产品）淘汰目录》《部分工业行业淘汰落后生产工艺装备和产品指导目录》中淘汰及明令禁止使用的设备及工艺，所使用的设备大部分为自动化设备，喷漆房为全新密闭喷漆房，喷漆废气采用“旋转式分子筛吸附+脱附-RCO催化燃烧”先进的</w:t>
            </w:r>
            <w:r>
              <w:rPr>
                <w:rFonts w:hint="eastAsia" w:cs="Times New Roman"/>
                <w:bCs/>
                <w:color w:val="000000" w:themeColor="text1"/>
                <w:kern w:val="0"/>
                <w:sz w:val="24"/>
                <w:szCs w:val="20"/>
                <w:u w:val="single" w:color="auto"/>
                <w:lang w:val="en-US" w:eastAsia="zh-CN" w:bidi="ar-SA"/>
                <w14:textFill>
                  <w14:solidFill>
                    <w14:schemeClr w14:val="tx1"/>
                  </w14:solidFill>
                </w14:textFill>
              </w:rPr>
              <w:t>废气</w:t>
            </w:r>
            <w:r>
              <w:rPr>
                <w:rFonts w:hint="eastAsia" w:ascii="Times New Roman" w:hAnsi="Times New Roman" w:eastAsia="宋体" w:cs="Times New Roman"/>
                <w:bCs/>
                <w:color w:val="000000" w:themeColor="text1"/>
                <w:kern w:val="0"/>
                <w:sz w:val="24"/>
                <w:szCs w:val="20"/>
                <w:u w:val="single" w:color="auto"/>
                <w:lang w:val="en-US" w:eastAsia="zh-CN" w:bidi="ar-SA"/>
                <w14:textFill>
                  <w14:solidFill>
                    <w14:schemeClr w14:val="tx1"/>
                  </w14:solidFill>
                </w14:textFill>
              </w:rPr>
              <w:t>处理措施，均为国际先进水平，除尘措施采用袋式除尘的高效除尘措施，项目工业设备全部采用电能，食堂做饭采用天然气为清洁能源。</w:t>
            </w:r>
          </w:p>
          <w:p>
            <w:pPr>
              <w:pStyle w:val="169"/>
              <w:widowControl w:val="0"/>
              <w:numPr>
                <w:ilvl w:val="0"/>
                <w:numId w:val="0"/>
              </w:numPr>
              <w:spacing w:line="360" w:lineRule="auto"/>
              <w:ind w:firstLine="480" w:firstLineChars="200"/>
              <w:jc w:val="both"/>
              <w:rPr>
                <w:rFonts w:hint="default" w:ascii="Times New Roman" w:hAnsi="Times New Roman" w:eastAsia="宋体" w:cs="Times New Roman"/>
                <w:bCs/>
                <w:color w:val="000000" w:themeColor="text1"/>
                <w:kern w:val="0"/>
                <w:sz w:val="24"/>
                <w:szCs w:val="20"/>
                <w:u w:val="single" w:color="auto"/>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0"/>
                <w:u w:val="single" w:color="auto"/>
                <w:lang w:val="en-US" w:eastAsia="zh-CN" w:bidi="ar-SA"/>
                <w14:textFill>
                  <w14:solidFill>
                    <w14:schemeClr w14:val="tx1"/>
                  </w14:solidFill>
                </w14:textFill>
              </w:rPr>
              <w:t>因本规范为推荐性规范，相关执行标准采用国家或地方的排放标准，因此综上所述，本项目基本符合</w:t>
            </w:r>
            <w:r>
              <w:rPr>
                <w:rFonts w:hint="default" w:ascii="Times New Roman" w:hAnsi="Times New Roman" w:eastAsia="宋体" w:cs="Times New Roman"/>
                <w:bCs/>
                <w:color w:val="000000" w:themeColor="text1"/>
                <w:kern w:val="0"/>
                <w:sz w:val="24"/>
                <w:szCs w:val="20"/>
                <w:u w:val="single" w:color="auto"/>
                <w:lang w:val="en-US" w:eastAsia="zh-CN" w:bidi="ar-SA"/>
                <w14:textFill>
                  <w14:solidFill>
                    <w14:schemeClr w14:val="tx1"/>
                  </w14:solidFill>
                </w14:textFill>
              </w:rPr>
              <w:t>《木质家具绿色生产技术规范》（DB43/T 2077-2021）等相关指标要求</w:t>
            </w:r>
          </w:p>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Times New Roman" w:hAnsi="Times New Roman" w:eastAsia="宋体" w:cs="Times New Roman"/>
                <w:b/>
                <w:bCs w:val="0"/>
                <w:color w:val="000000" w:themeColor="text1"/>
                <w:sz w:val="24"/>
                <w:u w:val="single" w:color="auto"/>
                <w14:textFill>
                  <w14:solidFill>
                    <w14:schemeClr w14:val="tx1"/>
                  </w14:solidFill>
                </w14:textFill>
              </w:rPr>
            </w:pPr>
            <w:r>
              <w:rPr>
                <w:rFonts w:hint="eastAsia" w:ascii="Times New Roman" w:hAnsi="Times New Roman" w:eastAsia="宋体" w:cs="Times New Roman"/>
                <w:b/>
                <w:bCs w:val="0"/>
                <w:color w:val="000000" w:themeColor="text1"/>
                <w:sz w:val="24"/>
                <w:u w:val="single" w:color="auto"/>
                <w:lang w:val="en-US" w:eastAsia="zh-CN"/>
                <w14:textFill>
                  <w14:solidFill>
                    <w14:schemeClr w14:val="tx1"/>
                  </w14:solidFill>
                </w14:textFill>
              </w:rPr>
              <w:t>10、与</w:t>
            </w:r>
            <w:r>
              <w:rPr>
                <w:rFonts w:hint="eastAsia" w:ascii="Times New Roman" w:hAnsi="Times New Roman" w:eastAsia="宋体" w:cs="Times New Roman"/>
                <w:b/>
                <w:bCs w:val="0"/>
                <w:color w:val="000000" w:themeColor="text1"/>
                <w:sz w:val="24"/>
                <w:u w:val="single" w:color="auto"/>
                <w:lang w:eastAsia="zh-CN"/>
                <w14:textFill>
                  <w14:solidFill>
                    <w14:schemeClr w14:val="tx1"/>
                  </w14:solidFill>
                </w14:textFill>
              </w:rPr>
              <w:t>《湖南省“两高”项目管理目录》</w:t>
            </w:r>
            <w:r>
              <w:rPr>
                <w:rFonts w:hint="default" w:ascii="Times New Roman" w:hAnsi="Times New Roman" w:eastAsia="宋体" w:cs="Times New Roman"/>
                <w:b/>
                <w:bCs w:val="0"/>
                <w:color w:val="000000" w:themeColor="text1"/>
                <w:kern w:val="0"/>
                <w:sz w:val="24"/>
                <w:u w:val="single" w:color="auto"/>
                <w14:textFill>
                  <w14:solidFill>
                    <w14:schemeClr w14:val="tx1"/>
                  </w14:solidFill>
                </w14:textFill>
              </w:rPr>
              <w:t>相符性分析</w:t>
            </w:r>
          </w:p>
          <w:p>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color w:val="000000" w:themeColor="text1"/>
                <w:sz w:val="24"/>
                <w:u w:val="single" w:color="auto"/>
                <w:lang w:val="en-US" w:eastAsia="zh-CN"/>
                <w14:textFill>
                  <w14:solidFill>
                    <w14:schemeClr w14:val="tx1"/>
                  </w14:solidFill>
                </w14:textFill>
              </w:rPr>
            </w:pPr>
            <w:r>
              <w:rPr>
                <w:rFonts w:hint="eastAsia" w:ascii="Times New Roman" w:hAnsi="Times New Roman" w:eastAsia="宋体" w:cs="Times New Roman"/>
                <w:bCs/>
                <w:color w:val="000000" w:themeColor="text1"/>
                <w:sz w:val="24"/>
                <w:u w:val="single" w:color="auto"/>
                <w:lang w:val="en-US" w:eastAsia="zh-CN"/>
                <w14:textFill>
                  <w14:solidFill>
                    <w14:schemeClr w14:val="tx1"/>
                  </w14:solidFill>
                </w14:textFill>
              </w:rPr>
              <w:t>本项目主要进行木门制造，属于《国民经济行业分类》(GB/T4754-2017)中的“C2032 木门窗制造”，经对照查询，本项目不</w:t>
            </w:r>
            <w:r>
              <w:rPr>
                <w:rFonts w:hint="eastAsia" w:cs="Times New Roman"/>
                <w:bCs/>
                <w:color w:val="000000" w:themeColor="text1"/>
                <w:sz w:val="24"/>
                <w:u w:val="single" w:color="auto"/>
                <w:lang w:val="en-US" w:eastAsia="zh-CN"/>
                <w14:textFill>
                  <w14:solidFill>
                    <w14:schemeClr w14:val="tx1"/>
                  </w14:solidFill>
                </w14:textFill>
              </w:rPr>
              <w:t>属于</w:t>
            </w:r>
            <w:r>
              <w:rPr>
                <w:rFonts w:hint="eastAsia" w:ascii="Times New Roman" w:hAnsi="Times New Roman" w:eastAsia="宋体" w:cs="Times New Roman"/>
                <w:bCs/>
                <w:color w:val="000000" w:themeColor="text1"/>
                <w:sz w:val="24"/>
                <w:u w:val="single" w:color="auto"/>
                <w:lang w:val="en-US" w:eastAsia="zh-CN"/>
                <w14:textFill>
                  <w14:solidFill>
                    <w14:schemeClr w14:val="tx1"/>
                  </w14:solidFill>
                </w14:textFill>
              </w:rPr>
              <w:t>涉煤及煤制品、石油焦、渣油、重油等高污染燃料项目</w:t>
            </w:r>
            <w:r>
              <w:rPr>
                <w:rFonts w:hint="eastAsia" w:ascii="Times New Roman" w:hAnsi="Times New Roman" w:cs="Times New Roman"/>
                <w:bCs/>
                <w:color w:val="000000" w:themeColor="text1"/>
                <w:sz w:val="24"/>
                <w:u w:val="single" w:color="auto"/>
                <w:lang w:val="en-US" w:eastAsia="zh-CN"/>
                <w14:textFill>
                  <w14:solidFill>
                    <w14:schemeClr w14:val="tx1"/>
                  </w14:solidFill>
                </w14:textFill>
              </w:rPr>
              <w:t>，不属于</w:t>
            </w:r>
            <w:r>
              <w:rPr>
                <w:rFonts w:hint="eastAsia" w:ascii="Times New Roman" w:hAnsi="Times New Roman" w:eastAsia="宋体" w:cs="Times New Roman"/>
                <w:bCs/>
                <w:color w:val="000000" w:themeColor="text1"/>
                <w:sz w:val="24"/>
                <w:u w:val="single" w:color="auto"/>
                <w:lang w:val="en-US" w:eastAsia="zh-CN"/>
                <w14:textFill>
                  <w14:solidFill>
                    <w14:schemeClr w14:val="tx1"/>
                  </w14:solidFill>
                </w14:textFill>
              </w:rPr>
              <w:t>《湖</w:t>
            </w:r>
            <w:r>
              <w:rPr>
                <w:rFonts w:hint="eastAsia" w:ascii="Times New Roman" w:hAnsi="Times New Roman" w:eastAsia="宋体" w:cs="Times New Roman"/>
                <w:b w:val="0"/>
                <w:bCs/>
                <w:color w:val="000000" w:themeColor="text1"/>
                <w:sz w:val="24"/>
                <w:u w:val="single" w:color="auto"/>
                <w:lang w:eastAsia="zh-CN"/>
                <w14:textFill>
                  <w14:solidFill>
                    <w14:schemeClr w14:val="tx1"/>
                  </w14:solidFill>
                </w14:textFill>
              </w:rPr>
              <w:t>南省“两高”项目管理目录》</w:t>
            </w:r>
            <w:r>
              <w:rPr>
                <w:rFonts w:hint="eastAsia" w:ascii="Times New Roman" w:hAnsi="Times New Roman" w:eastAsia="宋体" w:cs="Times New Roman"/>
                <w:b w:val="0"/>
                <w:bCs/>
                <w:color w:val="000000" w:themeColor="text1"/>
                <w:sz w:val="24"/>
                <w:u w:val="single" w:color="auto"/>
                <w:lang w:val="en-US" w:eastAsia="zh-CN"/>
                <w14:textFill>
                  <w14:solidFill>
                    <w14:schemeClr w14:val="tx1"/>
                  </w14:solidFill>
                </w14:textFill>
              </w:rPr>
              <w:t>中的“两高”项目。</w:t>
            </w:r>
          </w:p>
          <w:p>
            <w:pPr>
              <w:spacing w:line="360" w:lineRule="auto"/>
              <w:rPr>
                <w:b/>
                <w:sz w:val="24"/>
              </w:rPr>
            </w:pPr>
            <w:r>
              <w:rPr>
                <w:rFonts w:hint="eastAsia"/>
                <w:b/>
                <w:sz w:val="24"/>
                <w:lang w:val="en-US" w:eastAsia="zh-CN"/>
              </w:rPr>
              <w:t>11</w:t>
            </w:r>
            <w:r>
              <w:rPr>
                <w:rFonts w:hint="eastAsia"/>
                <w:b/>
                <w:sz w:val="24"/>
              </w:rPr>
              <w:t>、与《重点行业挥发性有机物综合治理方案》（环大气〔</w:t>
            </w:r>
            <w:r>
              <w:rPr>
                <w:b/>
                <w:sz w:val="24"/>
              </w:rPr>
              <w:t>2019</w:t>
            </w:r>
            <w:r>
              <w:rPr>
                <w:rFonts w:hint="eastAsia"/>
                <w:b/>
                <w:sz w:val="24"/>
              </w:rPr>
              <w:t>〕</w:t>
            </w:r>
            <w:r>
              <w:rPr>
                <w:b/>
                <w:sz w:val="24"/>
              </w:rPr>
              <w:t>53</w:t>
            </w:r>
            <w:r>
              <w:rPr>
                <w:rFonts w:hint="eastAsia"/>
                <w:b/>
                <w:sz w:val="24"/>
              </w:rPr>
              <w:t>号）相符性分析</w:t>
            </w:r>
          </w:p>
          <w:p>
            <w:pPr>
              <w:autoSpaceDE w:val="0"/>
              <w:autoSpaceDN w:val="0"/>
              <w:adjustRightInd w:val="0"/>
              <w:snapToGrid w:val="0"/>
              <w:jc w:val="center"/>
              <w:rPr>
                <w:b/>
                <w:bCs/>
                <w:kern w:val="0"/>
                <w:szCs w:val="21"/>
              </w:rPr>
            </w:pPr>
            <w:r>
              <w:rPr>
                <w:rFonts w:hint="eastAsia"/>
                <w:b/>
                <w:bCs/>
                <w:kern w:val="0"/>
                <w:szCs w:val="21"/>
              </w:rPr>
              <w:t>表1-10   与（环大气〔2019〕53号）相符性分析表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4260"/>
              <w:gridCol w:w="2472"/>
              <w:gridCol w:w="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65"/>
                    <w:autoSpaceDE w:val="0"/>
                    <w:autoSpaceDN w:val="0"/>
                    <w:adjustRightInd/>
                    <w:snapToGrid/>
                    <w:spacing w:beforeLines="0" w:afterLines="0" w:line="260" w:lineRule="auto"/>
                    <w:ind w:left="0" w:leftChars="0" w:firstLine="0" w:firstLineChars="0"/>
                    <w:rPr>
                      <w:rFonts w:ascii="Times New Roman"/>
                      <w:color w:val="000000"/>
                      <w:szCs w:val="21"/>
                    </w:rPr>
                  </w:pPr>
                  <w:r>
                    <w:rPr>
                      <w:rFonts w:ascii="Times New Roman"/>
                      <w:color w:val="000000"/>
                      <w:szCs w:val="21"/>
                    </w:rPr>
                    <w:t>序号</w:t>
                  </w:r>
                </w:p>
              </w:tc>
              <w:tc>
                <w:tcPr>
                  <w:tcW w:w="4260" w:type="dxa"/>
                  <w:vAlign w:val="center"/>
                </w:tcPr>
                <w:p>
                  <w:pPr>
                    <w:pStyle w:val="65"/>
                    <w:autoSpaceDE w:val="0"/>
                    <w:autoSpaceDN w:val="0"/>
                    <w:adjustRightInd/>
                    <w:snapToGrid/>
                    <w:spacing w:beforeLines="0" w:afterLines="0" w:line="260" w:lineRule="auto"/>
                    <w:ind w:left="0" w:leftChars="0" w:firstLine="0" w:firstLineChars="0"/>
                    <w:rPr>
                      <w:rFonts w:ascii="Times New Roman"/>
                      <w:color w:val="000000"/>
                      <w:szCs w:val="21"/>
                    </w:rPr>
                  </w:pPr>
                  <w:r>
                    <w:rPr>
                      <w:rFonts w:ascii="Times New Roman"/>
                      <w:color w:val="000000"/>
                      <w:szCs w:val="21"/>
                    </w:rPr>
                    <w:t>方案要求</w:t>
                  </w:r>
                </w:p>
              </w:tc>
              <w:tc>
                <w:tcPr>
                  <w:tcW w:w="2472"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项目情况</w:t>
                  </w:r>
                </w:p>
              </w:tc>
              <w:tc>
                <w:tcPr>
                  <w:tcW w:w="356"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1</w:t>
                  </w:r>
                </w:p>
              </w:tc>
              <w:tc>
                <w:tcPr>
                  <w:tcW w:w="4260"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大力推进源头替代。通过使用水性、粉末、高固体分、无溶剂、辐射固化等低VOCs含量的涂料，企业应大力推广使用低VOCs含量木器涂料、车辆涂料、机械设备涂料、集装箱涂料以及建筑物和构筑物防护涂料等，鼓励加快低VOCs含量涂料、油墨、胶粘剂等研发和生产。</w:t>
                  </w:r>
                </w:p>
                <w:p>
                  <w:pPr>
                    <w:pStyle w:val="65"/>
                    <w:autoSpaceDE w:val="0"/>
                    <w:autoSpaceDN w:val="0"/>
                    <w:spacing w:beforeLines="0" w:afterLines="0" w:line="260" w:lineRule="auto"/>
                    <w:ind w:left="0" w:leftChars="0" w:firstLine="0" w:firstLineChars="0"/>
                    <w:jc w:val="both"/>
                    <w:rPr>
                      <w:rFonts w:ascii="Times New Roman"/>
                      <w:szCs w:val="21"/>
                    </w:rPr>
                  </w:pPr>
                  <w:r>
                    <w:rPr>
                      <w:rFonts w:ascii="Times New Roman"/>
                      <w:color w:val="000000"/>
                      <w:szCs w:val="21"/>
                      <w:lang w:bidi="zh-CN"/>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2472"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根据项目的工艺要求和产</w:t>
                  </w:r>
                  <w:r>
                    <w:rPr>
                      <w:rFonts w:hint="eastAsia" w:ascii="Times New Roman"/>
                      <w:color w:val="000000"/>
                      <w:szCs w:val="21"/>
                    </w:rPr>
                    <w:t>品使用环境，项目大量使用水基胶和水性油漆，少量使用满足《低挥发性有机化合物含量涂料产品技术要求》（GB/ T 38597-2020）的溶剂型涂料，</w:t>
                  </w:r>
                  <w:r>
                    <w:rPr>
                      <w:rFonts w:ascii="Times New Roman"/>
                      <w:color w:val="000000"/>
                      <w:szCs w:val="21"/>
                    </w:rPr>
                    <w:t>喷涂</w:t>
                  </w:r>
                  <w:r>
                    <w:rPr>
                      <w:rFonts w:hint="eastAsia" w:ascii="Times New Roman"/>
                      <w:color w:val="000000"/>
                      <w:szCs w:val="21"/>
                    </w:rPr>
                    <w:t>、晾干</w:t>
                  </w:r>
                  <w:r>
                    <w:rPr>
                      <w:rFonts w:ascii="Times New Roman"/>
                      <w:color w:val="000000"/>
                      <w:szCs w:val="21"/>
                    </w:rPr>
                    <w:t>工序均在密闭喷漆房、</w:t>
                  </w:r>
                  <w:r>
                    <w:rPr>
                      <w:rFonts w:hint="eastAsia" w:ascii="Times New Roman"/>
                      <w:color w:val="000000"/>
                      <w:szCs w:val="21"/>
                    </w:rPr>
                    <w:t>晾干房内</w:t>
                  </w:r>
                  <w:r>
                    <w:rPr>
                      <w:rFonts w:ascii="Times New Roman"/>
                      <w:color w:val="000000"/>
                      <w:szCs w:val="21"/>
                    </w:rPr>
                    <w:t>进行，并配备有处理设施。</w:t>
                  </w:r>
                </w:p>
              </w:tc>
              <w:tc>
                <w:tcPr>
                  <w:tcW w:w="356"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2</w:t>
                  </w:r>
                </w:p>
              </w:tc>
              <w:tc>
                <w:tcPr>
                  <w:tcW w:w="4260" w:type="dxa"/>
                  <w:vAlign w:val="center"/>
                </w:tcPr>
                <w:p>
                  <w:pPr>
                    <w:pStyle w:val="65"/>
                    <w:autoSpaceDE w:val="0"/>
                    <w:autoSpaceDN w:val="0"/>
                    <w:spacing w:beforeLines="0" w:afterLines="0" w:line="260" w:lineRule="auto"/>
                    <w:ind w:left="0" w:leftChars="0" w:firstLine="0" w:firstLineChars="0"/>
                    <w:jc w:val="both"/>
                    <w:rPr>
                      <w:rFonts w:ascii="Times New Roman"/>
                      <w:szCs w:val="21"/>
                    </w:rPr>
                  </w:pPr>
                  <w:r>
                    <w:rPr>
                      <w:rFonts w:ascii="Times New Roman"/>
                      <w:color w:val="000000"/>
                      <w:szCs w:val="21"/>
                    </w:rPr>
                    <w:t>全面加强无组织排放控制。重点对含VOCs物料(包括含VOCs原辅材料、含VOCs产品、含VOCs废料以及有机聚合物材料等)储存、转移和输送、设备与管线工件泄漏、敞开液面逸散以及工艺过程等五类排放源实施管控，通过采取设备与场所密闭、工艺改进、废气有效收集等措施，削减VOCs无组织排放。</w:t>
                  </w:r>
                </w:p>
              </w:tc>
              <w:tc>
                <w:tcPr>
                  <w:tcW w:w="2472"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项目含VOCs物料</w:t>
                  </w:r>
                  <w:r>
                    <w:rPr>
                      <w:rFonts w:hint="eastAsia" w:ascii="Times New Roman"/>
                      <w:color w:val="000000"/>
                      <w:szCs w:val="21"/>
                    </w:rPr>
                    <w:t>产生有机废气的地方均设有废气收集装置和废气处理装置。</w:t>
                  </w:r>
                </w:p>
              </w:tc>
              <w:tc>
                <w:tcPr>
                  <w:tcW w:w="356"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3</w:t>
                  </w:r>
                </w:p>
              </w:tc>
              <w:tc>
                <w:tcPr>
                  <w:tcW w:w="4260"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推进使用先进生产工艺。通过采用全密闭、连续化、自动化等生产技术，以及高效工艺与设备等，减少工艺过程无组织排放。工业涂装行业重点推进使用紧凑式涂装工艺，推广采用辊涂、静电喷涂、高压无气喷涂、空气辅助无气喷涂、热喷涂等涂装技术，鼓励企业采用自动化、智能化喷涂设备替代人工喷涂，减少使用空气喷涂技术。</w:t>
                  </w:r>
                </w:p>
              </w:tc>
              <w:tc>
                <w:tcPr>
                  <w:tcW w:w="2472"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本项</w:t>
                  </w:r>
                  <w:r>
                    <w:rPr>
                      <w:rFonts w:hint="eastAsia" w:ascii="Times New Roman"/>
                      <w:color w:val="000000"/>
                      <w:szCs w:val="21"/>
                    </w:rPr>
                    <w:t>涂胶采用自动刷胶、喷漆和晾干采用全密闭喷漆房、晾干房</w:t>
                  </w:r>
                  <w:r>
                    <w:rPr>
                      <w:rFonts w:ascii="Times New Roman"/>
                      <w:color w:val="000000"/>
                      <w:szCs w:val="21"/>
                    </w:rPr>
                    <w:t>。</w:t>
                  </w:r>
                </w:p>
              </w:tc>
              <w:tc>
                <w:tcPr>
                  <w:tcW w:w="356"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4</w:t>
                  </w:r>
                </w:p>
              </w:tc>
              <w:tc>
                <w:tcPr>
                  <w:tcW w:w="4260"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hint="eastAsia" w:ascii="Times New Roman"/>
                      <w:color w:val="000000"/>
                      <w:szCs w:val="21"/>
                      <w:lang w:eastAsia="zh-CN"/>
                    </w:rPr>
                    <w:t>建设</w:t>
                  </w:r>
                  <w:r>
                    <w:rPr>
                      <w:rFonts w:ascii="Times New Roman"/>
                      <w:color w:val="000000"/>
                      <w:szCs w:val="21"/>
                    </w:rPr>
                    <w:t>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2472" w:type="dxa"/>
                  <w:vAlign w:val="center"/>
                </w:tcPr>
                <w:p>
                  <w:pPr>
                    <w:rPr>
                      <w:szCs w:val="21"/>
                    </w:rPr>
                  </w:pPr>
                  <w:r>
                    <w:rPr>
                      <w:color w:val="000000"/>
                      <w:szCs w:val="21"/>
                    </w:rPr>
                    <w:t>项目喷漆</w:t>
                  </w:r>
                  <w:r>
                    <w:rPr>
                      <w:rFonts w:hint="eastAsia"/>
                      <w:color w:val="000000"/>
                      <w:szCs w:val="21"/>
                    </w:rPr>
                    <w:t>废气、晾干废气属于大风量、低浓度废气，因此采用旋转式分子筛吸附+脱附+催化燃烧技术；</w:t>
                  </w:r>
                </w:p>
              </w:tc>
              <w:tc>
                <w:tcPr>
                  <w:tcW w:w="356"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r>
                    <w:rPr>
                      <w:rFonts w:ascii="Times New Roman"/>
                      <w:color w:val="000000"/>
                      <w:szCs w:val="21"/>
                    </w:rPr>
                    <w:t>5</w:t>
                  </w:r>
                </w:p>
              </w:tc>
              <w:tc>
                <w:tcPr>
                  <w:tcW w:w="4260"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深入实施精细化管控。各地应围绕当地环境空气质量改善需求，根据O</w:t>
                  </w:r>
                  <w:r>
                    <w:rPr>
                      <w:rFonts w:ascii="Times New Roman"/>
                      <w:color w:val="000000"/>
                      <w:szCs w:val="21"/>
                      <w:vertAlign w:val="subscript"/>
                    </w:rPr>
                    <w:t>3</w:t>
                  </w:r>
                  <w:r>
                    <w:rPr>
                      <w:rFonts w:ascii="Times New Roman"/>
                      <w:color w:val="000000"/>
                      <w:szCs w:val="21"/>
                    </w:rPr>
                    <w:t>、PM2.5来源解析，结合行业污染排放特征和VOCs物质光化学反应活性等，确定本地区VOCs控制的重点行业和重点污染物，兼顾恶臭污染物和有毒有害物质控制等，提出有效管控方案，提高VOCs治理的精准性、针对性和有效性。全国重点控制的VOCs物质见附件2。</w:t>
                  </w:r>
                </w:p>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推行“一厂一策”制度。各地应加强对企业帮扶指导，对本地污染物排放量较大的企业，组织专家提供专业化技术支持，严格把关，指导企业编制切实可行的污染治理方案，明确原辅材料替代、工艺改进、无组织排放管控、废气收集、治污设施建设等全过程减排要求，测算投资成本和减排效益，为企业有效开展VOCs综合治理提供技术服务。重点区域应组织本地VOCs排放量较大的企业开展“一厂一策”方案编制工作，2020年6月底前基本完成；适时开展治理效果后评估工作，各地出台的补贴政策要与减排效果紧密挂钩。鼓励地方对重点行业推行强制性清洁生产审核。</w:t>
                  </w:r>
                </w:p>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加强企业运行管理。企业应系统梳理VOCs排放主要环节和工序，包括启停机、检维修作业等，制定具体操作规程，落实到具体责任人。健全内部考核制度。加强人员能力培训和技术交流。建立管理台账，记录企业生产和治污设施运行的关键参数（见附件3），在线监控参数要确保能够实时调取，相关台账记录至少保存三年。</w:t>
                  </w:r>
                </w:p>
              </w:tc>
              <w:tc>
                <w:tcPr>
                  <w:tcW w:w="2472" w:type="dxa"/>
                  <w:vAlign w:val="center"/>
                </w:tcPr>
                <w:p>
                  <w:pPr>
                    <w:pStyle w:val="65"/>
                    <w:autoSpaceDE w:val="0"/>
                    <w:autoSpaceDN w:val="0"/>
                    <w:spacing w:beforeLines="0" w:afterLines="0" w:line="260" w:lineRule="auto"/>
                    <w:ind w:left="0" w:leftChars="0" w:firstLine="0" w:firstLineChars="0"/>
                    <w:jc w:val="both"/>
                    <w:rPr>
                      <w:rFonts w:ascii="Times New Roman"/>
                      <w:color w:val="000000"/>
                      <w:szCs w:val="21"/>
                    </w:rPr>
                  </w:pPr>
                  <w:r>
                    <w:rPr>
                      <w:rFonts w:ascii="Times New Roman"/>
                      <w:color w:val="000000"/>
                      <w:szCs w:val="21"/>
                    </w:rPr>
                    <w:t>本项目投产后，企业将加强运行管理，对VOCs排放主要环节和工序，包括启停机、检维修作业等，制定具体操作规程，落实到具体责任人；健全内部考核制度。加强人员能力培训和技术交流；建立管理台账，记录企业生产和治污设施运行的关键参数。</w:t>
                  </w:r>
                </w:p>
              </w:tc>
              <w:tc>
                <w:tcPr>
                  <w:tcW w:w="356" w:type="dxa"/>
                  <w:vAlign w:val="center"/>
                </w:tcPr>
                <w:p>
                  <w:pPr>
                    <w:pStyle w:val="65"/>
                    <w:autoSpaceDE w:val="0"/>
                    <w:autoSpaceDN w:val="0"/>
                    <w:spacing w:beforeLines="0" w:afterLines="0" w:line="260" w:lineRule="auto"/>
                    <w:ind w:left="0" w:leftChars="0" w:firstLine="0" w:firstLineChars="0"/>
                    <w:rPr>
                      <w:rFonts w:ascii="Times New Roman"/>
                      <w:color w:val="000000"/>
                      <w:szCs w:val="21"/>
                    </w:rPr>
                  </w:pPr>
                </w:p>
              </w:tc>
            </w:tr>
          </w:tbl>
          <w:p>
            <w:pPr>
              <w:widowControl/>
              <w:autoSpaceDE w:val="0"/>
              <w:autoSpaceDN w:val="0"/>
              <w:spacing w:line="360" w:lineRule="auto"/>
              <w:ind w:firstLine="436" w:firstLineChars="200"/>
              <w:jc w:val="left"/>
              <w:rPr>
                <w:color w:val="000000"/>
                <w:spacing w:val="-11"/>
                <w:sz w:val="24"/>
                <w:szCs w:val="22"/>
                <w:lang w:bidi="zh-CN"/>
              </w:rPr>
            </w:pPr>
            <w:r>
              <w:rPr>
                <w:rFonts w:hint="eastAsia"/>
                <w:color w:val="000000"/>
                <w:spacing w:val="-11"/>
                <w:sz w:val="24"/>
                <w:szCs w:val="22"/>
                <w:lang w:bidi="zh-CN"/>
              </w:rPr>
              <w:t>由上表可知，本项目建设与《重点行业挥发性有机物综合治理方案》（环大气〔</w:t>
            </w:r>
            <w:r>
              <w:rPr>
                <w:color w:val="000000"/>
                <w:spacing w:val="-11"/>
                <w:sz w:val="24"/>
                <w:szCs w:val="22"/>
                <w:lang w:bidi="zh-CN"/>
              </w:rPr>
              <w:t>2019</w:t>
            </w:r>
            <w:r>
              <w:rPr>
                <w:rFonts w:hint="eastAsia"/>
                <w:color w:val="000000"/>
                <w:spacing w:val="-11"/>
                <w:sz w:val="24"/>
                <w:szCs w:val="22"/>
                <w:lang w:bidi="zh-CN"/>
              </w:rPr>
              <w:t>〕</w:t>
            </w:r>
            <w:r>
              <w:rPr>
                <w:color w:val="000000"/>
                <w:spacing w:val="-11"/>
                <w:sz w:val="24"/>
                <w:szCs w:val="22"/>
                <w:lang w:bidi="zh-CN"/>
              </w:rPr>
              <w:t>53</w:t>
            </w:r>
            <w:r>
              <w:rPr>
                <w:rFonts w:hint="eastAsia"/>
                <w:color w:val="000000"/>
                <w:spacing w:val="-11"/>
                <w:sz w:val="24"/>
                <w:szCs w:val="22"/>
                <w:lang w:bidi="zh-CN"/>
              </w:rPr>
              <w:t>号）要求相符。</w:t>
            </w:r>
          </w:p>
          <w:p>
            <w:pPr>
              <w:pStyle w:val="12"/>
              <w:snapToGrid/>
              <w:spacing w:before="0" w:after="0" w:line="360" w:lineRule="auto"/>
              <w:ind w:right="0" w:firstLine="420" w:firstLineChars="200"/>
              <w:jc w:val="left"/>
              <w:rPr>
                <w:color w:val="0000FF"/>
                <w:sz w:val="21"/>
                <w:szCs w:val="21"/>
              </w:rPr>
            </w:pPr>
          </w:p>
        </w:tc>
      </w:tr>
    </w:tbl>
    <w:p>
      <w:pPr>
        <w:rPr>
          <w:rFonts w:eastAsia="黑体"/>
          <w:szCs w:val="21"/>
        </w:rPr>
      </w:pPr>
    </w:p>
    <w:p>
      <w:pPr>
        <w:rPr>
          <w:rFonts w:eastAsia="黑体"/>
          <w:szCs w:val="21"/>
        </w:rPr>
        <w:sectPr>
          <w:footerReference r:id="rId4" w:type="default"/>
          <w:pgSz w:w="11906" w:h="16838"/>
          <w:pgMar w:top="1701" w:right="1531" w:bottom="1701" w:left="1531" w:header="851" w:footer="1077" w:gutter="0"/>
          <w:pgNumType w:start="1"/>
          <w:cols w:space="720" w:num="1"/>
          <w:docGrid w:linePitch="312" w:charSpace="0"/>
        </w:sectPr>
      </w:pPr>
    </w:p>
    <w:p>
      <w:pPr>
        <w:pStyle w:val="28"/>
        <w:spacing w:before="120" w:beforeLines="50" w:beforeAutospacing="0" w:after="120" w:afterLines="50" w:afterAutospacing="0"/>
        <w:jc w:val="center"/>
        <w:outlineLvl w:val="0"/>
        <w:rPr>
          <w:rFonts w:ascii="Times New Roman" w:hAnsi="Times New Roman" w:eastAsia="黑体"/>
          <w:snapToGrid w:val="0"/>
          <w:sz w:val="30"/>
          <w:szCs w:val="30"/>
        </w:rPr>
      </w:pPr>
      <w:bookmarkStart w:id="4" w:name="_Toc24733"/>
      <w:r>
        <w:rPr>
          <w:rFonts w:ascii="Times New Roman" w:hAnsi="Times New Roman" w:eastAsia="黑体"/>
          <w:snapToGrid w:val="0"/>
          <w:sz w:val="30"/>
          <w:szCs w:val="30"/>
        </w:rPr>
        <w:t>二、建设项目工程分析</w:t>
      </w:r>
      <w:bookmarkEnd w:id="4"/>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6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5" w:hRule="atLeast"/>
          <w:jc w:val="center"/>
        </w:trPr>
        <w:tc>
          <w:tcPr>
            <w:tcW w:w="444" w:type="dxa"/>
            <w:vAlign w:val="center"/>
          </w:tcPr>
          <w:p>
            <w:pPr>
              <w:pStyle w:val="28"/>
              <w:adjustRightInd w:val="0"/>
              <w:snapToGrid w:val="0"/>
              <w:spacing w:before="0" w:beforeAutospacing="0" w:after="0" w:afterAutospacing="0"/>
              <w:jc w:val="center"/>
              <w:rPr>
                <w:rFonts w:ascii="Times New Roman" w:hAnsi="Times New Roman"/>
                <w:color w:val="0000FF"/>
                <w:kern w:val="2"/>
                <w:szCs w:val="24"/>
              </w:rPr>
            </w:pPr>
            <w:r>
              <w:rPr>
                <w:rFonts w:ascii="Times New Roman" w:hAnsi="Times New Roman"/>
                <w:kern w:val="2"/>
                <w:szCs w:val="24"/>
              </w:rPr>
              <w:t>建设内容</w:t>
            </w:r>
          </w:p>
        </w:tc>
        <w:tc>
          <w:tcPr>
            <w:tcW w:w="8616" w:type="dxa"/>
          </w:tcPr>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1、项目由来</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深圳合雅木业有限公司</w:t>
            </w:r>
            <w:r>
              <w:rPr>
                <w:color w:val="000000" w:themeColor="text1"/>
                <w:sz w:val="24"/>
                <w14:textFill>
                  <w14:solidFill>
                    <w14:schemeClr w14:val="tx1"/>
                  </w14:solidFill>
                </w14:textFill>
              </w:rPr>
              <w:t>成立于20</w:t>
            </w: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年，是一家专业从事主要从事木材加工及木制品相关业务，</w:t>
            </w:r>
            <w:r>
              <w:rPr>
                <w:rFonts w:hint="eastAsia"/>
                <w:color w:val="000000" w:themeColor="text1"/>
                <w:sz w:val="24"/>
                <w14:textFill>
                  <w14:solidFill>
                    <w14:schemeClr w14:val="tx1"/>
                  </w14:solidFill>
                </w14:textFill>
              </w:rPr>
              <w:t>现决定在湖南岳阳市湘阴县投资建设一家子公司。湖南合雅木业有限公司成立于2025年7月，是深圳合雅木业有限公司全资子公司，现</w:t>
            </w:r>
            <w:r>
              <w:rPr>
                <w:color w:val="000000" w:themeColor="text1"/>
                <w:sz w:val="24"/>
                <w14:textFill>
                  <w14:solidFill>
                    <w14:schemeClr w14:val="tx1"/>
                  </w14:solidFill>
                </w14:textFill>
              </w:rPr>
              <w:t>依托母公司完善的品质管理体系，结合完整的产业链技术，现可为客户</w:t>
            </w:r>
            <w:r>
              <w:rPr>
                <w:rFonts w:hint="eastAsia"/>
                <w:color w:val="000000" w:themeColor="text1"/>
                <w:sz w:val="24"/>
                <w14:textFill>
                  <w14:solidFill>
                    <w14:schemeClr w14:val="tx1"/>
                  </w14:solidFill>
                </w14:textFill>
              </w:rPr>
              <w:t>提供一整套的</w:t>
            </w:r>
            <w:r>
              <w:rPr>
                <w:color w:val="000000" w:themeColor="text1"/>
                <w:sz w:val="24"/>
                <w14:textFill>
                  <w14:solidFill>
                    <w14:schemeClr w14:val="tx1"/>
                  </w14:solidFill>
                </w14:textFill>
              </w:rPr>
              <w:t>解决方案。</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根据《中华人民共和国环境保护法</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中华人民共和国环境影响评价法</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建设项目环境保护管理条例》的有关条款的规定，本项目应进行环境影响评价工作。</w:t>
            </w:r>
            <w:r>
              <w:rPr>
                <w:rFonts w:hint="eastAsia"/>
                <w:color w:val="000000" w:themeColor="text1"/>
                <w:sz w:val="24"/>
                <w14:textFill>
                  <w14:solidFill>
                    <w14:schemeClr w14:val="tx1"/>
                  </w14:solidFill>
                </w14:textFill>
              </w:rPr>
              <w:t>本项目为C2032木门窗制造，</w:t>
            </w:r>
            <w:r>
              <w:rPr>
                <w:color w:val="000000" w:themeColor="text1"/>
                <w:sz w:val="24"/>
                <w14:textFill>
                  <w14:solidFill>
                    <w14:schemeClr w14:val="tx1"/>
                  </w14:solidFill>
                </w14:textFill>
              </w:rPr>
              <w:t>对照《建设项目环境影响评价分类管理名录》（2021年版）</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本项目属于其中（</w:t>
            </w:r>
            <w:r>
              <w:rPr>
                <w:rFonts w:hint="eastAsia"/>
                <w:color w:val="000000" w:themeColor="text1"/>
                <w:sz w:val="24"/>
                <w14:textFill>
                  <w14:solidFill>
                    <w14:schemeClr w14:val="tx1"/>
                  </w14:solidFill>
                </w14:textFill>
              </w:rPr>
              <w:t>一十七</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木材加工和木、竹、藤、棕、草制品业20 木制品制造203 年用溶剂型涂料（含稀释剂）10吨以下，或年非溶剂型低VOCs含量涂料10吨及以上的</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，应编制</w:t>
            </w:r>
            <w:r>
              <w:rPr>
                <w:rFonts w:hint="eastAsia"/>
                <w:color w:val="000000" w:themeColor="text1"/>
                <w:sz w:val="24"/>
                <w14:textFill>
                  <w14:solidFill>
                    <w14:schemeClr w14:val="tx1"/>
                  </w14:solidFill>
                </w14:textFill>
              </w:rPr>
              <w:t>环境</w:t>
            </w:r>
            <w:r>
              <w:rPr>
                <w:color w:val="000000" w:themeColor="text1"/>
                <w:sz w:val="24"/>
                <w14:textFill>
                  <w14:solidFill>
                    <w14:schemeClr w14:val="tx1"/>
                  </w14:solidFill>
                </w14:textFill>
              </w:rPr>
              <w:t>影响报告表。</w:t>
            </w:r>
            <w:r>
              <w:rPr>
                <w:rFonts w:hint="eastAsia"/>
                <w:color w:val="000000" w:themeColor="text1"/>
                <w:sz w:val="24"/>
                <w14:textFill>
                  <w14:solidFill>
                    <w14:schemeClr w14:val="tx1"/>
                  </w14:solidFill>
                </w14:textFill>
              </w:rPr>
              <w:t>受湖</w:t>
            </w:r>
            <w:r>
              <w:rPr>
                <w:rFonts w:hint="eastAsia"/>
                <w:color w:val="000000" w:themeColor="text1"/>
                <w:sz w:val="24"/>
                <w:lang w:eastAsia="zh-CN"/>
                <w14:textFill>
                  <w14:solidFill>
                    <w14:schemeClr w14:val="tx1"/>
                  </w14:solidFill>
                </w14:textFill>
              </w:rPr>
              <w:t>南</w:t>
            </w:r>
            <w:r>
              <w:rPr>
                <w:rFonts w:hint="eastAsia"/>
                <w:color w:val="000000" w:themeColor="text1"/>
                <w:sz w:val="24"/>
                <w14:textFill>
                  <w14:solidFill>
                    <w14:schemeClr w14:val="tx1"/>
                  </w14:solidFill>
                </w14:textFill>
              </w:rPr>
              <w:t>合雅木业有限公司</w:t>
            </w:r>
            <w:r>
              <w:rPr>
                <w:color w:val="000000" w:themeColor="text1"/>
                <w:sz w:val="24"/>
                <w14:textFill>
                  <w14:solidFill>
                    <w14:schemeClr w14:val="tx1"/>
                  </w14:solidFill>
                </w14:textFill>
              </w:rPr>
              <w:t>委托</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湖南</w:t>
            </w:r>
            <w:r>
              <w:rPr>
                <w:rFonts w:hint="eastAsia"/>
                <w:color w:val="000000" w:themeColor="text1"/>
                <w:sz w:val="24"/>
                <w14:textFill>
                  <w14:solidFill>
                    <w14:schemeClr w14:val="tx1"/>
                  </w14:solidFill>
                </w14:textFill>
              </w:rPr>
              <w:t>星瑾怡</w:t>
            </w:r>
            <w:r>
              <w:rPr>
                <w:color w:val="000000" w:themeColor="text1"/>
                <w:sz w:val="24"/>
                <w14:textFill>
                  <w14:solidFill>
                    <w14:schemeClr w14:val="tx1"/>
                  </w14:solidFill>
                </w14:textFill>
              </w:rPr>
              <w:t>环保</w:t>
            </w:r>
            <w:r>
              <w:rPr>
                <w:rFonts w:hint="eastAsia"/>
                <w:color w:val="000000" w:themeColor="text1"/>
                <w:sz w:val="24"/>
                <w14:textFill>
                  <w14:solidFill>
                    <w14:schemeClr w14:val="tx1"/>
                  </w14:solidFill>
                </w14:textFill>
              </w:rPr>
              <w:t>科技</w:t>
            </w:r>
            <w:r>
              <w:rPr>
                <w:color w:val="000000" w:themeColor="text1"/>
                <w:sz w:val="24"/>
                <w14:textFill>
                  <w14:solidFill>
                    <w14:schemeClr w14:val="tx1"/>
                  </w14:solidFill>
                </w14:textFill>
              </w:rPr>
              <w:t>有限公司对</w:t>
            </w:r>
            <w:r>
              <w:rPr>
                <w:rFonts w:hint="eastAsia"/>
                <w:color w:val="000000" w:themeColor="text1"/>
                <w:sz w:val="24"/>
                <w14:textFill>
                  <w14:solidFill>
                    <w14:schemeClr w14:val="tx1"/>
                  </w14:solidFill>
                </w14:textFill>
              </w:rPr>
              <w:t>“合雅木业木门建设及生产配套设施项目（年产8万条门）”进</w:t>
            </w:r>
            <w:r>
              <w:rPr>
                <w:color w:val="000000" w:themeColor="text1"/>
                <w:sz w:val="24"/>
                <w14:textFill>
                  <w14:solidFill>
                    <w14:schemeClr w14:val="tx1"/>
                  </w14:solidFill>
                </w14:textFill>
              </w:rPr>
              <w:t>行环境影响评价，编制环境影响报告表，作为环保部门管理该项目的依据。本单位接受委托后，组织技术人员进行了现场踏勘、资料收集等工作。我单位严格按照《建设项目环境影响报告表编制技术指南（污染影响类）（试行）》等相关要求编制完成了</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项目的环境影响报告表</w:t>
            </w:r>
            <w:r>
              <w:rPr>
                <w:rFonts w:hint="eastAsia"/>
                <w:color w:val="000000" w:themeColor="text1"/>
                <w:sz w:val="24"/>
                <w14:textFill>
                  <w14:solidFill>
                    <w14:schemeClr w14:val="tx1"/>
                  </w14:solidFill>
                </w14:textFill>
              </w:rPr>
              <w:t>。</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拟建</w:t>
            </w:r>
            <w:r>
              <w:rPr>
                <w:b/>
                <w:bCs/>
                <w:color w:val="000000" w:themeColor="text1"/>
                <w:sz w:val="24"/>
                <w14:textFill>
                  <w14:solidFill>
                    <w14:schemeClr w14:val="tx1"/>
                  </w14:solidFill>
                </w14:textFill>
              </w:rPr>
              <w:t>项目基本情况</w:t>
            </w:r>
          </w:p>
          <w:p>
            <w:pPr>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项目名称</w:t>
            </w:r>
            <w:r>
              <w:rPr>
                <w:rFonts w:hint="eastAsia"/>
                <w:color w:val="000000" w:themeColor="text1"/>
                <w:sz w:val="24"/>
                <w14:textFill>
                  <w14:solidFill>
                    <w14:schemeClr w14:val="tx1"/>
                  </w14:solidFill>
                </w14:textFill>
              </w:rPr>
              <w:t>：合雅木业木门建设及生产配套设施项目（年产8万条门）</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w:t>
            </w:r>
            <w:r>
              <w:rPr>
                <w:rFonts w:hint="eastAsia"/>
                <w:color w:val="000000" w:themeColor="text1"/>
                <w:sz w:val="24"/>
                <w14:textFill>
                  <w14:solidFill>
                    <w14:schemeClr w14:val="tx1"/>
                  </w14:solidFill>
                </w14:textFill>
              </w:rPr>
              <w:t>湖南合雅木业有限公司</w:t>
            </w:r>
          </w:p>
          <w:p>
            <w:pPr>
              <w:spacing w:line="360" w:lineRule="auto"/>
              <w:ind w:firstLine="480" w:firstLineChars="200"/>
              <w:rPr>
                <w:sz w:val="24"/>
              </w:rPr>
            </w:pPr>
            <w:r>
              <w:rPr>
                <w:color w:val="000000" w:themeColor="text1"/>
                <w:sz w:val="24"/>
                <w14:textFill>
                  <w14:solidFill>
                    <w14:schemeClr w14:val="tx1"/>
                  </w14:solidFill>
                </w14:textFill>
              </w:rPr>
              <w:t>建设地点</w:t>
            </w:r>
            <w:r>
              <w:rPr>
                <w:rFonts w:hint="eastAsia"/>
                <w:color w:val="000000" w:themeColor="text1"/>
                <w:sz w:val="24"/>
                <w14:textFill>
                  <w14:solidFill>
                    <w14:schemeClr w14:val="tx1"/>
                  </w14:solidFill>
                </w14:textFill>
              </w:rPr>
              <w:t>：</w:t>
            </w:r>
            <w:r>
              <w:rPr>
                <w:rFonts w:hint="eastAsia"/>
                <w:sz w:val="24"/>
              </w:rPr>
              <w:t>湘阴县湘阴高新技术产业开发区洋沙湖片区芙蓉北路西侧、顺天大道南侧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r>
              <w:rPr>
                <w:rFonts w:hint="eastAsia"/>
                <w:color w:val="000000" w:themeColor="text1"/>
                <w:sz w:val="24"/>
                <w14:textFill>
                  <w14:solidFill>
                    <w14:schemeClr w14:val="tx1"/>
                  </w14:solidFill>
                </w14:textFill>
              </w:rPr>
              <w:t>新建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占地面积：</w:t>
            </w:r>
            <w:r>
              <w:rPr>
                <w:rFonts w:hint="eastAsia"/>
                <w:color w:val="000000" w:themeColor="text1"/>
                <w:spacing w:val="-6"/>
                <w:sz w:val="24"/>
                <w14:textFill>
                  <w14:solidFill>
                    <w14:schemeClr w14:val="tx1"/>
                  </w14:solidFill>
                </w14:textFill>
              </w:rPr>
              <w:t>91748.71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项目总投资：</w:t>
            </w:r>
            <w:r>
              <w:rPr>
                <w:rFonts w:hint="eastAsia"/>
                <w:color w:val="000000" w:themeColor="text1"/>
                <w:sz w:val="24"/>
                <w14:textFill>
                  <w14:solidFill>
                    <w14:schemeClr w14:val="tx1"/>
                  </w14:solidFill>
                </w14:textFill>
              </w:rPr>
              <w:t>30400</w:t>
            </w:r>
            <w:r>
              <w:rPr>
                <w:color w:val="000000" w:themeColor="text1"/>
                <w:sz w:val="24"/>
                <w14:textFill>
                  <w14:solidFill>
                    <w14:schemeClr w14:val="tx1"/>
                  </w14:solidFill>
                </w14:textFill>
              </w:rPr>
              <w:t>万元</w:t>
            </w:r>
            <w:r>
              <w:rPr>
                <w:rFonts w:hint="eastAsia"/>
                <w:color w:val="000000" w:themeColor="text1"/>
                <w:sz w:val="24"/>
                <w14:textFill>
                  <w14:solidFill>
                    <w14:schemeClr w14:val="tx1"/>
                  </w14:solidFill>
                </w14:textFill>
              </w:rPr>
              <w:t>，其中环保投资515万。</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rFonts w:hint="eastAsia"/>
                <w:b/>
                <w:bCs/>
                <w:color w:val="000000" w:themeColor="text1"/>
                <w:sz w:val="24"/>
                <w14:textFill>
                  <w14:solidFill>
                    <w14:schemeClr w14:val="tx1"/>
                  </w14:solidFill>
                </w14:textFill>
              </w:rPr>
              <w:t>拟建项目</w:t>
            </w:r>
            <w:r>
              <w:rPr>
                <w:b/>
                <w:bCs/>
                <w:color w:val="000000" w:themeColor="text1"/>
                <w:sz w:val="24"/>
                <w14:textFill>
                  <w14:solidFill>
                    <w14:schemeClr w14:val="tx1"/>
                  </w14:solidFill>
                </w14:textFill>
              </w:rPr>
              <w:t>主要建设内容及规模</w:t>
            </w:r>
          </w:p>
          <w:p>
            <w:pPr>
              <w:spacing w:line="360" w:lineRule="auto"/>
              <w:ind w:firstLine="480" w:firstLineChars="200"/>
              <w:rPr>
                <w:color w:val="0000FF"/>
                <w:sz w:val="24"/>
              </w:rPr>
            </w:pPr>
            <w:r>
              <w:rPr>
                <w:rFonts w:hint="eastAsia"/>
                <w:color w:val="000000" w:themeColor="text1"/>
                <w:sz w:val="24"/>
                <w14:textFill>
                  <w14:solidFill>
                    <w14:schemeClr w14:val="tx1"/>
                  </w14:solidFill>
                </w14:textFill>
              </w:rPr>
              <w:t>本项目于2025年7月在湘阴高新技术产业开发区管理委员会备案，备案号</w:t>
            </w:r>
            <w:r>
              <w:rPr>
                <w:rFonts w:hint="eastAsia"/>
                <w:color w:val="000000" w:themeColor="text1"/>
                <w:kern w:val="0"/>
                <w:sz w:val="24"/>
                <w14:textFill>
                  <w14:solidFill>
                    <w14:schemeClr w14:val="tx1"/>
                  </w14:solidFill>
                </w14:textFill>
              </w:rPr>
              <w:t>湘阴高新审[2025]25号（见附件3），购买土地，自建厂房、办公楼、住宿楼等，配套建设公用工程、消防工程等配套设施，详细建设情况见下表：</w:t>
            </w:r>
          </w:p>
          <w:p>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表2-1  项目主要建设内容及规模一览表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774"/>
              <w:gridCol w:w="1083"/>
              <w:gridCol w:w="4843"/>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541" w:type="pct"/>
                  <w:gridSpan w:val="3"/>
                  <w:tcBorders>
                    <w:tl2br w:val="nil"/>
                    <w:tr2bl w:val="nil"/>
                  </w:tcBorders>
                  <w:vAlign w:val="center"/>
                </w:tcPr>
                <w:p>
                  <w:pPr>
                    <w:pStyle w:val="123"/>
                  </w:pPr>
                  <w:bookmarkStart w:id="5" w:name="_Hlk6584351"/>
                  <w:r>
                    <w:rPr>
                      <w:rFonts w:hint="eastAsia"/>
                    </w:rPr>
                    <w:t>工程内容</w:t>
                  </w:r>
                </w:p>
              </w:tc>
              <w:tc>
                <w:tcPr>
                  <w:tcW w:w="2887" w:type="pct"/>
                  <w:tcBorders>
                    <w:tl2br w:val="nil"/>
                    <w:tr2bl w:val="nil"/>
                  </w:tcBorders>
                  <w:vAlign w:val="center"/>
                </w:tcPr>
                <w:p>
                  <w:pPr>
                    <w:pStyle w:val="123"/>
                  </w:pPr>
                  <w:r>
                    <w:rPr>
                      <w:rFonts w:hint="eastAsia"/>
                    </w:rPr>
                    <w:t>建设内容</w:t>
                  </w:r>
                </w:p>
              </w:tc>
              <w:tc>
                <w:tcPr>
                  <w:tcW w:w="571" w:type="pct"/>
                  <w:tcBorders>
                    <w:tl2br w:val="nil"/>
                    <w:tr2bl w:val="nil"/>
                  </w:tcBorders>
                  <w:vAlign w:val="center"/>
                </w:tcPr>
                <w:p>
                  <w:pPr>
                    <w:pStyle w:val="12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restart"/>
                  <w:tcBorders>
                    <w:tl2br w:val="nil"/>
                    <w:tr2bl w:val="nil"/>
                  </w:tcBorders>
                  <w:vAlign w:val="center"/>
                </w:tcPr>
                <w:p>
                  <w:pPr>
                    <w:pStyle w:val="123"/>
                  </w:pPr>
                  <w:r>
                    <w:rPr>
                      <w:rFonts w:hint="eastAsia"/>
                    </w:rPr>
                    <w:t>主体</w:t>
                  </w:r>
                </w:p>
                <w:p>
                  <w:pPr>
                    <w:pStyle w:val="123"/>
                  </w:pPr>
                  <w:r>
                    <w:rPr>
                      <w:rFonts w:hint="eastAsia"/>
                    </w:rPr>
                    <w:t>工程</w:t>
                  </w:r>
                </w:p>
              </w:tc>
              <w:tc>
                <w:tcPr>
                  <w:tcW w:w="1107" w:type="pct"/>
                  <w:gridSpan w:val="2"/>
                  <w:tcBorders>
                    <w:tl2br w:val="nil"/>
                    <w:tr2bl w:val="nil"/>
                  </w:tcBorders>
                  <w:vAlign w:val="center"/>
                </w:tcPr>
                <w:p>
                  <w:pPr>
                    <w:pStyle w:val="123"/>
                  </w:pPr>
                  <w:r>
                    <w:rPr>
                      <w:rFonts w:hint="eastAsia"/>
                    </w:rPr>
                    <w:t>3#栋厂房</w:t>
                  </w:r>
                </w:p>
              </w:tc>
              <w:tc>
                <w:tcPr>
                  <w:tcW w:w="2887" w:type="pct"/>
                  <w:tcBorders>
                    <w:tl2br w:val="nil"/>
                    <w:tr2bl w:val="nil"/>
                  </w:tcBorders>
                  <w:vAlign w:val="center"/>
                </w:tcPr>
                <w:p>
                  <w:pPr>
                    <w:pStyle w:val="123"/>
                  </w:pPr>
                  <w:r>
                    <w:rPr>
                      <w:rFonts w:hint="eastAsia"/>
                    </w:rPr>
                    <w:t>1F，占地面积15952.00m</w:t>
                  </w:r>
                  <w:r>
                    <w:rPr>
                      <w:rFonts w:hint="eastAsia"/>
                      <w:vertAlign w:val="superscript"/>
                    </w:rPr>
                    <w:t>2</w:t>
                  </w:r>
                  <w:r>
                    <w:rPr>
                      <w:rFonts w:hint="eastAsia"/>
                    </w:rPr>
                    <w:t>，布置有下料、涂胶、机加工、热压等工序，以及相关的机械设备</w:t>
                  </w:r>
                </w:p>
              </w:tc>
              <w:tc>
                <w:tcPr>
                  <w:tcW w:w="571" w:type="pct"/>
                  <w:tcBorders>
                    <w:tl2br w:val="nil"/>
                    <w:tr2bl w:val="nil"/>
                  </w:tcBorders>
                  <w:vAlign w:val="center"/>
                </w:tcPr>
                <w:p>
                  <w:pPr>
                    <w:pStyle w:val="123"/>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rPr>
                      <w:rFonts w:hint="eastAsia"/>
                    </w:rPr>
                    <w:t>4#栋厂房</w:t>
                  </w:r>
                </w:p>
              </w:tc>
              <w:tc>
                <w:tcPr>
                  <w:tcW w:w="2887" w:type="pct"/>
                  <w:tcBorders>
                    <w:tl2br w:val="nil"/>
                    <w:tr2bl w:val="nil"/>
                  </w:tcBorders>
                  <w:vAlign w:val="center"/>
                </w:tcPr>
                <w:p>
                  <w:pPr>
                    <w:pStyle w:val="123"/>
                  </w:pPr>
                  <w:r>
                    <w:rPr>
                      <w:rFonts w:hint="eastAsia"/>
                    </w:rPr>
                    <w:t>1F，占地面积7520.0m</w:t>
                  </w:r>
                  <w:r>
                    <w:rPr>
                      <w:rFonts w:hint="eastAsia"/>
                      <w:vertAlign w:val="superscript"/>
                    </w:rPr>
                    <w:t>2</w:t>
                  </w:r>
                  <w:r>
                    <w:rPr>
                      <w:rFonts w:hint="eastAsia"/>
                    </w:rPr>
                    <w:t>，布置有包装车间，以及成品库房</w:t>
                  </w:r>
                </w:p>
              </w:tc>
              <w:tc>
                <w:tcPr>
                  <w:tcW w:w="571" w:type="pct"/>
                  <w:tcBorders>
                    <w:tl2br w:val="nil"/>
                    <w:tr2bl w:val="nil"/>
                  </w:tcBorders>
                  <w:vAlign w:val="center"/>
                </w:tcPr>
                <w:p>
                  <w:pPr>
                    <w:pStyle w:val="123"/>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rPr>
                      <w:rFonts w:hint="eastAsia"/>
                    </w:rPr>
                    <w:t>5#栋厂房</w:t>
                  </w:r>
                </w:p>
              </w:tc>
              <w:tc>
                <w:tcPr>
                  <w:tcW w:w="2887" w:type="pct"/>
                  <w:tcBorders>
                    <w:tl2br w:val="nil"/>
                    <w:tr2bl w:val="nil"/>
                  </w:tcBorders>
                  <w:vAlign w:val="center"/>
                </w:tcPr>
                <w:p>
                  <w:pPr>
                    <w:pStyle w:val="123"/>
                    <w:jc w:val="left"/>
                  </w:pPr>
                  <w:r>
                    <w:rPr>
                      <w:rFonts w:hint="eastAsia"/>
                    </w:rPr>
                    <w:t>1F，占地面积15154.4m</w:t>
                  </w:r>
                  <w:r>
                    <w:rPr>
                      <w:rFonts w:hint="eastAsia"/>
                      <w:vertAlign w:val="superscript"/>
                    </w:rPr>
                    <w:t>2</w:t>
                  </w:r>
                  <w:r>
                    <w:rPr>
                      <w:rFonts w:hint="eastAsia"/>
                    </w:rPr>
                    <w:t>，布置有木门样板间、金属门样板间</w:t>
                  </w:r>
                  <w:r>
                    <w:rPr>
                      <w:rFonts w:hint="eastAsia"/>
                      <w:lang w:eastAsia="zh-CN"/>
                    </w:rPr>
                    <w:t>、</w:t>
                  </w:r>
                  <w:r>
                    <w:rPr>
                      <w:rFonts w:hint="eastAsia"/>
                      <w:lang w:val="en-US" w:eastAsia="zh-CN"/>
                    </w:rPr>
                    <w:t>金属门组装</w:t>
                  </w:r>
                  <w:r>
                    <w:rPr>
                      <w:rFonts w:hint="eastAsia"/>
                    </w:rPr>
                    <w:t>、腻子粉打磨房、喷漆室、晾干室等</w:t>
                  </w:r>
                </w:p>
              </w:tc>
              <w:tc>
                <w:tcPr>
                  <w:tcW w:w="571" w:type="pct"/>
                  <w:tcBorders>
                    <w:tl2br w:val="nil"/>
                    <w:tr2bl w:val="nil"/>
                  </w:tcBorders>
                  <w:vAlign w:val="center"/>
                </w:tcPr>
                <w:p>
                  <w:pPr>
                    <w:pStyle w:val="123"/>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restart"/>
                  <w:tcBorders>
                    <w:tl2br w:val="nil"/>
                    <w:tr2bl w:val="nil"/>
                  </w:tcBorders>
                  <w:vAlign w:val="center"/>
                </w:tcPr>
                <w:p>
                  <w:pPr>
                    <w:pStyle w:val="123"/>
                  </w:pPr>
                  <w:r>
                    <w:rPr>
                      <w:rFonts w:hint="eastAsia"/>
                    </w:rPr>
                    <w:t>储运</w:t>
                  </w:r>
                </w:p>
                <w:p>
                  <w:pPr>
                    <w:pStyle w:val="123"/>
                  </w:pPr>
                  <w:r>
                    <w:rPr>
                      <w:rFonts w:hint="eastAsia"/>
                    </w:rPr>
                    <w:t>工程</w:t>
                  </w:r>
                </w:p>
              </w:tc>
              <w:tc>
                <w:tcPr>
                  <w:tcW w:w="1107" w:type="pct"/>
                  <w:gridSpan w:val="2"/>
                  <w:tcBorders>
                    <w:tl2br w:val="nil"/>
                    <w:tr2bl w:val="nil"/>
                  </w:tcBorders>
                  <w:vAlign w:val="center"/>
                </w:tcPr>
                <w:p>
                  <w:pPr>
                    <w:pStyle w:val="123"/>
                  </w:pPr>
                  <w:r>
                    <w:rPr>
                      <w:rFonts w:hint="eastAsia"/>
                    </w:rPr>
                    <w:t>7#栋厂房</w:t>
                  </w:r>
                </w:p>
              </w:tc>
              <w:tc>
                <w:tcPr>
                  <w:tcW w:w="2887" w:type="pct"/>
                  <w:tcBorders>
                    <w:tl2br w:val="nil"/>
                    <w:tr2bl w:val="nil"/>
                  </w:tcBorders>
                  <w:vAlign w:val="center"/>
                </w:tcPr>
                <w:p>
                  <w:pPr>
                    <w:pStyle w:val="123"/>
                    <w:jc w:val="left"/>
                  </w:pPr>
                  <w:r>
                    <w:rPr>
                      <w:rFonts w:hint="eastAsia"/>
                    </w:rPr>
                    <w:t>1F，占地面积15003.56m</w:t>
                  </w:r>
                  <w:r>
                    <w:rPr>
                      <w:rFonts w:hint="eastAsia"/>
                      <w:vertAlign w:val="superscript"/>
                    </w:rPr>
                    <w:t>2</w:t>
                  </w:r>
                  <w:r>
                    <w:rPr>
                      <w:rFonts w:hint="eastAsia"/>
                    </w:rPr>
                    <w:t>，原材料仓库</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rPr>
                      <w:rFonts w:hint="eastAsia"/>
                    </w:rPr>
                    <w:t>10#栋</w:t>
                  </w:r>
                </w:p>
              </w:tc>
              <w:tc>
                <w:tcPr>
                  <w:tcW w:w="2887" w:type="pct"/>
                  <w:tcBorders>
                    <w:tl2br w:val="nil"/>
                    <w:tr2bl w:val="nil"/>
                  </w:tcBorders>
                  <w:vAlign w:val="center"/>
                </w:tcPr>
                <w:p>
                  <w:pPr>
                    <w:pStyle w:val="123"/>
                    <w:jc w:val="left"/>
                  </w:pPr>
                  <w:r>
                    <w:rPr>
                      <w:rFonts w:hint="eastAsia"/>
                    </w:rPr>
                    <w:t>1F，占地面积60m</w:t>
                  </w:r>
                  <w:r>
                    <w:rPr>
                      <w:rFonts w:hint="eastAsia"/>
                      <w:vertAlign w:val="superscript"/>
                    </w:rPr>
                    <w:t>2</w:t>
                  </w:r>
                  <w:r>
                    <w:rPr>
                      <w:rFonts w:hint="eastAsia"/>
                    </w:rPr>
                    <w:t>，布置有一般固废暂存间、危废暂存间</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restart"/>
                  <w:tcBorders>
                    <w:tl2br w:val="nil"/>
                    <w:tr2bl w:val="nil"/>
                  </w:tcBorders>
                  <w:vAlign w:val="center"/>
                </w:tcPr>
                <w:p>
                  <w:pPr>
                    <w:pStyle w:val="123"/>
                  </w:pPr>
                  <w:r>
                    <w:rPr>
                      <w:rFonts w:hint="eastAsia"/>
                    </w:rPr>
                    <w:t>辅助工程</w:t>
                  </w:r>
                </w:p>
              </w:tc>
              <w:tc>
                <w:tcPr>
                  <w:tcW w:w="1107" w:type="pct"/>
                  <w:gridSpan w:val="2"/>
                  <w:tcBorders>
                    <w:tl2br w:val="nil"/>
                    <w:tr2bl w:val="nil"/>
                  </w:tcBorders>
                  <w:vAlign w:val="center"/>
                </w:tcPr>
                <w:p>
                  <w:pPr>
                    <w:pStyle w:val="123"/>
                  </w:pPr>
                  <w:r>
                    <w:rPr>
                      <w:rFonts w:hint="eastAsia"/>
                    </w:rPr>
                    <w:t>1#栋</w:t>
                  </w:r>
                </w:p>
              </w:tc>
              <w:tc>
                <w:tcPr>
                  <w:tcW w:w="2887" w:type="pct"/>
                  <w:tcBorders>
                    <w:tl2br w:val="nil"/>
                    <w:tr2bl w:val="nil"/>
                  </w:tcBorders>
                  <w:vAlign w:val="center"/>
                </w:tcPr>
                <w:p>
                  <w:pPr>
                    <w:pStyle w:val="123"/>
                    <w:jc w:val="left"/>
                  </w:pPr>
                  <w:r>
                    <w:rPr>
                      <w:rFonts w:hint="eastAsia"/>
                    </w:rPr>
                    <w:t>办公楼，3F，建筑面积2116.84m</w:t>
                  </w:r>
                  <w:r>
                    <w:rPr>
                      <w:rFonts w:hint="eastAsia"/>
                      <w:vertAlign w:val="superscript"/>
                    </w:rPr>
                    <w:t>2</w:t>
                  </w:r>
                  <w:r>
                    <w:rPr>
                      <w:rFonts w:hint="eastAsia"/>
                    </w:rPr>
                    <w:t>，布置有员工办公室、会议室、财务室、会客室、总经理办公室等</w:t>
                  </w:r>
                </w:p>
              </w:tc>
              <w:tc>
                <w:tcPr>
                  <w:tcW w:w="571" w:type="pct"/>
                  <w:tcBorders>
                    <w:tl2br w:val="nil"/>
                    <w:tr2bl w:val="nil"/>
                  </w:tcBorders>
                  <w:vAlign w:val="center"/>
                </w:tcPr>
                <w:p>
                  <w:pPr>
                    <w:pStyle w:val="123"/>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rPr>
                      <w:rFonts w:hint="eastAsia"/>
                    </w:rPr>
                    <w:t>2#栋</w:t>
                  </w:r>
                </w:p>
              </w:tc>
              <w:tc>
                <w:tcPr>
                  <w:tcW w:w="2887" w:type="pct"/>
                  <w:tcBorders>
                    <w:tl2br w:val="nil"/>
                    <w:tr2bl w:val="nil"/>
                  </w:tcBorders>
                  <w:vAlign w:val="center"/>
                </w:tcPr>
                <w:p>
                  <w:pPr>
                    <w:pStyle w:val="123"/>
                    <w:jc w:val="left"/>
                  </w:pPr>
                  <w:r>
                    <w:rPr>
                      <w:rFonts w:hint="eastAsia"/>
                    </w:rPr>
                    <w:t>宿舍楼，4F，一楼建设食堂，2-4层建设员工宿舍，建筑面积7770.58m</w:t>
                  </w:r>
                  <w:r>
                    <w:rPr>
                      <w:rFonts w:hint="eastAsia"/>
                      <w:vertAlign w:val="superscript"/>
                    </w:rPr>
                    <w:t>2</w:t>
                  </w:r>
                </w:p>
              </w:tc>
              <w:tc>
                <w:tcPr>
                  <w:tcW w:w="571" w:type="pct"/>
                  <w:tcBorders>
                    <w:tl2br w:val="nil"/>
                    <w:tr2bl w:val="nil"/>
                  </w:tcBorders>
                  <w:vAlign w:val="center"/>
                </w:tcPr>
                <w:p>
                  <w:pPr>
                    <w:pStyle w:val="123"/>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rPr>
                      <w:rFonts w:hint="eastAsia"/>
                    </w:rPr>
                    <w:t>6#栋</w:t>
                  </w:r>
                </w:p>
              </w:tc>
              <w:tc>
                <w:tcPr>
                  <w:tcW w:w="2887" w:type="pct"/>
                  <w:tcBorders>
                    <w:tl2br w:val="nil"/>
                    <w:tr2bl w:val="nil"/>
                  </w:tcBorders>
                  <w:vAlign w:val="center"/>
                </w:tcPr>
                <w:p>
                  <w:pPr>
                    <w:pStyle w:val="123"/>
                    <w:jc w:val="left"/>
                  </w:pPr>
                  <w:r>
                    <w:rPr>
                      <w:rFonts w:hint="eastAsia"/>
                    </w:rPr>
                    <w:t>3F，建筑面积915.52m</w:t>
                  </w:r>
                  <w:r>
                    <w:rPr>
                      <w:rFonts w:hint="eastAsia"/>
                      <w:vertAlign w:val="superscript"/>
                    </w:rPr>
                    <w:t>2</w:t>
                  </w:r>
                  <w:r>
                    <w:rPr>
                      <w:rFonts w:hint="eastAsia"/>
                    </w:rPr>
                    <w:t>，主要布储藏间、环境模拟</w:t>
                  </w:r>
                  <w:r>
                    <w:rPr>
                      <w:rFonts w:hint="eastAsia"/>
                      <w:lang w:eastAsia="zh-CN"/>
                    </w:rPr>
                    <w:t>室</w:t>
                  </w:r>
                  <w:r>
                    <w:rPr>
                      <w:rFonts w:hint="eastAsia"/>
                    </w:rPr>
                    <w:t>、隔音模拟室、样品预处理室等。</w:t>
                  </w:r>
                </w:p>
              </w:tc>
              <w:tc>
                <w:tcPr>
                  <w:tcW w:w="571" w:type="pct"/>
                  <w:tcBorders>
                    <w:tl2br w:val="nil"/>
                    <w:tr2bl w:val="nil"/>
                  </w:tcBorders>
                  <w:vAlign w:val="center"/>
                </w:tcPr>
                <w:p>
                  <w:pPr>
                    <w:pStyle w:val="123"/>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rPr>
                      <w:rFonts w:hint="eastAsia"/>
                    </w:rPr>
                    <w:t>8#栋</w:t>
                  </w:r>
                </w:p>
              </w:tc>
              <w:tc>
                <w:tcPr>
                  <w:tcW w:w="2887" w:type="pct"/>
                  <w:tcBorders>
                    <w:tl2br w:val="nil"/>
                    <w:tr2bl w:val="nil"/>
                  </w:tcBorders>
                  <w:vAlign w:val="center"/>
                </w:tcPr>
                <w:p>
                  <w:pPr>
                    <w:pStyle w:val="123"/>
                    <w:jc w:val="left"/>
                  </w:pPr>
                  <w:r>
                    <w:rPr>
                      <w:rFonts w:hint="eastAsia"/>
                    </w:rPr>
                    <w:t>变配电室，1F，占地面积168m</w:t>
                  </w:r>
                  <w:r>
                    <w:rPr>
                      <w:rFonts w:hint="eastAsia"/>
                      <w:vertAlign w:val="superscript"/>
                    </w:rPr>
                    <w:t>2</w:t>
                  </w:r>
                </w:p>
              </w:tc>
              <w:tc>
                <w:tcPr>
                  <w:tcW w:w="571" w:type="pct"/>
                  <w:tcBorders>
                    <w:tl2br w:val="nil"/>
                    <w:tr2bl w:val="nil"/>
                  </w:tcBorders>
                  <w:vAlign w:val="center"/>
                </w:tcPr>
                <w:p>
                  <w:pPr>
                    <w:pStyle w:val="123"/>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rPr>
                      <w:rFonts w:hint="eastAsia"/>
                    </w:rPr>
                    <w:t>9#栋</w:t>
                  </w:r>
                </w:p>
              </w:tc>
              <w:tc>
                <w:tcPr>
                  <w:tcW w:w="2887" w:type="pct"/>
                  <w:tcBorders>
                    <w:tl2br w:val="nil"/>
                    <w:tr2bl w:val="nil"/>
                  </w:tcBorders>
                  <w:vAlign w:val="center"/>
                </w:tcPr>
                <w:p>
                  <w:pPr>
                    <w:pStyle w:val="123"/>
                    <w:jc w:val="left"/>
                  </w:pPr>
                  <w:r>
                    <w:rPr>
                      <w:rFonts w:hint="eastAsia"/>
                    </w:rPr>
                    <w:t>消防控制室，1F，占地面积68m</w:t>
                  </w:r>
                  <w:r>
                    <w:rPr>
                      <w:rFonts w:hint="eastAsia"/>
                      <w:vertAlign w:val="superscript"/>
                    </w:rPr>
                    <w:t>2</w:t>
                  </w:r>
                </w:p>
              </w:tc>
              <w:tc>
                <w:tcPr>
                  <w:tcW w:w="571" w:type="pct"/>
                  <w:tcBorders>
                    <w:tl2br w:val="nil"/>
                    <w:tr2bl w:val="nil"/>
                  </w:tcBorders>
                  <w:vAlign w:val="center"/>
                </w:tcPr>
                <w:p>
                  <w:pPr>
                    <w:pStyle w:val="123"/>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restart"/>
                  <w:tcBorders>
                    <w:tl2br w:val="nil"/>
                    <w:tr2bl w:val="nil"/>
                  </w:tcBorders>
                  <w:vAlign w:val="center"/>
                </w:tcPr>
                <w:p>
                  <w:pPr>
                    <w:pStyle w:val="123"/>
                  </w:pPr>
                  <w:r>
                    <w:rPr>
                      <w:rFonts w:hint="eastAsia"/>
                    </w:rPr>
                    <w:t>公用</w:t>
                  </w:r>
                </w:p>
                <w:p>
                  <w:pPr>
                    <w:pStyle w:val="123"/>
                  </w:pPr>
                  <w:r>
                    <w:rPr>
                      <w:rFonts w:hint="eastAsia"/>
                    </w:rPr>
                    <w:t>工程</w:t>
                  </w:r>
                </w:p>
              </w:tc>
              <w:tc>
                <w:tcPr>
                  <w:tcW w:w="1107" w:type="pct"/>
                  <w:gridSpan w:val="2"/>
                  <w:tcBorders>
                    <w:tl2br w:val="nil"/>
                    <w:tr2bl w:val="nil"/>
                  </w:tcBorders>
                  <w:vAlign w:val="center"/>
                </w:tcPr>
                <w:p>
                  <w:pPr>
                    <w:pStyle w:val="123"/>
                  </w:pPr>
                  <w:r>
                    <w:t>给水</w:t>
                  </w:r>
                </w:p>
              </w:tc>
              <w:tc>
                <w:tcPr>
                  <w:tcW w:w="2887" w:type="pct"/>
                  <w:tcBorders>
                    <w:tl2br w:val="nil"/>
                    <w:tr2bl w:val="nil"/>
                  </w:tcBorders>
                  <w:vAlign w:val="center"/>
                </w:tcPr>
                <w:p>
                  <w:pPr>
                    <w:pStyle w:val="123"/>
                    <w:jc w:val="left"/>
                  </w:pPr>
                  <w:r>
                    <w:t>市政供水管网接入</w:t>
                  </w:r>
                </w:p>
              </w:tc>
              <w:tc>
                <w:tcPr>
                  <w:tcW w:w="571" w:type="pct"/>
                  <w:tcBorders>
                    <w:tl2br w:val="nil"/>
                    <w:tr2bl w:val="nil"/>
                  </w:tcBorders>
                  <w:vAlign w:val="center"/>
                </w:tcPr>
                <w:p>
                  <w:pPr>
                    <w:jc w:val="center"/>
                    <w:rPr>
                      <w:szCs w:val="21"/>
                    </w:rPr>
                  </w:pPr>
                  <w:r>
                    <w:rPr>
                      <w:rFonts w:hint="eastAsia"/>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t>排水</w:t>
                  </w:r>
                </w:p>
              </w:tc>
              <w:tc>
                <w:tcPr>
                  <w:tcW w:w="2887" w:type="pct"/>
                  <w:tcBorders>
                    <w:tl2br w:val="nil"/>
                    <w:tr2bl w:val="nil"/>
                  </w:tcBorders>
                  <w:vAlign w:val="center"/>
                </w:tcPr>
                <w:p>
                  <w:pPr>
                    <w:pStyle w:val="123"/>
                    <w:jc w:val="left"/>
                  </w:pPr>
                  <w:r>
                    <w:t>雨污分流，污水管网</w:t>
                  </w:r>
                </w:p>
              </w:tc>
              <w:tc>
                <w:tcPr>
                  <w:tcW w:w="571" w:type="pct"/>
                  <w:tcBorders>
                    <w:tl2br w:val="nil"/>
                    <w:tr2bl w:val="nil"/>
                  </w:tcBorders>
                  <w:vAlign w:val="center"/>
                </w:tcPr>
                <w:p>
                  <w:pPr>
                    <w:jc w:val="center"/>
                    <w:rPr>
                      <w:szCs w:val="21"/>
                    </w:rPr>
                  </w:pPr>
                  <w:r>
                    <w:rPr>
                      <w:rFonts w:hint="eastAsia"/>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rPr>
                      <w:rFonts w:hint="eastAsia"/>
                    </w:rPr>
                    <w:t>供</w:t>
                  </w:r>
                  <w:r>
                    <w:t>电</w:t>
                  </w:r>
                </w:p>
              </w:tc>
              <w:tc>
                <w:tcPr>
                  <w:tcW w:w="2887" w:type="pct"/>
                  <w:tcBorders>
                    <w:tl2br w:val="nil"/>
                    <w:tr2bl w:val="nil"/>
                  </w:tcBorders>
                  <w:vAlign w:val="center"/>
                </w:tcPr>
                <w:p>
                  <w:pPr>
                    <w:pStyle w:val="123"/>
                    <w:jc w:val="left"/>
                  </w:pPr>
                  <w:r>
                    <w:t>由</w:t>
                  </w:r>
                  <w:r>
                    <w:rPr>
                      <w:rFonts w:hint="eastAsia"/>
                    </w:rPr>
                    <w:t>市政</w:t>
                  </w:r>
                  <w:r>
                    <w:t>电网提供</w:t>
                  </w:r>
                </w:p>
              </w:tc>
              <w:tc>
                <w:tcPr>
                  <w:tcW w:w="571" w:type="pct"/>
                  <w:tcBorders>
                    <w:tl2br w:val="nil"/>
                    <w:tr2bl w:val="nil"/>
                  </w:tcBorders>
                  <w:vAlign w:val="center"/>
                </w:tcPr>
                <w:p>
                  <w:pPr>
                    <w:jc w:val="center"/>
                    <w:rPr>
                      <w:szCs w:val="21"/>
                    </w:rPr>
                  </w:pPr>
                  <w:r>
                    <w:rPr>
                      <w:rFonts w:hint="eastAsia"/>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restart"/>
                  <w:tcBorders>
                    <w:tl2br w:val="nil"/>
                    <w:tr2bl w:val="nil"/>
                  </w:tcBorders>
                  <w:vAlign w:val="center"/>
                </w:tcPr>
                <w:p>
                  <w:pPr>
                    <w:pStyle w:val="123"/>
                  </w:pPr>
                  <w:r>
                    <w:rPr>
                      <w:rFonts w:hint="eastAsia"/>
                    </w:rPr>
                    <w:t>环保</w:t>
                  </w:r>
                </w:p>
                <w:p>
                  <w:pPr>
                    <w:pStyle w:val="123"/>
                  </w:pPr>
                  <w:r>
                    <w:rPr>
                      <w:rFonts w:hint="eastAsia"/>
                    </w:rPr>
                    <w:t>工程</w:t>
                  </w:r>
                </w:p>
              </w:tc>
              <w:tc>
                <w:tcPr>
                  <w:tcW w:w="461" w:type="pct"/>
                  <w:vMerge w:val="restart"/>
                  <w:tcBorders>
                    <w:tl2br w:val="nil"/>
                    <w:tr2bl w:val="nil"/>
                  </w:tcBorders>
                  <w:vAlign w:val="center"/>
                </w:tcPr>
                <w:p>
                  <w:pPr>
                    <w:pStyle w:val="123"/>
                  </w:pPr>
                  <w:r>
                    <w:rPr>
                      <w:rFonts w:hint="eastAsia"/>
                    </w:rPr>
                    <w:t>废气防治措施</w:t>
                  </w:r>
                </w:p>
              </w:tc>
              <w:tc>
                <w:tcPr>
                  <w:tcW w:w="645" w:type="pct"/>
                  <w:tcBorders>
                    <w:tl2br w:val="nil"/>
                    <w:tr2bl w:val="nil"/>
                  </w:tcBorders>
                  <w:vAlign w:val="center"/>
                </w:tcPr>
                <w:p>
                  <w:pPr>
                    <w:pStyle w:val="123"/>
                  </w:pPr>
                  <w:r>
                    <w:rPr>
                      <w:rFonts w:hint="eastAsia"/>
                    </w:rPr>
                    <w:t>下料废气</w:t>
                  </w:r>
                </w:p>
              </w:tc>
              <w:tc>
                <w:tcPr>
                  <w:tcW w:w="2887" w:type="pct"/>
                  <w:tcBorders>
                    <w:tl2br w:val="nil"/>
                    <w:tr2bl w:val="nil"/>
                  </w:tcBorders>
                  <w:vAlign w:val="center"/>
                </w:tcPr>
                <w:p>
                  <w:pPr>
                    <w:pStyle w:val="123"/>
                    <w:jc w:val="left"/>
                  </w:pPr>
                  <w:r>
                    <w:rPr>
                      <w:rFonts w:hint="eastAsia"/>
                    </w:rPr>
                    <w:t>主要污染物为颗粒物，设置集气罩+布袋除尘+15m高排气筒（1#排气筒）</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461" w:type="pct"/>
                  <w:vMerge w:val="continue"/>
                  <w:tcBorders>
                    <w:tl2br w:val="nil"/>
                    <w:tr2bl w:val="nil"/>
                  </w:tcBorders>
                  <w:vAlign w:val="center"/>
                </w:tcPr>
                <w:p>
                  <w:pPr>
                    <w:pStyle w:val="123"/>
                  </w:pPr>
                </w:p>
              </w:tc>
              <w:tc>
                <w:tcPr>
                  <w:tcW w:w="645" w:type="pct"/>
                  <w:tcBorders>
                    <w:tl2br w:val="nil"/>
                    <w:tr2bl w:val="nil"/>
                  </w:tcBorders>
                  <w:vAlign w:val="center"/>
                </w:tcPr>
                <w:p>
                  <w:pPr>
                    <w:pStyle w:val="123"/>
                  </w:pPr>
                  <w:r>
                    <w:rPr>
                      <w:rFonts w:hint="eastAsia"/>
                    </w:rPr>
                    <w:t>砂光废气</w:t>
                  </w:r>
                </w:p>
              </w:tc>
              <w:tc>
                <w:tcPr>
                  <w:tcW w:w="2887" w:type="pct"/>
                  <w:tcBorders>
                    <w:tl2br w:val="nil"/>
                    <w:tr2bl w:val="nil"/>
                  </w:tcBorders>
                  <w:vAlign w:val="center"/>
                </w:tcPr>
                <w:p>
                  <w:pPr>
                    <w:pStyle w:val="123"/>
                    <w:jc w:val="left"/>
                  </w:pPr>
                  <w:r>
                    <w:rPr>
                      <w:rFonts w:hint="eastAsia"/>
                    </w:rPr>
                    <w:t>主要污染物为颗粒物，设备自带废气收集装置，设置布袋除尘+15m高排气筒（2#排气筒）</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461" w:type="pct"/>
                  <w:vMerge w:val="continue"/>
                  <w:tcBorders>
                    <w:tl2br w:val="nil"/>
                    <w:tr2bl w:val="nil"/>
                  </w:tcBorders>
                  <w:vAlign w:val="center"/>
                </w:tcPr>
                <w:p>
                  <w:pPr>
                    <w:pStyle w:val="123"/>
                  </w:pPr>
                </w:p>
              </w:tc>
              <w:tc>
                <w:tcPr>
                  <w:tcW w:w="645" w:type="pct"/>
                  <w:tcBorders>
                    <w:tl2br w:val="nil"/>
                    <w:tr2bl w:val="nil"/>
                  </w:tcBorders>
                  <w:vAlign w:val="center"/>
                </w:tcPr>
                <w:p>
                  <w:pPr>
                    <w:pStyle w:val="123"/>
                  </w:pPr>
                  <w:r>
                    <w:rPr>
                      <w:rFonts w:hint="eastAsia"/>
                    </w:rPr>
                    <w:t>热压废气</w:t>
                  </w:r>
                </w:p>
              </w:tc>
              <w:tc>
                <w:tcPr>
                  <w:tcW w:w="2887" w:type="pct"/>
                  <w:tcBorders>
                    <w:tl2br w:val="nil"/>
                    <w:tr2bl w:val="nil"/>
                  </w:tcBorders>
                  <w:vAlign w:val="center"/>
                </w:tcPr>
                <w:p>
                  <w:pPr>
                    <w:pStyle w:val="123"/>
                    <w:jc w:val="left"/>
                  </w:pPr>
                  <w:r>
                    <w:rPr>
                      <w:rFonts w:hint="eastAsia"/>
                    </w:rPr>
                    <w:t>使用水基胶，从源头替代，主要污染物为挥发性有机物，无组织排放</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461" w:type="pct"/>
                  <w:vMerge w:val="continue"/>
                  <w:tcBorders>
                    <w:tl2br w:val="nil"/>
                    <w:tr2bl w:val="nil"/>
                  </w:tcBorders>
                  <w:vAlign w:val="center"/>
                </w:tcPr>
                <w:p>
                  <w:pPr>
                    <w:pStyle w:val="123"/>
                  </w:pPr>
                </w:p>
              </w:tc>
              <w:tc>
                <w:tcPr>
                  <w:tcW w:w="645" w:type="pct"/>
                  <w:tcBorders>
                    <w:tl2br w:val="nil"/>
                    <w:tr2bl w:val="nil"/>
                  </w:tcBorders>
                  <w:vAlign w:val="center"/>
                </w:tcPr>
                <w:p>
                  <w:pPr>
                    <w:pStyle w:val="123"/>
                  </w:pPr>
                  <w:r>
                    <w:rPr>
                      <w:rFonts w:hint="eastAsia"/>
                    </w:rPr>
                    <w:t>机加工废气</w:t>
                  </w:r>
                </w:p>
              </w:tc>
              <w:tc>
                <w:tcPr>
                  <w:tcW w:w="2887" w:type="pct"/>
                  <w:tcBorders>
                    <w:tl2br w:val="nil"/>
                    <w:tr2bl w:val="nil"/>
                  </w:tcBorders>
                  <w:vAlign w:val="center"/>
                </w:tcPr>
                <w:p>
                  <w:pPr>
                    <w:pStyle w:val="123"/>
                    <w:jc w:val="left"/>
                  </w:pPr>
                  <w:r>
                    <w:rPr>
                      <w:rFonts w:hint="eastAsia"/>
                    </w:rPr>
                    <w:t>主要污染物为颗粒物，设置跟随刀头的喇叭口集气罩，废气收集后通过布袋除尘+15m高排气筒（3#排气筒）</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461" w:type="pct"/>
                  <w:vMerge w:val="continue"/>
                  <w:tcBorders>
                    <w:tl2br w:val="nil"/>
                    <w:tr2bl w:val="nil"/>
                  </w:tcBorders>
                  <w:vAlign w:val="center"/>
                </w:tcPr>
                <w:p>
                  <w:pPr>
                    <w:pStyle w:val="123"/>
                  </w:pPr>
                </w:p>
              </w:tc>
              <w:tc>
                <w:tcPr>
                  <w:tcW w:w="645" w:type="pct"/>
                  <w:tcBorders>
                    <w:tl2br w:val="nil"/>
                    <w:tr2bl w:val="nil"/>
                  </w:tcBorders>
                  <w:vAlign w:val="center"/>
                </w:tcPr>
                <w:p>
                  <w:pPr>
                    <w:pStyle w:val="123"/>
                  </w:pPr>
                  <w:r>
                    <w:rPr>
                      <w:rFonts w:hint="eastAsia"/>
                    </w:rPr>
                    <w:t>腻子粉打磨废气</w:t>
                  </w:r>
                </w:p>
              </w:tc>
              <w:tc>
                <w:tcPr>
                  <w:tcW w:w="2887" w:type="pct"/>
                  <w:tcBorders>
                    <w:tl2br w:val="nil"/>
                    <w:tr2bl w:val="nil"/>
                  </w:tcBorders>
                  <w:vAlign w:val="center"/>
                </w:tcPr>
                <w:p>
                  <w:pPr>
                    <w:pStyle w:val="123"/>
                    <w:jc w:val="left"/>
                  </w:pPr>
                  <w:r>
                    <w:rPr>
                      <w:rFonts w:hint="eastAsia"/>
                    </w:rPr>
                    <w:t>主要污染物为颗粒物，设置集气罩+布袋除尘+15m高排气筒（4#排气筒）</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461" w:type="pct"/>
                  <w:vMerge w:val="continue"/>
                  <w:tcBorders>
                    <w:tl2br w:val="nil"/>
                    <w:tr2bl w:val="nil"/>
                  </w:tcBorders>
                  <w:vAlign w:val="center"/>
                </w:tcPr>
                <w:p>
                  <w:pPr>
                    <w:pStyle w:val="123"/>
                  </w:pPr>
                </w:p>
              </w:tc>
              <w:tc>
                <w:tcPr>
                  <w:tcW w:w="645" w:type="pct"/>
                  <w:tcBorders>
                    <w:tl2br w:val="nil"/>
                    <w:tr2bl w:val="nil"/>
                  </w:tcBorders>
                  <w:vAlign w:val="center"/>
                </w:tcPr>
                <w:p>
                  <w:pPr>
                    <w:pStyle w:val="123"/>
                  </w:pPr>
                  <w:r>
                    <w:rPr>
                      <w:rFonts w:hint="eastAsia"/>
                    </w:rPr>
                    <w:t>喷漆、晾干废气</w:t>
                  </w:r>
                </w:p>
              </w:tc>
              <w:tc>
                <w:tcPr>
                  <w:tcW w:w="2887" w:type="pct"/>
                  <w:tcBorders>
                    <w:tl2br w:val="nil"/>
                    <w:tr2bl w:val="nil"/>
                  </w:tcBorders>
                  <w:vAlign w:val="center"/>
                </w:tcPr>
                <w:p>
                  <w:pPr>
                    <w:pStyle w:val="123"/>
                    <w:jc w:val="left"/>
                  </w:pPr>
                  <w:r>
                    <w:rPr>
                      <w:rFonts w:hint="eastAsia"/>
                    </w:rPr>
                    <w:t>设置密闭的喷漆房、晾干房，微负压收集+水帘+过滤棉+</w:t>
                  </w:r>
                  <w:r>
                    <w:rPr>
                      <w:rFonts w:hint="eastAsia"/>
                      <w:color w:val="000000"/>
                    </w:rPr>
                    <w:t>旋转式分子筛吸附+脱附</w:t>
                  </w:r>
                  <w:r>
                    <w:rPr>
                      <w:rFonts w:hint="eastAsia"/>
                    </w:rPr>
                    <w:t>-RCO催化燃烧+15m高排气筒（5#排气筒）</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461" w:type="pct"/>
                  <w:vMerge w:val="continue"/>
                  <w:tcBorders>
                    <w:tl2br w:val="nil"/>
                    <w:tr2bl w:val="nil"/>
                  </w:tcBorders>
                  <w:vAlign w:val="center"/>
                </w:tcPr>
                <w:p>
                  <w:pPr>
                    <w:pStyle w:val="123"/>
                  </w:pPr>
                </w:p>
              </w:tc>
              <w:tc>
                <w:tcPr>
                  <w:tcW w:w="645" w:type="pct"/>
                  <w:tcBorders>
                    <w:tl2br w:val="nil"/>
                    <w:tr2bl w:val="nil"/>
                  </w:tcBorders>
                  <w:vAlign w:val="center"/>
                </w:tcPr>
                <w:p>
                  <w:pPr>
                    <w:pStyle w:val="123"/>
                    <w:rPr>
                      <w:rFonts w:hint="default" w:eastAsia="宋体"/>
                      <w:lang w:val="en-US" w:eastAsia="zh-CN"/>
                    </w:rPr>
                  </w:pPr>
                  <w:r>
                    <w:rPr>
                      <w:rFonts w:hint="eastAsia"/>
                      <w:lang w:val="en-US" w:eastAsia="zh-CN"/>
                    </w:rPr>
                    <w:t>食堂油烟</w:t>
                  </w:r>
                </w:p>
              </w:tc>
              <w:tc>
                <w:tcPr>
                  <w:tcW w:w="2887" w:type="pct"/>
                  <w:tcBorders>
                    <w:tl2br w:val="nil"/>
                    <w:tr2bl w:val="nil"/>
                  </w:tcBorders>
                  <w:vAlign w:val="center"/>
                </w:tcPr>
                <w:p>
                  <w:pPr>
                    <w:pStyle w:val="123"/>
                    <w:jc w:val="left"/>
                    <w:rPr>
                      <w:rFonts w:hint="default" w:eastAsia="宋体"/>
                      <w:lang w:val="en-US" w:eastAsia="zh-CN"/>
                    </w:rPr>
                  </w:pPr>
                  <w:r>
                    <w:rPr>
                      <w:rFonts w:hint="eastAsia"/>
                      <w:lang w:val="en-US" w:eastAsia="zh-CN"/>
                    </w:rPr>
                    <w:t>油烟净化器+高出屋顶排气筒</w:t>
                  </w:r>
                </w:p>
              </w:tc>
              <w:tc>
                <w:tcPr>
                  <w:tcW w:w="571" w:type="pct"/>
                  <w:tcBorders>
                    <w:tl2br w:val="nil"/>
                    <w:tr2bl w:val="nil"/>
                  </w:tcBorders>
                  <w:vAlign w:val="center"/>
                </w:tcPr>
                <w:p>
                  <w:pPr>
                    <w:jc w:val="center"/>
                    <w:rPr>
                      <w:rFonts w:hint="eastAsia" w:eastAsia="宋体"/>
                      <w:szCs w:val="21"/>
                      <w:lang w:val="en-US" w:eastAsia="zh-CN"/>
                    </w:rP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461" w:type="pct"/>
                  <w:vMerge w:val="restart"/>
                  <w:tcBorders>
                    <w:tl2br w:val="nil"/>
                    <w:tr2bl w:val="nil"/>
                  </w:tcBorders>
                  <w:vAlign w:val="center"/>
                </w:tcPr>
                <w:p>
                  <w:pPr>
                    <w:pStyle w:val="123"/>
                  </w:pPr>
                  <w:r>
                    <w:rPr>
                      <w:rFonts w:hint="eastAsia"/>
                    </w:rPr>
                    <w:t>废水治理措施</w:t>
                  </w:r>
                </w:p>
              </w:tc>
              <w:tc>
                <w:tcPr>
                  <w:tcW w:w="645" w:type="pct"/>
                  <w:tcBorders>
                    <w:tl2br w:val="nil"/>
                    <w:tr2bl w:val="nil"/>
                  </w:tcBorders>
                  <w:vAlign w:val="center"/>
                </w:tcPr>
                <w:p>
                  <w:pPr>
                    <w:pStyle w:val="123"/>
                  </w:pPr>
                  <w:r>
                    <w:rPr>
                      <w:rFonts w:hint="eastAsia"/>
                    </w:rPr>
                    <w:t>生活污水</w:t>
                  </w:r>
                </w:p>
              </w:tc>
              <w:tc>
                <w:tcPr>
                  <w:tcW w:w="2887" w:type="pct"/>
                  <w:tcBorders>
                    <w:tl2br w:val="nil"/>
                    <w:tr2bl w:val="nil"/>
                  </w:tcBorders>
                  <w:vAlign w:val="center"/>
                </w:tcPr>
                <w:p>
                  <w:pPr>
                    <w:pStyle w:val="123"/>
                    <w:jc w:val="left"/>
                  </w:pPr>
                  <w:r>
                    <w:rPr>
                      <w:rFonts w:hint="eastAsia"/>
                    </w:rPr>
                    <w:t>经化粪池处理后</w:t>
                  </w:r>
                  <w:r>
                    <w:rPr>
                      <w:rFonts w:hint="eastAsia"/>
                      <w:lang w:eastAsia="zh-CN"/>
                    </w:rPr>
                    <w:t>（</w:t>
                  </w:r>
                  <w:r>
                    <w:rPr>
                      <w:rFonts w:hint="eastAsia"/>
                      <w:lang w:val="en-US" w:eastAsia="zh-CN"/>
                    </w:rPr>
                    <w:t>食堂污水先经隔油池处理</w:t>
                  </w:r>
                  <w:r>
                    <w:rPr>
                      <w:rFonts w:hint="eastAsia"/>
                      <w:lang w:eastAsia="zh-CN"/>
                    </w:rPr>
                    <w:t>）</w:t>
                  </w:r>
                  <w:r>
                    <w:rPr>
                      <w:rFonts w:hint="eastAsia"/>
                    </w:rPr>
                    <w:t>排入园区管网，进入湘阴县第二污水处理厂深度处理；</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jc w:val="left"/>
                  </w:pPr>
                </w:p>
              </w:tc>
              <w:tc>
                <w:tcPr>
                  <w:tcW w:w="461" w:type="pct"/>
                  <w:vMerge w:val="continue"/>
                  <w:tcBorders>
                    <w:tl2br w:val="nil"/>
                    <w:tr2bl w:val="nil"/>
                  </w:tcBorders>
                  <w:vAlign w:val="center"/>
                </w:tcPr>
                <w:p>
                  <w:pPr>
                    <w:pStyle w:val="123"/>
                    <w:jc w:val="left"/>
                  </w:pPr>
                </w:p>
              </w:tc>
              <w:tc>
                <w:tcPr>
                  <w:tcW w:w="645" w:type="pct"/>
                  <w:tcBorders>
                    <w:tl2br w:val="nil"/>
                    <w:tr2bl w:val="nil"/>
                  </w:tcBorders>
                  <w:vAlign w:val="center"/>
                </w:tcPr>
                <w:p>
                  <w:pPr>
                    <w:pStyle w:val="123"/>
                    <w:jc w:val="left"/>
                  </w:pPr>
                  <w:r>
                    <w:rPr>
                      <w:rFonts w:hint="eastAsia"/>
                    </w:rPr>
                    <w:t>水帘柜用水</w:t>
                  </w:r>
                </w:p>
              </w:tc>
              <w:tc>
                <w:tcPr>
                  <w:tcW w:w="2887" w:type="pct"/>
                  <w:tcBorders>
                    <w:tl2br w:val="nil"/>
                    <w:tr2bl w:val="nil"/>
                  </w:tcBorders>
                  <w:vAlign w:val="center"/>
                </w:tcPr>
                <w:p>
                  <w:pPr>
                    <w:pStyle w:val="123"/>
                    <w:jc w:val="left"/>
                  </w:pPr>
                  <w:r>
                    <w:rPr>
                      <w:rFonts w:hint="eastAsia"/>
                    </w:rPr>
                    <w:t>沉淀池沉淀后循环使用不外排，定期补充新鲜水，每年处理一次，作为危废处置。</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rPr>
                      <w:rFonts w:hint="eastAsia"/>
                    </w:rPr>
                    <w:t>噪声防治措施</w:t>
                  </w:r>
                </w:p>
              </w:tc>
              <w:tc>
                <w:tcPr>
                  <w:tcW w:w="2887" w:type="pct"/>
                  <w:tcBorders>
                    <w:tl2br w:val="nil"/>
                    <w:tr2bl w:val="nil"/>
                  </w:tcBorders>
                  <w:vAlign w:val="center"/>
                </w:tcPr>
                <w:p>
                  <w:pPr>
                    <w:pStyle w:val="123"/>
                    <w:jc w:val="left"/>
                  </w:pPr>
                  <w:r>
                    <w:t>优先选用低噪声设备，合理布局高噪声设备，</w:t>
                  </w:r>
                  <w:r>
                    <w:rPr>
                      <w:rFonts w:hint="eastAsia"/>
                    </w:rPr>
                    <w:t>厂房</w:t>
                  </w:r>
                  <w:r>
                    <w:t>隔声等降噪措施。</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rPr>
                      <w:rFonts w:hint="eastAsia"/>
                    </w:rPr>
                    <w:t>固废防治措施</w:t>
                  </w:r>
                </w:p>
              </w:tc>
              <w:tc>
                <w:tcPr>
                  <w:tcW w:w="2887" w:type="pct"/>
                  <w:tcBorders>
                    <w:tl2br w:val="nil"/>
                    <w:tr2bl w:val="nil"/>
                  </w:tcBorders>
                  <w:vAlign w:val="center"/>
                </w:tcPr>
                <w:p>
                  <w:pPr>
                    <w:pStyle w:val="123"/>
                    <w:jc w:val="left"/>
                  </w:pPr>
                  <w:r>
                    <w:rPr>
                      <w:rFonts w:hint="eastAsia"/>
                    </w:rPr>
                    <w:t>一般</w:t>
                  </w:r>
                  <w:r>
                    <w:t>工业固废</w:t>
                  </w:r>
                  <w:r>
                    <w:rPr>
                      <w:rFonts w:hint="eastAsia"/>
                    </w:rPr>
                    <w:t>（占地面积40m</w:t>
                  </w:r>
                  <w:r>
                    <w:rPr>
                      <w:rFonts w:hint="eastAsia"/>
                      <w:vertAlign w:val="superscript"/>
                    </w:rPr>
                    <w:t>2</w:t>
                  </w:r>
                  <w:r>
                    <w:rPr>
                      <w:rFonts w:hint="eastAsia"/>
                    </w:rPr>
                    <w:t>）</w:t>
                  </w:r>
                  <w:r>
                    <w:t>：</w:t>
                  </w:r>
                  <w:r>
                    <w:rPr>
                      <w:rFonts w:hint="eastAsia"/>
                    </w:rPr>
                    <w:t>有利用价值的由废品回收站回收再利用；危废集中收集后由有资质单位回收处置（占地面积20m</w:t>
                  </w:r>
                  <w:r>
                    <w:rPr>
                      <w:rFonts w:hint="eastAsia"/>
                      <w:vertAlign w:val="superscript"/>
                    </w:rPr>
                    <w:t>2</w:t>
                  </w:r>
                  <w:r>
                    <w:rPr>
                      <w:rFonts w:hint="eastAsia"/>
                    </w:rPr>
                    <w:t>）</w:t>
                  </w:r>
                  <w:r>
                    <w:rPr>
                      <w:rFonts w:hint="eastAsia"/>
                      <w:lang w:eastAsia="zh-CN"/>
                    </w:rPr>
                    <w:t>，</w:t>
                  </w:r>
                  <w:r>
                    <w:rPr>
                      <w:rFonts w:hint="eastAsia"/>
                      <w:lang w:val="en-US" w:eastAsia="zh-CN"/>
                    </w:rPr>
                    <w:t>废油漆桶全部有盖子盖好</w:t>
                  </w:r>
                  <w:r>
                    <w:rPr>
                      <w:rFonts w:hint="eastAsia"/>
                    </w:rPr>
                    <w:t>。</w:t>
                  </w:r>
                </w:p>
              </w:tc>
              <w:tc>
                <w:tcPr>
                  <w:tcW w:w="571" w:type="pct"/>
                  <w:tcBorders>
                    <w:tl2br w:val="nil"/>
                    <w:tr2bl w:val="nil"/>
                  </w:tcBorders>
                  <w:vAlign w:val="center"/>
                </w:tcPr>
                <w:p>
                  <w:pPr>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tcBorders>
                    <w:tl2br w:val="nil"/>
                    <w:tr2bl w:val="nil"/>
                  </w:tcBorders>
                  <w:vAlign w:val="center"/>
                </w:tcPr>
                <w:p>
                  <w:pPr>
                    <w:pStyle w:val="123"/>
                  </w:pPr>
                </w:p>
              </w:tc>
              <w:tc>
                <w:tcPr>
                  <w:tcW w:w="1107" w:type="pct"/>
                  <w:gridSpan w:val="2"/>
                  <w:tcBorders>
                    <w:tl2br w:val="nil"/>
                    <w:tr2bl w:val="nil"/>
                  </w:tcBorders>
                  <w:vAlign w:val="center"/>
                </w:tcPr>
                <w:p>
                  <w:pPr>
                    <w:pStyle w:val="123"/>
                  </w:pPr>
                  <w:r>
                    <w:rPr>
                      <w:rFonts w:hint="eastAsia"/>
                    </w:rPr>
                    <w:t>风险防范</w:t>
                  </w:r>
                </w:p>
              </w:tc>
              <w:tc>
                <w:tcPr>
                  <w:tcW w:w="2887" w:type="pct"/>
                  <w:tcBorders>
                    <w:tl2br w:val="nil"/>
                    <w:tr2bl w:val="nil"/>
                  </w:tcBorders>
                  <w:vAlign w:val="center"/>
                </w:tcPr>
                <w:p>
                  <w:pPr>
                    <w:pStyle w:val="123"/>
                  </w:pPr>
                  <w:r>
                    <w:rPr>
                      <w:rFonts w:hint="eastAsia"/>
                    </w:rPr>
                    <w:t>加强对固废及危废的管理，建立台账管理制度。</w:t>
                  </w:r>
                </w:p>
              </w:tc>
              <w:tc>
                <w:tcPr>
                  <w:tcW w:w="571" w:type="pct"/>
                  <w:tcBorders>
                    <w:tl2br w:val="nil"/>
                    <w:tr2bl w:val="nil"/>
                  </w:tcBorders>
                  <w:vAlign w:val="center"/>
                </w:tcPr>
                <w:p>
                  <w:pPr>
                    <w:pStyle w:val="123"/>
                  </w:pPr>
                  <w:r>
                    <w:rPr>
                      <w:rFonts w:hint="eastAsia"/>
                    </w:rPr>
                    <w:t>新建</w:t>
                  </w:r>
                </w:p>
              </w:tc>
            </w:tr>
            <w:bookmarkEnd w:id="5"/>
          </w:tbl>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w:t>
            </w:r>
            <w:r>
              <w:rPr>
                <w:rFonts w:hint="eastAsia"/>
                <w:b/>
                <w:bCs/>
                <w:color w:val="000000" w:themeColor="text1"/>
                <w:sz w:val="24"/>
                <w14:textFill>
                  <w14:solidFill>
                    <w14:schemeClr w14:val="tx1"/>
                  </w14:solidFill>
                </w14:textFill>
              </w:rPr>
              <w:t>拟建</w:t>
            </w:r>
            <w:r>
              <w:rPr>
                <w:b/>
                <w:bCs/>
                <w:color w:val="000000" w:themeColor="text1"/>
                <w:sz w:val="24"/>
                <w14:textFill>
                  <w14:solidFill>
                    <w14:schemeClr w14:val="tx1"/>
                  </w14:solidFill>
                </w14:textFill>
              </w:rPr>
              <w:t>项目</w:t>
            </w:r>
            <w:r>
              <w:rPr>
                <w:rFonts w:hint="eastAsia"/>
                <w:b/>
                <w:bCs/>
                <w:color w:val="000000" w:themeColor="text1"/>
                <w:sz w:val="24"/>
                <w14:textFill>
                  <w14:solidFill>
                    <w14:schemeClr w14:val="tx1"/>
                  </w14:solidFill>
                </w14:textFill>
              </w:rPr>
              <w:t>生产规模</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本项目主要产品为室内门</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总产能为8万条</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项目产品方案见表2-</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p>
          <w:p>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表2-2  项目产品生产方案</w:t>
            </w:r>
          </w:p>
          <w:tbl>
            <w:tblPr>
              <w:tblStyle w:val="32"/>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59"/>
              <w:gridCol w:w="933"/>
              <w:gridCol w:w="1117"/>
              <w:gridCol w:w="1099"/>
              <w:gridCol w:w="1423"/>
              <w:gridCol w:w="1095"/>
              <w:gridCol w:w="20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9" w:type="dxa"/>
                  <w:vAlign w:val="center"/>
                </w:tcPr>
                <w:p>
                  <w:pPr>
                    <w:pStyle w:val="106"/>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933" w:type="dxa"/>
                  <w:vAlign w:val="center"/>
                </w:tcPr>
                <w:p>
                  <w:pPr>
                    <w:pStyle w:val="106"/>
                    <w:rPr>
                      <w:b/>
                      <w:bCs/>
                      <w:color w:val="000000" w:themeColor="text1"/>
                      <w14:textFill>
                        <w14:solidFill>
                          <w14:schemeClr w14:val="tx1"/>
                        </w14:solidFill>
                      </w14:textFill>
                    </w:rPr>
                  </w:pPr>
                  <w:r>
                    <w:rPr>
                      <w:b/>
                      <w:bCs/>
                      <w:color w:val="000000" w:themeColor="text1"/>
                      <w14:textFill>
                        <w14:solidFill>
                          <w14:schemeClr w14:val="tx1"/>
                        </w14:solidFill>
                      </w14:textFill>
                    </w:rPr>
                    <w:t>产品名称</w:t>
                  </w:r>
                </w:p>
              </w:tc>
              <w:tc>
                <w:tcPr>
                  <w:tcW w:w="1117" w:type="dxa"/>
                  <w:vAlign w:val="center"/>
                </w:tcPr>
                <w:p>
                  <w:pPr>
                    <w:pStyle w:val="10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类型</w:t>
                  </w:r>
                </w:p>
              </w:tc>
              <w:tc>
                <w:tcPr>
                  <w:tcW w:w="1099" w:type="dxa"/>
                  <w:vAlign w:val="center"/>
                </w:tcPr>
                <w:p>
                  <w:pPr>
                    <w:pStyle w:val="106"/>
                    <w:rPr>
                      <w:b/>
                      <w:bCs/>
                      <w:color w:val="000000" w:themeColor="text1"/>
                      <w14:textFill>
                        <w14:solidFill>
                          <w14:schemeClr w14:val="tx1"/>
                        </w14:solidFill>
                      </w14:textFill>
                    </w:rPr>
                  </w:pPr>
                  <w:r>
                    <w:rPr>
                      <w:b/>
                      <w:bCs/>
                      <w:color w:val="000000" w:themeColor="text1"/>
                      <w14:textFill>
                        <w14:solidFill>
                          <w14:schemeClr w14:val="tx1"/>
                        </w14:solidFill>
                      </w14:textFill>
                    </w:rPr>
                    <w:t>喷漆类型</w:t>
                  </w:r>
                </w:p>
              </w:tc>
              <w:tc>
                <w:tcPr>
                  <w:tcW w:w="1423" w:type="dxa"/>
                  <w:vAlign w:val="center"/>
                </w:tcPr>
                <w:p>
                  <w:pPr>
                    <w:pStyle w:val="106"/>
                    <w:rPr>
                      <w:b/>
                      <w:bCs/>
                      <w:color w:val="000000" w:themeColor="text1"/>
                      <w14:textFill>
                        <w14:solidFill>
                          <w14:schemeClr w14:val="tx1"/>
                        </w14:solidFill>
                      </w14:textFill>
                    </w:rPr>
                  </w:pPr>
                  <w:r>
                    <w:rPr>
                      <w:b/>
                      <w:bCs/>
                      <w:color w:val="000000" w:themeColor="text1"/>
                      <w14:textFill>
                        <w14:solidFill>
                          <w14:schemeClr w14:val="tx1"/>
                        </w14:solidFill>
                      </w14:textFill>
                    </w:rPr>
                    <w:t>喷漆面积m</w:t>
                  </w:r>
                  <w:r>
                    <w:rPr>
                      <w:b/>
                      <w:bCs/>
                      <w:color w:val="000000" w:themeColor="text1"/>
                      <w:vertAlign w:val="superscript"/>
                      <w14:textFill>
                        <w14:solidFill>
                          <w14:schemeClr w14:val="tx1"/>
                        </w14:solidFill>
                      </w14:textFill>
                    </w:rPr>
                    <w:t>2</w:t>
                  </w:r>
                </w:p>
              </w:tc>
              <w:tc>
                <w:tcPr>
                  <w:tcW w:w="1095" w:type="dxa"/>
                  <w:vAlign w:val="center"/>
                </w:tcPr>
                <w:p>
                  <w:pPr>
                    <w:pStyle w:val="106"/>
                    <w:rPr>
                      <w:b/>
                      <w:bCs/>
                      <w:color w:val="000000" w:themeColor="text1"/>
                      <w14:textFill>
                        <w14:solidFill>
                          <w14:schemeClr w14:val="tx1"/>
                        </w14:solidFill>
                      </w14:textFill>
                    </w:rPr>
                  </w:pPr>
                  <w:r>
                    <w:rPr>
                      <w:b/>
                      <w:bCs/>
                      <w:color w:val="000000" w:themeColor="text1"/>
                      <w14:textFill>
                        <w14:solidFill>
                          <w14:schemeClr w14:val="tx1"/>
                        </w14:solidFill>
                      </w14:textFill>
                    </w:rPr>
                    <w:t>数量（</w:t>
                  </w:r>
                  <w:r>
                    <w:rPr>
                      <w:rFonts w:hint="eastAsia"/>
                      <w:b/>
                      <w:bCs/>
                      <w:color w:val="000000" w:themeColor="text1"/>
                      <w:lang w:val="en-US" w:eastAsia="zh-CN"/>
                      <w14:textFill>
                        <w14:solidFill>
                          <w14:schemeClr w14:val="tx1"/>
                        </w14:solidFill>
                      </w14:textFill>
                    </w:rPr>
                    <w:t>条</w:t>
                  </w:r>
                  <w:r>
                    <w:rPr>
                      <w:b/>
                      <w:bCs/>
                      <w:color w:val="000000" w:themeColor="text1"/>
                      <w14:textFill>
                        <w14:solidFill>
                          <w14:schemeClr w14:val="tx1"/>
                        </w14:solidFill>
                      </w14:textFill>
                    </w:rPr>
                    <w:t>）</w:t>
                  </w:r>
                </w:p>
              </w:tc>
              <w:tc>
                <w:tcPr>
                  <w:tcW w:w="2055" w:type="dxa"/>
                  <w:vAlign w:val="center"/>
                </w:tcPr>
                <w:p>
                  <w:pPr>
                    <w:pStyle w:val="106"/>
                    <w:rPr>
                      <w:b/>
                      <w:bCs/>
                      <w:color w:val="000000" w:themeColor="text1"/>
                      <w14:textFill>
                        <w14:solidFill>
                          <w14:schemeClr w14:val="tx1"/>
                        </w14:solidFill>
                      </w14:textFill>
                    </w:rPr>
                  </w:pPr>
                  <w:r>
                    <w:rPr>
                      <w:b/>
                      <w:bCs/>
                      <w:color w:val="000000" w:themeColor="text1"/>
                      <w14:textFill>
                        <w14:solidFill>
                          <w14:schemeClr w14:val="tx1"/>
                        </w14:solidFill>
                      </w14:textFill>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9" w:type="dxa"/>
                  <w:vAlign w:val="center"/>
                </w:tcPr>
                <w:p>
                  <w:pPr>
                    <w:pStyle w:val="106"/>
                    <w:rPr>
                      <w:color w:val="000000" w:themeColor="text1"/>
                      <w14:textFill>
                        <w14:solidFill>
                          <w14:schemeClr w14:val="tx1"/>
                        </w14:solidFill>
                      </w14:textFill>
                    </w:rPr>
                  </w:pPr>
                  <w:r>
                    <w:rPr>
                      <w:color w:val="000000" w:themeColor="text1"/>
                      <w14:textFill>
                        <w14:solidFill>
                          <w14:schemeClr w14:val="tx1"/>
                        </w14:solidFill>
                      </w14:textFill>
                    </w:rPr>
                    <w:t>1</w:t>
                  </w:r>
                </w:p>
              </w:tc>
              <w:tc>
                <w:tcPr>
                  <w:tcW w:w="933" w:type="dxa"/>
                  <w:vMerge w:val="restar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木门</w:t>
                  </w:r>
                </w:p>
              </w:tc>
              <w:tc>
                <w:tcPr>
                  <w:tcW w:w="1117"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室内门</w:t>
                  </w:r>
                </w:p>
              </w:tc>
              <w:tc>
                <w:tcPr>
                  <w:tcW w:w="1099" w:type="dxa"/>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油性漆</w:t>
                  </w:r>
                </w:p>
              </w:tc>
              <w:tc>
                <w:tcPr>
                  <w:tcW w:w="1423"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4.5</w:t>
                  </w:r>
                </w:p>
              </w:tc>
              <w:tc>
                <w:tcPr>
                  <w:tcW w:w="1095"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1000</w:t>
                  </w:r>
                </w:p>
              </w:tc>
              <w:tc>
                <w:tcPr>
                  <w:tcW w:w="2055" w:type="dxa"/>
                  <w:vAlign w:val="center"/>
                </w:tcPr>
                <w:p>
                  <w:pPr>
                    <w:widowControl/>
                    <w:jc w:val="center"/>
                    <w:textAlignment w:val="center"/>
                    <w:rPr>
                      <w:color w:val="000000" w:themeColor="text1"/>
                      <w:kern w:val="0"/>
                      <w:sz w:val="22"/>
                      <w:szCs w:val="22"/>
                      <w:lang w:bidi="ar"/>
                      <w14:textFill>
                        <w14:solidFill>
                          <w14:schemeClr w14:val="tx1"/>
                        </w14:solidFill>
                      </w14:textFill>
                    </w:rPr>
                  </w:pPr>
                  <w:r>
                    <w:rPr>
                      <w:rFonts w:hint="eastAsia"/>
                      <w:color w:val="000000" w:themeColor="text1"/>
                      <w:kern w:val="0"/>
                      <w:sz w:val="22"/>
                      <w:szCs w:val="22"/>
                      <w:lang w:bidi="ar"/>
                      <w14:textFill>
                        <w14:solidFill>
                          <w14:schemeClr w14:val="tx1"/>
                        </w14:solidFill>
                      </w14:textFill>
                    </w:rPr>
                    <w:t>包括门板和门框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9" w:type="dxa"/>
                  <w:vAlign w:val="center"/>
                </w:tcPr>
                <w:p>
                  <w:pPr>
                    <w:pStyle w:val="106"/>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933" w:type="dxa"/>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1117"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室内门</w:t>
                  </w:r>
                </w:p>
              </w:tc>
              <w:tc>
                <w:tcPr>
                  <w:tcW w:w="1099" w:type="dxa"/>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水性漆</w:t>
                  </w:r>
                </w:p>
              </w:tc>
              <w:tc>
                <w:tcPr>
                  <w:tcW w:w="1423"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4.5</w:t>
                  </w:r>
                </w:p>
              </w:tc>
              <w:tc>
                <w:tcPr>
                  <w:tcW w:w="1095"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9000</w:t>
                  </w:r>
                </w:p>
              </w:tc>
              <w:tc>
                <w:tcPr>
                  <w:tcW w:w="2055" w:type="dxa"/>
                  <w:vAlign w:val="center"/>
                </w:tcPr>
                <w:p>
                  <w:pPr>
                    <w:widowControl/>
                    <w:jc w:val="center"/>
                    <w:textAlignment w:val="center"/>
                    <w:rPr>
                      <w:color w:val="000000" w:themeColor="text1"/>
                      <w:kern w:val="0"/>
                      <w:sz w:val="22"/>
                      <w:szCs w:val="22"/>
                      <w:lang w:bidi="ar"/>
                      <w14:textFill>
                        <w14:solidFill>
                          <w14:schemeClr w14:val="tx1"/>
                        </w14:solidFill>
                      </w14:textFill>
                    </w:rPr>
                  </w:pPr>
                  <w:r>
                    <w:rPr>
                      <w:rFonts w:hint="eastAsia"/>
                      <w:color w:val="000000" w:themeColor="text1"/>
                      <w:kern w:val="0"/>
                      <w:sz w:val="22"/>
                      <w:szCs w:val="22"/>
                      <w:lang w:bidi="ar"/>
                      <w14:textFill>
                        <w14:solidFill>
                          <w14:schemeClr w14:val="tx1"/>
                        </w14:solidFill>
                      </w14:textFill>
                    </w:rPr>
                    <w:t>包括门板和门框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0" w:hRule="atLeast"/>
                <w:tblHeader/>
                <w:jc w:val="center"/>
              </w:trPr>
              <w:tc>
                <w:tcPr>
                  <w:tcW w:w="659" w:type="dxa"/>
                  <w:vAlign w:val="center"/>
                </w:tcPr>
                <w:p>
                  <w:pPr>
                    <w:pStyle w:val="106"/>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933" w:type="dxa"/>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1117"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室内门</w:t>
                  </w:r>
                </w:p>
              </w:tc>
              <w:tc>
                <w:tcPr>
                  <w:tcW w:w="1099"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免漆门</w:t>
                  </w:r>
                </w:p>
              </w:tc>
              <w:tc>
                <w:tcPr>
                  <w:tcW w:w="1423"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095"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20000</w:t>
                  </w:r>
                </w:p>
              </w:tc>
              <w:tc>
                <w:tcPr>
                  <w:tcW w:w="2055" w:type="dxa"/>
                  <w:vAlign w:val="center"/>
                </w:tcPr>
                <w:p>
                  <w:pPr>
                    <w:widowControl/>
                    <w:jc w:val="center"/>
                    <w:textAlignment w:val="center"/>
                    <w:rPr>
                      <w:color w:val="000000" w:themeColor="text1"/>
                      <w:kern w:val="0"/>
                      <w:sz w:val="22"/>
                      <w:szCs w:val="22"/>
                      <w:lang w:bidi="ar"/>
                      <w14:textFill>
                        <w14:solidFill>
                          <w14:schemeClr w14:val="tx1"/>
                        </w14:solidFill>
                      </w14:textFill>
                    </w:rPr>
                  </w:pPr>
                  <w:r>
                    <w:rPr>
                      <w:rFonts w:hint="eastAsia"/>
                      <w:color w:val="000000" w:themeColor="text1"/>
                      <w:kern w:val="0"/>
                      <w:sz w:val="22"/>
                      <w:szCs w:val="22"/>
                      <w:lang w:bidi="ar"/>
                      <w14:textFill>
                        <w14:solidFill>
                          <w14:schemeClr w14:val="tx1"/>
                        </w14:solidFill>
                      </w14:textFill>
                    </w:rPr>
                    <w:t>包括门板和门框，表面为PVC贴面板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9" w:type="dxa"/>
                  <w:vAlign w:val="center"/>
                </w:tcPr>
                <w:p>
                  <w:pPr>
                    <w:pStyle w:val="106"/>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933"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金属门</w:t>
                  </w:r>
                </w:p>
              </w:tc>
              <w:tc>
                <w:tcPr>
                  <w:tcW w:w="1117"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室内门</w:t>
                  </w:r>
                </w:p>
              </w:tc>
              <w:tc>
                <w:tcPr>
                  <w:tcW w:w="1099"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免喷涂</w:t>
                  </w:r>
                </w:p>
              </w:tc>
              <w:tc>
                <w:tcPr>
                  <w:tcW w:w="1423"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095"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50000</w:t>
                  </w:r>
                </w:p>
              </w:tc>
              <w:tc>
                <w:tcPr>
                  <w:tcW w:w="2055" w:type="dxa"/>
                  <w:vAlign w:val="center"/>
                </w:tcPr>
                <w:p>
                  <w:pPr>
                    <w:widowControl/>
                    <w:jc w:val="center"/>
                    <w:textAlignment w:val="center"/>
                    <w:rPr>
                      <w:color w:val="000000" w:themeColor="text1"/>
                      <w:kern w:val="0"/>
                      <w:sz w:val="22"/>
                      <w:szCs w:val="22"/>
                      <w:lang w:bidi="ar"/>
                      <w14:textFill>
                        <w14:solidFill>
                          <w14:schemeClr w14:val="tx1"/>
                        </w14:solidFill>
                      </w14:textFill>
                    </w:rPr>
                  </w:pPr>
                  <w:r>
                    <w:rPr>
                      <w:rFonts w:hint="eastAsia"/>
                      <w:color w:val="000000" w:themeColor="text1"/>
                      <w:kern w:val="0"/>
                      <w:sz w:val="22"/>
                      <w:szCs w:val="22"/>
                      <w:lang w:bidi="ar"/>
                      <w14:textFill>
                        <w14:solidFill>
                          <w14:schemeClr w14:val="tx1"/>
                        </w14:solidFill>
                      </w14:textFill>
                    </w:rPr>
                    <w:t>纯组装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231" w:type="dxa"/>
                  <w:gridSpan w:val="5"/>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合计</w:t>
                  </w:r>
                </w:p>
              </w:tc>
              <w:tc>
                <w:tcPr>
                  <w:tcW w:w="1095" w:type="dxa"/>
                  <w:vAlign w:val="center"/>
                </w:tcPr>
                <w:p>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80000</w:t>
                  </w:r>
                </w:p>
              </w:tc>
              <w:tc>
                <w:tcPr>
                  <w:tcW w:w="2055" w:type="dxa"/>
                  <w:vAlign w:val="center"/>
                </w:tcPr>
                <w:p>
                  <w:pPr>
                    <w:widowControl/>
                    <w:jc w:val="center"/>
                    <w:textAlignment w:val="center"/>
                    <w:rPr>
                      <w:rFonts w:hint="eastAsia" w:eastAsia="宋体"/>
                      <w:color w:val="000000" w:themeColor="text1"/>
                      <w:kern w:val="0"/>
                      <w:sz w:val="22"/>
                      <w:szCs w:val="22"/>
                      <w:lang w:val="en-US" w:eastAsia="zh-CN" w:bidi="ar"/>
                      <w14:textFill>
                        <w14:solidFill>
                          <w14:schemeClr w14:val="tx1"/>
                        </w14:solidFill>
                      </w14:textFill>
                    </w:rPr>
                  </w:pPr>
                  <w:r>
                    <w:rPr>
                      <w:rFonts w:hint="eastAsia"/>
                      <w:color w:val="000000" w:themeColor="text1"/>
                      <w:kern w:val="0"/>
                      <w:sz w:val="22"/>
                      <w:szCs w:val="22"/>
                      <w:lang w:val="en-US" w:eastAsia="zh-CN" w:bidi="ar"/>
                      <w14:textFill>
                        <w14:solidFill>
                          <w14:schemeClr w14:val="tx1"/>
                        </w14:solidFill>
                      </w14:textFill>
                    </w:rPr>
                    <w:t>/</w:t>
                  </w:r>
                </w:p>
              </w:tc>
            </w:tr>
          </w:tbl>
          <w:p>
            <w:pPr>
              <w:spacing w:line="360" w:lineRule="auto"/>
              <w:ind w:firstLine="480" w:firstLineChars="2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产能核算：</w:t>
            </w:r>
          </w:p>
          <w:p>
            <w:pPr>
              <w:spacing w:line="360" w:lineRule="auto"/>
              <w:ind w:firstLine="480" w:firstLineChars="2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喷底漆房底漆喷漆根据不同型号的门，不同油漆工作时间不等，油性漆喷涂时间从15-25min/条不等，水性漆喷涂从25-40min不等，本次计算取中间值，30min/条，本项目设置1个底漆喷涂房，每次可同时喷涂2件，计算可得，每天可喷涂32条，年喷涂约9600条，加上不可预见等情形，本次论证向上取整，按1万条喷涂规模计算产排污，根据企业生产经验，油性漆喷涂约占喷涂产品的十分之一，因此确定本项目产能如上表所示。</w:t>
            </w:r>
          </w:p>
          <w:p>
            <w:pPr>
              <w:spacing w:line="360" w:lineRule="auto"/>
              <w:rPr>
                <w:b/>
                <w:bCs/>
                <w:sz w:val="24"/>
              </w:rPr>
            </w:pPr>
            <w:r>
              <w:rPr>
                <w:rFonts w:hint="eastAsia"/>
                <w:b/>
                <w:bCs/>
                <w:sz w:val="24"/>
              </w:rPr>
              <w:t>5</w:t>
            </w:r>
            <w:r>
              <w:rPr>
                <w:b/>
                <w:bCs/>
                <w:sz w:val="24"/>
              </w:rPr>
              <w:t>、</w:t>
            </w:r>
            <w:r>
              <w:rPr>
                <w:rFonts w:hint="eastAsia"/>
                <w:b/>
                <w:bCs/>
                <w:sz w:val="24"/>
              </w:rPr>
              <w:t>拟建</w:t>
            </w:r>
            <w:r>
              <w:rPr>
                <w:b/>
                <w:bCs/>
                <w:sz w:val="24"/>
              </w:rPr>
              <w:t>项目主要生产设施</w:t>
            </w:r>
          </w:p>
          <w:p>
            <w:pPr>
              <w:spacing w:line="360" w:lineRule="auto"/>
              <w:ind w:firstLine="480" w:firstLineChars="200"/>
              <w:rPr>
                <w:sz w:val="24"/>
              </w:rPr>
            </w:pPr>
            <w:r>
              <w:rPr>
                <w:rFonts w:hint="eastAsia"/>
                <w:sz w:val="24"/>
              </w:rPr>
              <w:t>拟建</w:t>
            </w:r>
            <w:r>
              <w:rPr>
                <w:sz w:val="24"/>
              </w:rPr>
              <w:t>主要生产设施见下表：</w:t>
            </w:r>
          </w:p>
          <w:p>
            <w:pPr>
              <w:widowControl/>
              <w:jc w:val="center"/>
              <w:rPr>
                <w:b/>
                <w:bCs/>
                <w:szCs w:val="21"/>
              </w:rPr>
            </w:pPr>
            <w:r>
              <w:rPr>
                <w:b/>
                <w:bCs/>
                <w:szCs w:val="21"/>
              </w:rPr>
              <w:t>表2-</w:t>
            </w:r>
            <w:r>
              <w:rPr>
                <w:rFonts w:hint="eastAsia"/>
                <w:b/>
                <w:bCs/>
                <w:szCs w:val="21"/>
              </w:rPr>
              <w:t>3</w:t>
            </w:r>
            <w:r>
              <w:rPr>
                <w:b/>
                <w:bCs/>
                <w:szCs w:val="21"/>
              </w:rPr>
              <w:t xml:space="preserve">  </w:t>
            </w:r>
            <w:r>
              <w:rPr>
                <w:rFonts w:hint="eastAsia"/>
                <w:b/>
                <w:bCs/>
                <w:szCs w:val="21"/>
              </w:rPr>
              <w:t>拟建项目</w:t>
            </w:r>
            <w:r>
              <w:rPr>
                <w:b/>
                <w:bCs/>
                <w:szCs w:val="21"/>
              </w:rPr>
              <w:t>主要生产设施</w:t>
            </w:r>
            <w:r>
              <w:rPr>
                <w:rFonts w:hint="eastAsia"/>
                <w:b/>
                <w:bCs/>
                <w:szCs w:val="21"/>
              </w:rPr>
              <w:t>一览</w:t>
            </w:r>
            <w:r>
              <w:rPr>
                <w:b/>
                <w:bCs/>
                <w:szCs w:val="21"/>
              </w:rPr>
              <w:t>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1906"/>
              <w:gridCol w:w="2616"/>
              <w:gridCol w:w="1018"/>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7" w:type="dxa"/>
                  <w:vAlign w:val="center"/>
                </w:tcPr>
                <w:p>
                  <w:pPr>
                    <w:jc w:val="center"/>
                  </w:pPr>
                  <w:r>
                    <w:rPr>
                      <w:rFonts w:hint="eastAsia"/>
                    </w:rPr>
                    <w:t>序号</w:t>
                  </w:r>
                </w:p>
              </w:tc>
              <w:tc>
                <w:tcPr>
                  <w:tcW w:w="1906" w:type="dxa"/>
                  <w:vAlign w:val="center"/>
                </w:tcPr>
                <w:p>
                  <w:pPr>
                    <w:jc w:val="center"/>
                  </w:pPr>
                  <w:r>
                    <w:rPr>
                      <w:rFonts w:hint="eastAsia"/>
                    </w:rPr>
                    <w:t>设备名称</w:t>
                  </w:r>
                </w:p>
              </w:tc>
              <w:tc>
                <w:tcPr>
                  <w:tcW w:w="2616" w:type="dxa"/>
                  <w:vAlign w:val="center"/>
                </w:tcPr>
                <w:p>
                  <w:pPr>
                    <w:jc w:val="center"/>
                  </w:pPr>
                  <w:r>
                    <w:rPr>
                      <w:rFonts w:hint="eastAsia"/>
                    </w:rPr>
                    <w:t>型号</w:t>
                  </w:r>
                </w:p>
              </w:tc>
              <w:tc>
                <w:tcPr>
                  <w:tcW w:w="1018" w:type="dxa"/>
                  <w:vAlign w:val="center"/>
                </w:tcPr>
                <w:p>
                  <w:pPr>
                    <w:jc w:val="center"/>
                  </w:pPr>
                  <w:r>
                    <w:rPr>
                      <w:rFonts w:hint="eastAsia"/>
                    </w:rPr>
                    <w:t>数量</w:t>
                  </w:r>
                </w:p>
              </w:tc>
              <w:tc>
                <w:tcPr>
                  <w:tcW w:w="1803"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1</w:t>
                  </w:r>
                </w:p>
              </w:tc>
              <w:tc>
                <w:tcPr>
                  <w:tcW w:w="1906" w:type="dxa"/>
                  <w:vAlign w:val="center"/>
                </w:tcPr>
                <w:p>
                  <w:pPr>
                    <w:jc w:val="center"/>
                  </w:pPr>
                  <w:r>
                    <w:t>数控裁板机</w:t>
                  </w:r>
                </w:p>
              </w:tc>
              <w:tc>
                <w:tcPr>
                  <w:tcW w:w="2616" w:type="dxa"/>
                  <w:vAlign w:val="center"/>
                </w:tcPr>
                <w:p>
                  <w:pPr>
                    <w:jc w:val="center"/>
                  </w:pPr>
                  <w:r>
                    <w:t>KS-829P</w:t>
                  </w:r>
                </w:p>
              </w:tc>
              <w:tc>
                <w:tcPr>
                  <w:tcW w:w="1018" w:type="dxa"/>
                  <w:vAlign w:val="center"/>
                </w:tcPr>
                <w:p>
                  <w:pPr>
                    <w:jc w:val="center"/>
                  </w:pPr>
                  <w:r>
                    <w:rPr>
                      <w:rFonts w:hint="eastAsia"/>
                    </w:rPr>
                    <w:t>5台</w:t>
                  </w:r>
                </w:p>
              </w:tc>
              <w:tc>
                <w:tcPr>
                  <w:tcW w:w="1803" w:type="dxa"/>
                  <w:vAlign w:val="center"/>
                </w:tcPr>
                <w:p>
                  <w:pPr>
                    <w:jc w:val="center"/>
                  </w:pPr>
                  <w:r>
                    <w:rPr>
                      <w:rFonts w:hint="eastAsia"/>
                    </w:rPr>
                    <w:t>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2</w:t>
                  </w:r>
                </w:p>
              </w:tc>
              <w:tc>
                <w:tcPr>
                  <w:tcW w:w="1906" w:type="dxa"/>
                  <w:vAlign w:val="center"/>
                </w:tcPr>
                <w:p>
                  <w:pPr>
                    <w:jc w:val="center"/>
                  </w:pPr>
                  <w:r>
                    <w:rPr>
                      <w:rFonts w:hint="eastAsia"/>
                    </w:rPr>
                    <w:t>封边机</w:t>
                  </w:r>
                </w:p>
              </w:tc>
              <w:tc>
                <w:tcPr>
                  <w:tcW w:w="2616" w:type="dxa"/>
                  <w:vAlign w:val="center"/>
                </w:tcPr>
                <w:p>
                  <w:pPr>
                    <w:jc w:val="center"/>
                  </w:pPr>
                  <w:r>
                    <w:t>KE-368F</w:t>
                  </w:r>
                  <w:r>
                    <w:rPr>
                      <w:rFonts w:hint="eastAsia"/>
                    </w:rPr>
                    <w:t>/MF-1504E</w:t>
                  </w:r>
                </w:p>
              </w:tc>
              <w:tc>
                <w:tcPr>
                  <w:tcW w:w="1018" w:type="dxa"/>
                  <w:vAlign w:val="center"/>
                </w:tcPr>
                <w:p>
                  <w:pPr>
                    <w:jc w:val="center"/>
                  </w:pPr>
                  <w:r>
                    <w:rPr>
                      <w:rFonts w:hint="eastAsia"/>
                    </w:rPr>
                    <w:t>15台</w:t>
                  </w:r>
                </w:p>
              </w:tc>
              <w:tc>
                <w:tcPr>
                  <w:tcW w:w="1803" w:type="dxa"/>
                  <w:vAlign w:val="center"/>
                </w:tcPr>
                <w:p>
                  <w:pPr>
                    <w:jc w:val="center"/>
                  </w:pPr>
                  <w:r>
                    <w:rPr>
                      <w:rFonts w:hint="eastAsia"/>
                    </w:rPr>
                    <w:t>涂胶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3</w:t>
                  </w:r>
                </w:p>
              </w:tc>
              <w:tc>
                <w:tcPr>
                  <w:tcW w:w="1906" w:type="dxa"/>
                  <w:vAlign w:val="center"/>
                </w:tcPr>
                <w:p>
                  <w:pPr>
                    <w:jc w:val="center"/>
                  </w:pPr>
                  <w:r>
                    <w:t>四边锯</w:t>
                  </w:r>
                </w:p>
              </w:tc>
              <w:tc>
                <w:tcPr>
                  <w:tcW w:w="2616" w:type="dxa"/>
                  <w:vAlign w:val="center"/>
                </w:tcPr>
                <w:p>
                  <w:pPr>
                    <w:jc w:val="center"/>
                  </w:pPr>
                  <w:r>
                    <w:t>MJ6425IV</w:t>
                  </w:r>
                </w:p>
              </w:tc>
              <w:tc>
                <w:tcPr>
                  <w:tcW w:w="1018" w:type="dxa"/>
                  <w:vAlign w:val="center"/>
                </w:tcPr>
                <w:p>
                  <w:pPr>
                    <w:jc w:val="center"/>
                  </w:pPr>
                  <w:r>
                    <w:rPr>
                      <w:rFonts w:hint="eastAsia"/>
                    </w:rPr>
                    <w:t>2台</w:t>
                  </w:r>
                </w:p>
              </w:tc>
              <w:tc>
                <w:tcPr>
                  <w:tcW w:w="1803" w:type="dxa"/>
                  <w:vAlign w:val="center"/>
                </w:tcPr>
                <w:p>
                  <w:pPr>
                    <w:jc w:val="center"/>
                  </w:pPr>
                  <w:r>
                    <w:rPr>
                      <w:rFonts w:hint="eastAsia"/>
                    </w:rPr>
                    <w:t>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4</w:t>
                  </w:r>
                </w:p>
              </w:tc>
              <w:tc>
                <w:tcPr>
                  <w:tcW w:w="1906" w:type="dxa"/>
                  <w:vAlign w:val="center"/>
                </w:tcPr>
                <w:p>
                  <w:pPr>
                    <w:jc w:val="center"/>
                  </w:pPr>
                  <w:r>
                    <w:t>数控门锁合页机</w:t>
                  </w:r>
                </w:p>
              </w:tc>
              <w:tc>
                <w:tcPr>
                  <w:tcW w:w="2616" w:type="dxa"/>
                  <w:vAlign w:val="center"/>
                </w:tcPr>
                <w:p>
                  <w:pPr>
                    <w:jc w:val="center"/>
                  </w:pPr>
                  <w:r>
                    <w:rPr>
                      <w:rFonts w:hint="eastAsia"/>
                    </w:rPr>
                    <w:t>MS-61418D/CNC2400-6</w:t>
                  </w:r>
                </w:p>
              </w:tc>
              <w:tc>
                <w:tcPr>
                  <w:tcW w:w="1018" w:type="dxa"/>
                  <w:vAlign w:val="center"/>
                </w:tcPr>
                <w:p>
                  <w:pPr>
                    <w:jc w:val="center"/>
                  </w:pPr>
                  <w:r>
                    <w:rPr>
                      <w:rFonts w:hint="eastAsia"/>
                    </w:rPr>
                    <w:t>11台</w:t>
                  </w:r>
                </w:p>
              </w:tc>
              <w:tc>
                <w:tcPr>
                  <w:tcW w:w="1803" w:type="dxa"/>
                  <w:vAlign w:val="center"/>
                </w:tcPr>
                <w:p>
                  <w:pPr>
                    <w:jc w:val="center"/>
                  </w:pPr>
                  <w:r>
                    <w:rPr>
                      <w:rFonts w:hint="eastAsia"/>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7" w:type="dxa"/>
                  <w:vAlign w:val="center"/>
                </w:tcPr>
                <w:p>
                  <w:pPr>
                    <w:jc w:val="center"/>
                  </w:pPr>
                  <w:r>
                    <w:rPr>
                      <w:rFonts w:hint="eastAsia"/>
                    </w:rPr>
                    <w:t>5</w:t>
                  </w:r>
                </w:p>
              </w:tc>
              <w:tc>
                <w:tcPr>
                  <w:tcW w:w="1906" w:type="dxa"/>
                  <w:vAlign w:val="center"/>
                </w:tcPr>
                <w:p>
                  <w:pPr>
                    <w:jc w:val="center"/>
                  </w:pPr>
                  <w:r>
                    <w:rPr>
                      <w:rFonts w:hint="eastAsia"/>
                    </w:rPr>
                    <w:t>雕刻机</w:t>
                  </w:r>
                </w:p>
              </w:tc>
              <w:tc>
                <w:tcPr>
                  <w:tcW w:w="2616" w:type="dxa"/>
                  <w:vAlign w:val="center"/>
                </w:tcPr>
                <w:p>
                  <w:pPr>
                    <w:jc w:val="center"/>
                  </w:pPr>
                  <w:r>
                    <w:t>KN-2418B</w:t>
                  </w:r>
                </w:p>
              </w:tc>
              <w:tc>
                <w:tcPr>
                  <w:tcW w:w="1018" w:type="dxa"/>
                  <w:vAlign w:val="center"/>
                </w:tcPr>
                <w:p>
                  <w:pPr>
                    <w:jc w:val="center"/>
                  </w:pPr>
                  <w:r>
                    <w:rPr>
                      <w:rFonts w:hint="eastAsia"/>
                    </w:rPr>
                    <w:t>5台</w:t>
                  </w:r>
                </w:p>
              </w:tc>
              <w:tc>
                <w:tcPr>
                  <w:tcW w:w="1803" w:type="dxa"/>
                  <w:vAlign w:val="center"/>
                </w:tcPr>
                <w:p>
                  <w:pPr>
                    <w:jc w:val="center"/>
                  </w:pPr>
                  <w:r>
                    <w:rPr>
                      <w:rFonts w:hint="eastAsia"/>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6</w:t>
                  </w:r>
                </w:p>
              </w:tc>
              <w:tc>
                <w:tcPr>
                  <w:tcW w:w="1906" w:type="dxa"/>
                  <w:vAlign w:val="center"/>
                </w:tcPr>
                <w:p>
                  <w:pPr>
                    <w:jc w:val="center"/>
                  </w:pPr>
                  <w:r>
                    <w:t>万能摇臂式圆锯机</w:t>
                  </w:r>
                </w:p>
              </w:tc>
              <w:tc>
                <w:tcPr>
                  <w:tcW w:w="2616" w:type="dxa"/>
                  <w:vAlign w:val="center"/>
                </w:tcPr>
                <w:p>
                  <w:pPr>
                    <w:jc w:val="center"/>
                  </w:pPr>
                  <w:r>
                    <w:t>MJ640</w:t>
                  </w:r>
                  <w:r>
                    <w:rPr>
                      <w:rFonts w:hint="eastAsia"/>
                    </w:rPr>
                    <w:t>/MJ2238</w:t>
                  </w:r>
                </w:p>
              </w:tc>
              <w:tc>
                <w:tcPr>
                  <w:tcW w:w="1018" w:type="dxa"/>
                  <w:vAlign w:val="center"/>
                </w:tcPr>
                <w:p>
                  <w:pPr>
                    <w:jc w:val="center"/>
                  </w:pPr>
                  <w:r>
                    <w:rPr>
                      <w:rFonts w:hint="eastAsia"/>
                    </w:rPr>
                    <w:t>8台</w:t>
                  </w:r>
                </w:p>
              </w:tc>
              <w:tc>
                <w:tcPr>
                  <w:tcW w:w="1803" w:type="dxa"/>
                  <w:vAlign w:val="center"/>
                </w:tcPr>
                <w:p>
                  <w:pPr>
                    <w:jc w:val="center"/>
                  </w:pPr>
                  <w:r>
                    <w:rPr>
                      <w:rFonts w:hint="eastAsia"/>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7</w:t>
                  </w:r>
                </w:p>
              </w:tc>
              <w:tc>
                <w:tcPr>
                  <w:tcW w:w="1906" w:type="dxa"/>
                  <w:vAlign w:val="center"/>
                </w:tcPr>
                <w:p>
                  <w:pPr>
                    <w:jc w:val="center"/>
                  </w:pPr>
                  <w:r>
                    <w:rPr>
                      <w:rFonts w:hint="eastAsia"/>
                    </w:rPr>
                    <w:t>推台锯</w:t>
                  </w:r>
                </w:p>
              </w:tc>
              <w:tc>
                <w:tcPr>
                  <w:tcW w:w="2616" w:type="dxa"/>
                  <w:vAlign w:val="center"/>
                </w:tcPr>
                <w:p>
                  <w:pPr>
                    <w:jc w:val="center"/>
                  </w:pPr>
                  <w:r>
                    <w:rPr>
                      <w:rFonts w:hint="eastAsia"/>
                    </w:rPr>
                    <w:t>KS-132</w:t>
                  </w:r>
                </w:p>
              </w:tc>
              <w:tc>
                <w:tcPr>
                  <w:tcW w:w="1018" w:type="dxa"/>
                  <w:vAlign w:val="center"/>
                </w:tcPr>
                <w:p>
                  <w:pPr>
                    <w:jc w:val="center"/>
                  </w:pPr>
                  <w:r>
                    <w:rPr>
                      <w:rFonts w:hint="eastAsia"/>
                    </w:rPr>
                    <w:t>3台</w:t>
                  </w:r>
                </w:p>
              </w:tc>
              <w:tc>
                <w:tcPr>
                  <w:tcW w:w="1803" w:type="dxa"/>
                  <w:vAlign w:val="center"/>
                </w:tcPr>
                <w:p>
                  <w:pPr>
                    <w:jc w:val="center"/>
                  </w:pPr>
                  <w:r>
                    <w:rPr>
                      <w:rFonts w:hint="eastAsia"/>
                    </w:rPr>
                    <w:t>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7" w:type="dxa"/>
                  <w:vAlign w:val="center"/>
                </w:tcPr>
                <w:p>
                  <w:pPr>
                    <w:jc w:val="center"/>
                  </w:pPr>
                  <w:r>
                    <w:rPr>
                      <w:rFonts w:hint="eastAsia"/>
                    </w:rPr>
                    <w:t>8</w:t>
                  </w:r>
                </w:p>
              </w:tc>
              <w:tc>
                <w:tcPr>
                  <w:tcW w:w="1906" w:type="dxa"/>
                  <w:vAlign w:val="center"/>
                </w:tcPr>
                <w:p>
                  <w:pPr>
                    <w:jc w:val="center"/>
                  </w:pPr>
                  <w:r>
                    <w:rPr>
                      <w:rFonts w:hint="eastAsia"/>
                    </w:rPr>
                    <w:t>冷压机</w:t>
                  </w:r>
                </w:p>
              </w:tc>
              <w:tc>
                <w:tcPr>
                  <w:tcW w:w="2616" w:type="dxa"/>
                  <w:vAlign w:val="center"/>
                </w:tcPr>
                <w:p>
                  <w:pPr>
                    <w:jc w:val="center"/>
                  </w:pPr>
                  <w:r>
                    <w:rPr>
                      <w:rFonts w:hint="eastAsia"/>
                    </w:rPr>
                    <w:t>/</w:t>
                  </w:r>
                </w:p>
              </w:tc>
              <w:tc>
                <w:tcPr>
                  <w:tcW w:w="1018" w:type="dxa"/>
                  <w:vAlign w:val="center"/>
                </w:tcPr>
                <w:p>
                  <w:pPr>
                    <w:jc w:val="center"/>
                  </w:pPr>
                  <w:r>
                    <w:rPr>
                      <w:rFonts w:hint="eastAsia"/>
                    </w:rPr>
                    <w:t>8台</w:t>
                  </w:r>
                </w:p>
              </w:tc>
              <w:tc>
                <w:tcPr>
                  <w:tcW w:w="1803" w:type="dxa"/>
                  <w:vAlign w:val="center"/>
                </w:tcPr>
                <w:p>
                  <w:pPr>
                    <w:jc w:val="center"/>
                  </w:pPr>
                  <w:r>
                    <w:rPr>
                      <w:rFonts w:hint="eastAsia"/>
                    </w:rPr>
                    <w:t>冷压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9</w:t>
                  </w:r>
                </w:p>
              </w:tc>
              <w:tc>
                <w:tcPr>
                  <w:tcW w:w="1906" w:type="dxa"/>
                  <w:vAlign w:val="center"/>
                </w:tcPr>
                <w:p>
                  <w:pPr>
                    <w:jc w:val="center"/>
                  </w:pPr>
                  <w:r>
                    <w:rPr>
                      <w:rFonts w:hint="eastAsia"/>
                    </w:rPr>
                    <w:t>热压机</w:t>
                  </w:r>
                </w:p>
              </w:tc>
              <w:tc>
                <w:tcPr>
                  <w:tcW w:w="2616" w:type="dxa"/>
                  <w:vAlign w:val="center"/>
                </w:tcPr>
                <w:p>
                  <w:pPr>
                    <w:jc w:val="center"/>
                  </w:pPr>
                  <w:r>
                    <w:rPr>
                      <w:rFonts w:hint="eastAsia"/>
                    </w:rPr>
                    <w:t>/</w:t>
                  </w:r>
                </w:p>
              </w:tc>
              <w:tc>
                <w:tcPr>
                  <w:tcW w:w="1018" w:type="dxa"/>
                  <w:vAlign w:val="center"/>
                </w:tcPr>
                <w:p>
                  <w:pPr>
                    <w:jc w:val="center"/>
                  </w:pPr>
                  <w:r>
                    <w:rPr>
                      <w:rFonts w:hint="eastAsia"/>
                    </w:rPr>
                    <w:t>2台</w:t>
                  </w:r>
                </w:p>
              </w:tc>
              <w:tc>
                <w:tcPr>
                  <w:tcW w:w="1803" w:type="dxa"/>
                  <w:vAlign w:val="center"/>
                </w:tcPr>
                <w:p>
                  <w:pPr>
                    <w:jc w:val="center"/>
                  </w:pPr>
                  <w:r>
                    <w:rPr>
                      <w:rFonts w:hint="eastAsia"/>
                    </w:rPr>
                    <w:t>热压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7" w:type="dxa"/>
                  <w:vAlign w:val="center"/>
                </w:tcPr>
                <w:p>
                  <w:pPr>
                    <w:jc w:val="center"/>
                  </w:pPr>
                  <w:r>
                    <w:rPr>
                      <w:rFonts w:hint="eastAsia"/>
                    </w:rPr>
                    <w:t>10</w:t>
                  </w:r>
                </w:p>
              </w:tc>
              <w:tc>
                <w:tcPr>
                  <w:tcW w:w="1906" w:type="dxa"/>
                  <w:vAlign w:val="center"/>
                </w:tcPr>
                <w:p>
                  <w:pPr>
                    <w:jc w:val="center"/>
                  </w:pPr>
                  <w:r>
                    <w:rPr>
                      <w:rFonts w:hint="eastAsia"/>
                    </w:rPr>
                    <w:t>双头铣</w:t>
                  </w:r>
                </w:p>
              </w:tc>
              <w:tc>
                <w:tcPr>
                  <w:tcW w:w="2616" w:type="dxa"/>
                  <w:vAlign w:val="center"/>
                </w:tcPr>
                <w:p>
                  <w:pPr>
                    <w:jc w:val="center"/>
                  </w:pPr>
                  <w:r>
                    <w:rPr>
                      <w:rFonts w:hint="eastAsia"/>
                    </w:rPr>
                    <w:t>/</w:t>
                  </w:r>
                </w:p>
              </w:tc>
              <w:tc>
                <w:tcPr>
                  <w:tcW w:w="1018" w:type="dxa"/>
                  <w:vAlign w:val="center"/>
                </w:tcPr>
                <w:p>
                  <w:pPr>
                    <w:jc w:val="center"/>
                  </w:pPr>
                  <w:r>
                    <w:rPr>
                      <w:rFonts w:hint="eastAsia"/>
                    </w:rPr>
                    <w:t>2台</w:t>
                  </w:r>
                </w:p>
              </w:tc>
              <w:tc>
                <w:tcPr>
                  <w:tcW w:w="1803" w:type="dxa"/>
                  <w:vAlign w:val="center"/>
                </w:tcPr>
                <w:p>
                  <w:pPr>
                    <w:jc w:val="center"/>
                  </w:pPr>
                  <w:r>
                    <w:rPr>
                      <w:rFonts w:hint="eastAsia"/>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11</w:t>
                  </w:r>
                </w:p>
              </w:tc>
              <w:tc>
                <w:tcPr>
                  <w:tcW w:w="1906" w:type="dxa"/>
                  <w:vAlign w:val="center"/>
                </w:tcPr>
                <w:p>
                  <w:pPr>
                    <w:jc w:val="center"/>
                  </w:pPr>
                  <w:r>
                    <w:rPr>
                      <w:rFonts w:hint="eastAsia"/>
                    </w:rPr>
                    <w:t>四面刨</w:t>
                  </w:r>
                </w:p>
              </w:tc>
              <w:tc>
                <w:tcPr>
                  <w:tcW w:w="2616" w:type="dxa"/>
                  <w:vAlign w:val="center"/>
                </w:tcPr>
                <w:p>
                  <w:pPr>
                    <w:jc w:val="center"/>
                  </w:pPr>
                  <w:r>
                    <w:rPr>
                      <w:rFonts w:hint="eastAsia"/>
                    </w:rPr>
                    <w:t>/</w:t>
                  </w:r>
                </w:p>
              </w:tc>
              <w:tc>
                <w:tcPr>
                  <w:tcW w:w="1018" w:type="dxa"/>
                  <w:vAlign w:val="center"/>
                </w:tcPr>
                <w:p>
                  <w:pPr>
                    <w:jc w:val="center"/>
                  </w:pPr>
                  <w:r>
                    <w:rPr>
                      <w:rFonts w:hint="eastAsia"/>
                    </w:rPr>
                    <w:t>3台</w:t>
                  </w:r>
                </w:p>
              </w:tc>
              <w:tc>
                <w:tcPr>
                  <w:tcW w:w="1803" w:type="dxa"/>
                  <w:vAlign w:val="center"/>
                </w:tcPr>
                <w:p>
                  <w:pPr>
                    <w:jc w:val="center"/>
                  </w:pPr>
                  <w:r>
                    <w:rPr>
                      <w:rFonts w:hint="eastAsia"/>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7" w:type="dxa"/>
                  <w:vAlign w:val="center"/>
                </w:tcPr>
                <w:p>
                  <w:pPr>
                    <w:jc w:val="center"/>
                  </w:pPr>
                  <w:r>
                    <w:rPr>
                      <w:rFonts w:hint="eastAsia"/>
                    </w:rPr>
                    <w:t>12</w:t>
                  </w:r>
                </w:p>
              </w:tc>
              <w:tc>
                <w:tcPr>
                  <w:tcW w:w="1906" w:type="dxa"/>
                  <w:vAlign w:val="center"/>
                </w:tcPr>
                <w:p>
                  <w:pPr>
                    <w:jc w:val="center"/>
                  </w:pPr>
                  <w:r>
                    <w:rPr>
                      <w:rFonts w:hint="eastAsia"/>
                    </w:rPr>
                    <w:t>砂光机</w:t>
                  </w:r>
                </w:p>
              </w:tc>
              <w:tc>
                <w:tcPr>
                  <w:tcW w:w="2616" w:type="dxa"/>
                  <w:vAlign w:val="center"/>
                </w:tcPr>
                <w:p>
                  <w:pPr>
                    <w:jc w:val="center"/>
                  </w:pPr>
                  <w:r>
                    <w:rPr>
                      <w:rFonts w:hint="eastAsia"/>
                    </w:rPr>
                    <w:t>/</w:t>
                  </w:r>
                </w:p>
              </w:tc>
              <w:tc>
                <w:tcPr>
                  <w:tcW w:w="1018" w:type="dxa"/>
                  <w:vAlign w:val="center"/>
                </w:tcPr>
                <w:p>
                  <w:pPr>
                    <w:jc w:val="center"/>
                  </w:pPr>
                  <w:r>
                    <w:rPr>
                      <w:rFonts w:hint="eastAsia"/>
                    </w:rPr>
                    <w:t>2台</w:t>
                  </w:r>
                </w:p>
              </w:tc>
              <w:tc>
                <w:tcPr>
                  <w:tcW w:w="1803" w:type="dxa"/>
                  <w:vAlign w:val="center"/>
                </w:tcPr>
                <w:p>
                  <w:pPr>
                    <w:jc w:val="center"/>
                  </w:pPr>
                  <w:r>
                    <w:rPr>
                      <w:rFonts w:hint="eastAsia"/>
                    </w:rPr>
                    <w:t>砂光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13</w:t>
                  </w:r>
                </w:p>
              </w:tc>
              <w:tc>
                <w:tcPr>
                  <w:tcW w:w="1906" w:type="dxa"/>
                  <w:vAlign w:val="center"/>
                </w:tcPr>
                <w:p>
                  <w:pPr>
                    <w:jc w:val="center"/>
                  </w:pPr>
                  <w:r>
                    <w:rPr>
                      <w:rFonts w:hint="eastAsia"/>
                    </w:rPr>
                    <w:t>门框五金机</w:t>
                  </w:r>
                </w:p>
              </w:tc>
              <w:tc>
                <w:tcPr>
                  <w:tcW w:w="2616" w:type="dxa"/>
                  <w:vAlign w:val="center"/>
                </w:tcPr>
                <w:p>
                  <w:pPr>
                    <w:jc w:val="center"/>
                    <w:rPr>
                      <w:rFonts w:cstheme="minorBidi"/>
                    </w:rPr>
                  </w:pPr>
                  <w:r>
                    <w:rPr>
                      <w:rFonts w:hint="eastAsia" w:cstheme="minorBidi"/>
                    </w:rPr>
                    <w:t>/</w:t>
                  </w:r>
                </w:p>
              </w:tc>
              <w:tc>
                <w:tcPr>
                  <w:tcW w:w="1018" w:type="dxa"/>
                  <w:vAlign w:val="center"/>
                </w:tcPr>
                <w:p>
                  <w:pPr>
                    <w:jc w:val="center"/>
                  </w:pPr>
                  <w:r>
                    <w:rPr>
                      <w:rFonts w:hint="eastAsia"/>
                    </w:rPr>
                    <w:t>4台</w:t>
                  </w:r>
                </w:p>
              </w:tc>
              <w:tc>
                <w:tcPr>
                  <w:tcW w:w="1803" w:type="dxa"/>
                  <w:vAlign w:val="center"/>
                </w:tcPr>
                <w:p>
                  <w:pPr>
                    <w:jc w:val="center"/>
                    <w:rPr>
                      <w:rFonts w:cstheme="minorBidi"/>
                    </w:rPr>
                  </w:pPr>
                  <w:r>
                    <w:rPr>
                      <w:rFonts w:hint="eastAsia"/>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14</w:t>
                  </w:r>
                </w:p>
              </w:tc>
              <w:tc>
                <w:tcPr>
                  <w:tcW w:w="1906" w:type="dxa"/>
                  <w:vAlign w:val="center"/>
                </w:tcPr>
                <w:p>
                  <w:pPr>
                    <w:jc w:val="center"/>
                    <w:rPr>
                      <w:rFonts w:asciiTheme="minorHAnsi" w:hAnsiTheme="minorHAnsi" w:eastAsiaTheme="minorEastAsia" w:cstheme="minorBidi"/>
                    </w:rPr>
                  </w:pPr>
                  <w:r>
                    <w:rPr>
                      <w:rFonts w:hint="eastAsia"/>
                    </w:rPr>
                    <w:t>打磨房</w:t>
                  </w:r>
                </w:p>
              </w:tc>
              <w:tc>
                <w:tcPr>
                  <w:tcW w:w="2616" w:type="dxa"/>
                  <w:vAlign w:val="center"/>
                </w:tcPr>
                <w:p>
                  <w:pPr>
                    <w:jc w:val="center"/>
                    <w:rPr>
                      <w:rFonts w:asciiTheme="minorHAnsi" w:hAnsiTheme="minorHAnsi" w:eastAsiaTheme="minorEastAsia" w:cstheme="minorBidi"/>
                    </w:rPr>
                  </w:pPr>
                  <w:r>
                    <w:rPr>
                      <w:rFonts w:hint="eastAsia" w:cstheme="minorBidi"/>
                    </w:rPr>
                    <w:t>长50米</w:t>
                  </w:r>
                  <w:r>
                    <w:rPr>
                      <w:rFonts w:ascii="Arial" w:hAnsi="Arial" w:cs="Arial"/>
                    </w:rPr>
                    <w:t>×</w:t>
                  </w:r>
                  <w:r>
                    <w:rPr>
                      <w:rFonts w:hint="eastAsia" w:ascii="Arial" w:hAnsi="Arial" w:cs="Arial"/>
                    </w:rPr>
                    <w:t>宽</w:t>
                  </w:r>
                  <w:r>
                    <w:rPr>
                      <w:rFonts w:hint="eastAsia" w:cstheme="minorBidi"/>
                    </w:rPr>
                    <w:t>9米*高3.2米</w:t>
                  </w:r>
                </w:p>
              </w:tc>
              <w:tc>
                <w:tcPr>
                  <w:tcW w:w="1018" w:type="dxa"/>
                  <w:vAlign w:val="center"/>
                </w:tcPr>
                <w:p>
                  <w:pPr>
                    <w:jc w:val="center"/>
                    <w:rPr>
                      <w:rFonts w:asciiTheme="minorHAnsi" w:hAnsiTheme="minorHAnsi" w:eastAsiaTheme="minorEastAsia" w:cstheme="minorBidi"/>
                    </w:rPr>
                  </w:pPr>
                  <w:r>
                    <w:rPr>
                      <w:rFonts w:hint="eastAsia"/>
                    </w:rPr>
                    <w:t>1套</w:t>
                  </w:r>
                </w:p>
              </w:tc>
              <w:tc>
                <w:tcPr>
                  <w:tcW w:w="1803" w:type="dxa"/>
                  <w:vAlign w:val="center"/>
                </w:tcPr>
                <w:p>
                  <w:pPr>
                    <w:jc w:val="center"/>
                    <w:rPr>
                      <w:rFonts w:asciiTheme="minorHAnsi" w:hAnsiTheme="minorHAnsi" w:eastAsiaTheme="minorEastAsia" w:cstheme="minorBidi"/>
                    </w:rPr>
                  </w:pPr>
                  <w:r>
                    <w:rPr>
                      <w:rFonts w:hint="eastAsia" w:asciiTheme="minorHAnsi" w:hAnsiTheme="minorHAnsi" w:eastAsiaTheme="minorEastAsia" w:cstheme="minorBidi"/>
                    </w:rPr>
                    <w:t>腻子粉打磨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47" w:type="dxa"/>
                  <w:vAlign w:val="center"/>
                </w:tcPr>
                <w:p>
                  <w:pPr>
                    <w:jc w:val="center"/>
                  </w:pPr>
                  <w:r>
                    <w:rPr>
                      <w:rFonts w:hint="eastAsia"/>
                    </w:rPr>
                    <w:t>15</w:t>
                  </w:r>
                </w:p>
              </w:tc>
              <w:tc>
                <w:tcPr>
                  <w:tcW w:w="1906" w:type="dxa"/>
                  <w:vAlign w:val="center"/>
                </w:tcPr>
                <w:p>
                  <w:pPr>
                    <w:jc w:val="center"/>
                    <w:rPr>
                      <w:rFonts w:asciiTheme="minorHAnsi" w:hAnsiTheme="minorHAnsi" w:eastAsiaTheme="minorEastAsia" w:cstheme="minorBidi"/>
                    </w:rPr>
                  </w:pPr>
                  <w:r>
                    <w:rPr>
                      <w:rFonts w:hint="eastAsia"/>
                    </w:rPr>
                    <w:t>底漆喷涂房</w:t>
                  </w:r>
                </w:p>
              </w:tc>
              <w:tc>
                <w:tcPr>
                  <w:tcW w:w="2616" w:type="dxa"/>
                  <w:vAlign w:val="center"/>
                </w:tcPr>
                <w:p>
                  <w:pPr>
                    <w:jc w:val="center"/>
                    <w:rPr>
                      <w:rFonts w:asciiTheme="minorHAnsi" w:hAnsiTheme="minorHAnsi" w:eastAsiaTheme="minorEastAsia" w:cstheme="minorBidi"/>
                    </w:rPr>
                  </w:pPr>
                  <w:r>
                    <w:rPr>
                      <w:rFonts w:hint="eastAsia" w:cstheme="minorBidi"/>
                    </w:rPr>
                    <w:t>长9米</w:t>
                  </w:r>
                  <w:r>
                    <w:rPr>
                      <w:rFonts w:ascii="Arial" w:hAnsi="Arial" w:cs="Arial"/>
                    </w:rPr>
                    <w:t>×</w:t>
                  </w:r>
                  <w:r>
                    <w:rPr>
                      <w:rFonts w:hint="eastAsia" w:ascii="Arial" w:hAnsi="Arial" w:cs="Arial"/>
                    </w:rPr>
                    <w:t>宽</w:t>
                  </w:r>
                  <w:r>
                    <w:rPr>
                      <w:rFonts w:hint="eastAsia" w:cstheme="minorBidi"/>
                    </w:rPr>
                    <w:t>6米*高3.2米</w:t>
                  </w:r>
                </w:p>
              </w:tc>
              <w:tc>
                <w:tcPr>
                  <w:tcW w:w="1018" w:type="dxa"/>
                  <w:vAlign w:val="center"/>
                </w:tcPr>
                <w:p>
                  <w:pPr>
                    <w:jc w:val="center"/>
                    <w:rPr>
                      <w:rFonts w:asciiTheme="minorHAnsi" w:hAnsiTheme="minorHAnsi" w:eastAsiaTheme="minorEastAsia" w:cstheme="minorBidi"/>
                    </w:rPr>
                  </w:pPr>
                  <w:r>
                    <w:rPr>
                      <w:rFonts w:hint="eastAsia"/>
                    </w:rPr>
                    <w:t>1个</w:t>
                  </w:r>
                </w:p>
              </w:tc>
              <w:tc>
                <w:tcPr>
                  <w:tcW w:w="1803" w:type="dxa"/>
                  <w:vAlign w:val="center"/>
                </w:tcPr>
                <w:p>
                  <w:pPr>
                    <w:jc w:val="center"/>
                    <w:rPr>
                      <w:rFonts w:asciiTheme="minorHAnsi" w:hAnsiTheme="minorHAnsi" w:eastAsiaTheme="minorEastAsia" w:cstheme="minorBidi"/>
                    </w:rPr>
                  </w:pPr>
                  <w:r>
                    <w:rPr>
                      <w:rFonts w:hint="eastAsia" w:asciiTheme="minorHAnsi" w:hAnsiTheme="minorHAnsi" w:eastAsiaTheme="minorEastAsia" w:cstheme="minorBidi"/>
                    </w:rPr>
                    <w:t>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16</w:t>
                  </w:r>
                </w:p>
              </w:tc>
              <w:tc>
                <w:tcPr>
                  <w:tcW w:w="1906" w:type="dxa"/>
                  <w:vAlign w:val="center"/>
                </w:tcPr>
                <w:p>
                  <w:pPr>
                    <w:jc w:val="center"/>
                    <w:rPr>
                      <w:rFonts w:asciiTheme="minorHAnsi" w:hAnsiTheme="minorHAnsi" w:eastAsiaTheme="minorEastAsia" w:cstheme="minorBidi"/>
                    </w:rPr>
                  </w:pPr>
                  <w:r>
                    <w:rPr>
                      <w:rFonts w:hint="eastAsia"/>
                    </w:rPr>
                    <w:t>面漆喷涂房</w:t>
                  </w:r>
                </w:p>
              </w:tc>
              <w:tc>
                <w:tcPr>
                  <w:tcW w:w="2616" w:type="dxa"/>
                  <w:vAlign w:val="center"/>
                </w:tcPr>
                <w:p>
                  <w:pPr>
                    <w:jc w:val="center"/>
                    <w:rPr>
                      <w:rFonts w:asciiTheme="minorHAnsi" w:hAnsiTheme="minorHAnsi" w:eastAsiaTheme="minorEastAsia" w:cstheme="minorBidi"/>
                    </w:rPr>
                  </w:pPr>
                  <w:r>
                    <w:rPr>
                      <w:rFonts w:hint="eastAsia" w:cstheme="minorBidi"/>
                    </w:rPr>
                    <w:t>长9米</w:t>
                  </w:r>
                  <w:r>
                    <w:rPr>
                      <w:rFonts w:ascii="Arial" w:hAnsi="Arial" w:cs="Arial"/>
                    </w:rPr>
                    <w:t>×</w:t>
                  </w:r>
                  <w:r>
                    <w:rPr>
                      <w:rFonts w:hint="eastAsia" w:ascii="Arial" w:hAnsi="Arial" w:cs="Arial"/>
                    </w:rPr>
                    <w:t>宽</w:t>
                  </w:r>
                  <w:r>
                    <w:rPr>
                      <w:rFonts w:hint="eastAsia" w:cstheme="minorBidi"/>
                    </w:rPr>
                    <w:t>6米*高3.2米</w:t>
                  </w:r>
                </w:p>
              </w:tc>
              <w:tc>
                <w:tcPr>
                  <w:tcW w:w="1018" w:type="dxa"/>
                  <w:vAlign w:val="center"/>
                </w:tcPr>
                <w:p>
                  <w:pPr>
                    <w:jc w:val="center"/>
                    <w:rPr>
                      <w:rFonts w:asciiTheme="minorHAnsi" w:hAnsiTheme="minorHAnsi" w:eastAsiaTheme="minorEastAsia" w:cstheme="minorBidi"/>
                    </w:rPr>
                  </w:pPr>
                  <w:r>
                    <w:rPr>
                      <w:rFonts w:hint="eastAsia"/>
                    </w:rPr>
                    <w:t>1个</w:t>
                  </w:r>
                </w:p>
              </w:tc>
              <w:tc>
                <w:tcPr>
                  <w:tcW w:w="1803" w:type="dxa"/>
                  <w:vAlign w:val="center"/>
                </w:tcPr>
                <w:p>
                  <w:pPr>
                    <w:jc w:val="center"/>
                    <w:rPr>
                      <w:rFonts w:asciiTheme="minorHAnsi" w:hAnsiTheme="minorHAnsi" w:eastAsiaTheme="minorEastAsia" w:cstheme="minorBidi"/>
                    </w:rPr>
                  </w:pPr>
                  <w:r>
                    <w:rPr>
                      <w:rFonts w:hint="eastAsia" w:asciiTheme="minorHAnsi" w:hAnsiTheme="minorHAnsi" w:eastAsiaTheme="minorEastAsia" w:cstheme="minorBidi"/>
                    </w:rPr>
                    <w:t>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17</w:t>
                  </w:r>
                </w:p>
              </w:tc>
              <w:tc>
                <w:tcPr>
                  <w:tcW w:w="1906" w:type="dxa"/>
                  <w:vAlign w:val="center"/>
                </w:tcPr>
                <w:p>
                  <w:pPr>
                    <w:jc w:val="center"/>
                    <w:rPr>
                      <w:rFonts w:asciiTheme="minorHAnsi" w:hAnsiTheme="minorHAnsi" w:eastAsiaTheme="minorEastAsia" w:cstheme="minorBidi"/>
                    </w:rPr>
                  </w:pPr>
                  <w:r>
                    <w:rPr>
                      <w:rFonts w:hint="eastAsia"/>
                    </w:rPr>
                    <w:t>面漆喷涂房</w:t>
                  </w:r>
                </w:p>
              </w:tc>
              <w:tc>
                <w:tcPr>
                  <w:tcW w:w="2616" w:type="dxa"/>
                  <w:vAlign w:val="center"/>
                </w:tcPr>
                <w:p>
                  <w:pPr>
                    <w:jc w:val="center"/>
                    <w:rPr>
                      <w:rFonts w:asciiTheme="minorHAnsi" w:hAnsiTheme="minorHAnsi" w:eastAsiaTheme="minorEastAsia" w:cstheme="minorBidi"/>
                    </w:rPr>
                  </w:pPr>
                  <w:r>
                    <w:rPr>
                      <w:rFonts w:hint="eastAsia" w:cstheme="minorBidi"/>
                    </w:rPr>
                    <w:t>长9米</w:t>
                  </w:r>
                  <w:r>
                    <w:rPr>
                      <w:rFonts w:ascii="Arial" w:hAnsi="Arial" w:cs="Arial"/>
                    </w:rPr>
                    <w:t>×</w:t>
                  </w:r>
                  <w:r>
                    <w:rPr>
                      <w:rFonts w:hint="eastAsia" w:ascii="Arial" w:hAnsi="Arial" w:cs="Arial"/>
                    </w:rPr>
                    <w:t>宽</w:t>
                  </w:r>
                  <w:r>
                    <w:rPr>
                      <w:rFonts w:hint="eastAsia" w:cstheme="minorBidi"/>
                    </w:rPr>
                    <w:t>6米*高3.2米</w:t>
                  </w:r>
                </w:p>
              </w:tc>
              <w:tc>
                <w:tcPr>
                  <w:tcW w:w="1018" w:type="dxa"/>
                  <w:vAlign w:val="center"/>
                </w:tcPr>
                <w:p>
                  <w:pPr>
                    <w:jc w:val="center"/>
                    <w:rPr>
                      <w:rFonts w:asciiTheme="minorHAnsi" w:hAnsiTheme="minorHAnsi" w:eastAsiaTheme="minorEastAsia" w:cstheme="minorBidi"/>
                    </w:rPr>
                  </w:pPr>
                  <w:r>
                    <w:rPr>
                      <w:rFonts w:hint="eastAsia"/>
                    </w:rPr>
                    <w:t>1个</w:t>
                  </w:r>
                </w:p>
              </w:tc>
              <w:tc>
                <w:tcPr>
                  <w:tcW w:w="1803" w:type="dxa"/>
                  <w:vAlign w:val="center"/>
                </w:tcPr>
                <w:p>
                  <w:pPr>
                    <w:jc w:val="center"/>
                    <w:rPr>
                      <w:rFonts w:asciiTheme="minorHAnsi" w:hAnsiTheme="minorHAnsi" w:eastAsiaTheme="minorEastAsia" w:cstheme="minorBidi"/>
                    </w:rPr>
                  </w:pPr>
                  <w:r>
                    <w:rPr>
                      <w:rFonts w:hint="eastAsia" w:asciiTheme="minorHAnsi" w:hAnsiTheme="minorHAnsi" w:eastAsiaTheme="minorEastAsia" w:cstheme="minorBidi"/>
                    </w:rPr>
                    <w:t>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18</w:t>
                  </w:r>
                </w:p>
              </w:tc>
              <w:tc>
                <w:tcPr>
                  <w:tcW w:w="1906" w:type="dxa"/>
                  <w:vAlign w:val="center"/>
                </w:tcPr>
                <w:p>
                  <w:pPr>
                    <w:jc w:val="center"/>
                    <w:rPr>
                      <w:rFonts w:asciiTheme="minorHAnsi" w:hAnsiTheme="minorHAnsi" w:eastAsiaTheme="minorEastAsia" w:cstheme="minorBidi"/>
                    </w:rPr>
                  </w:pPr>
                  <w:r>
                    <w:rPr>
                      <w:rFonts w:hint="eastAsia"/>
                    </w:rPr>
                    <w:t>底漆喷涂晾干房</w:t>
                  </w:r>
                </w:p>
              </w:tc>
              <w:tc>
                <w:tcPr>
                  <w:tcW w:w="2616" w:type="dxa"/>
                  <w:vAlign w:val="center"/>
                </w:tcPr>
                <w:p>
                  <w:pPr>
                    <w:jc w:val="center"/>
                    <w:rPr>
                      <w:rFonts w:asciiTheme="minorHAnsi" w:hAnsiTheme="minorHAnsi" w:eastAsiaTheme="minorEastAsia" w:cstheme="minorBidi"/>
                    </w:rPr>
                  </w:pPr>
                  <w:r>
                    <w:rPr>
                      <w:rFonts w:hint="eastAsia" w:cstheme="minorBidi"/>
                    </w:rPr>
                    <w:t>长14米</w:t>
                  </w:r>
                  <w:r>
                    <w:rPr>
                      <w:rFonts w:ascii="Arial" w:hAnsi="Arial" w:cs="Arial"/>
                    </w:rPr>
                    <w:t>×</w:t>
                  </w:r>
                  <w:r>
                    <w:rPr>
                      <w:rFonts w:hint="eastAsia" w:ascii="Arial" w:hAnsi="Arial" w:cs="Arial"/>
                    </w:rPr>
                    <w:t>宽</w:t>
                  </w:r>
                  <w:r>
                    <w:rPr>
                      <w:rFonts w:hint="eastAsia" w:cstheme="minorBidi"/>
                    </w:rPr>
                    <w:t>9米*高3.2米</w:t>
                  </w:r>
                </w:p>
              </w:tc>
              <w:tc>
                <w:tcPr>
                  <w:tcW w:w="1018" w:type="dxa"/>
                  <w:vAlign w:val="center"/>
                </w:tcPr>
                <w:p>
                  <w:pPr>
                    <w:jc w:val="center"/>
                    <w:rPr>
                      <w:rFonts w:asciiTheme="minorHAnsi" w:hAnsiTheme="minorHAnsi" w:eastAsiaTheme="minorEastAsia" w:cstheme="minorBidi"/>
                    </w:rPr>
                  </w:pPr>
                  <w:r>
                    <w:rPr>
                      <w:rFonts w:hint="eastAsia"/>
                    </w:rPr>
                    <w:t>1个</w:t>
                  </w:r>
                </w:p>
              </w:tc>
              <w:tc>
                <w:tcPr>
                  <w:tcW w:w="1803" w:type="dxa"/>
                  <w:vAlign w:val="center"/>
                </w:tcPr>
                <w:p>
                  <w:pPr>
                    <w:jc w:val="center"/>
                    <w:rPr>
                      <w:rFonts w:asciiTheme="minorHAnsi" w:hAnsiTheme="minorHAnsi" w:eastAsiaTheme="minorEastAsia" w:cstheme="minorBidi"/>
                    </w:rPr>
                  </w:pPr>
                  <w:r>
                    <w:rPr>
                      <w:rFonts w:hint="eastAsia" w:asciiTheme="minorHAnsi" w:hAnsiTheme="minorHAnsi" w:eastAsiaTheme="minorEastAsia" w:cstheme="minorBidi"/>
                    </w:rPr>
                    <w:t>晾干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19</w:t>
                  </w:r>
                </w:p>
              </w:tc>
              <w:tc>
                <w:tcPr>
                  <w:tcW w:w="1906" w:type="dxa"/>
                  <w:vAlign w:val="center"/>
                </w:tcPr>
                <w:p>
                  <w:pPr>
                    <w:jc w:val="center"/>
                    <w:rPr>
                      <w:rFonts w:asciiTheme="minorHAnsi" w:hAnsiTheme="minorHAnsi" w:eastAsiaTheme="minorEastAsia" w:cstheme="minorBidi"/>
                    </w:rPr>
                  </w:pPr>
                  <w:r>
                    <w:rPr>
                      <w:rFonts w:hint="eastAsia"/>
                    </w:rPr>
                    <w:t>面漆喷涂晾干房</w:t>
                  </w:r>
                </w:p>
              </w:tc>
              <w:tc>
                <w:tcPr>
                  <w:tcW w:w="2616" w:type="dxa"/>
                  <w:vAlign w:val="center"/>
                </w:tcPr>
                <w:p>
                  <w:pPr>
                    <w:jc w:val="center"/>
                    <w:rPr>
                      <w:rFonts w:asciiTheme="minorHAnsi" w:hAnsiTheme="minorHAnsi" w:eastAsiaTheme="minorEastAsia" w:cstheme="minorBidi"/>
                    </w:rPr>
                  </w:pPr>
                  <w:r>
                    <w:rPr>
                      <w:rFonts w:hint="eastAsia" w:cstheme="minorBidi"/>
                    </w:rPr>
                    <w:t>长14米</w:t>
                  </w:r>
                  <w:r>
                    <w:rPr>
                      <w:rFonts w:ascii="Arial" w:hAnsi="Arial" w:cs="Arial"/>
                    </w:rPr>
                    <w:t>×</w:t>
                  </w:r>
                  <w:r>
                    <w:rPr>
                      <w:rFonts w:hint="eastAsia" w:ascii="Arial" w:hAnsi="Arial" w:cs="Arial"/>
                    </w:rPr>
                    <w:t>宽</w:t>
                  </w:r>
                  <w:r>
                    <w:rPr>
                      <w:rFonts w:hint="eastAsia" w:cstheme="minorBidi"/>
                    </w:rPr>
                    <w:t>9米*高3.2米</w:t>
                  </w:r>
                </w:p>
              </w:tc>
              <w:tc>
                <w:tcPr>
                  <w:tcW w:w="1018" w:type="dxa"/>
                  <w:vAlign w:val="center"/>
                </w:tcPr>
                <w:p>
                  <w:pPr>
                    <w:jc w:val="center"/>
                    <w:rPr>
                      <w:rFonts w:asciiTheme="minorHAnsi" w:hAnsiTheme="minorHAnsi" w:eastAsiaTheme="minorEastAsia" w:cstheme="minorBidi"/>
                    </w:rPr>
                  </w:pPr>
                  <w:r>
                    <w:rPr>
                      <w:rFonts w:hint="eastAsia"/>
                    </w:rPr>
                    <w:t>1个</w:t>
                  </w:r>
                </w:p>
              </w:tc>
              <w:tc>
                <w:tcPr>
                  <w:tcW w:w="1803" w:type="dxa"/>
                  <w:vAlign w:val="center"/>
                </w:tcPr>
                <w:p>
                  <w:pPr>
                    <w:jc w:val="center"/>
                    <w:rPr>
                      <w:rFonts w:asciiTheme="minorHAnsi" w:hAnsiTheme="minorHAnsi" w:eastAsiaTheme="minorEastAsia" w:cstheme="minorBidi"/>
                    </w:rPr>
                  </w:pPr>
                  <w:r>
                    <w:rPr>
                      <w:rFonts w:hint="eastAsia" w:asciiTheme="minorHAnsi" w:hAnsiTheme="minorHAnsi" w:eastAsiaTheme="minorEastAsia" w:cstheme="minorBidi"/>
                    </w:rPr>
                    <w:t>晾干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20</w:t>
                  </w:r>
                </w:p>
              </w:tc>
              <w:tc>
                <w:tcPr>
                  <w:tcW w:w="1906" w:type="dxa"/>
                  <w:vAlign w:val="center"/>
                </w:tcPr>
                <w:p>
                  <w:pPr>
                    <w:jc w:val="center"/>
                    <w:rPr>
                      <w:rFonts w:asciiTheme="minorHAnsi" w:hAnsiTheme="minorHAnsi" w:eastAsiaTheme="minorEastAsia" w:cstheme="minorBidi"/>
                    </w:rPr>
                  </w:pPr>
                  <w:r>
                    <w:rPr>
                      <w:rFonts w:hint="eastAsia"/>
                    </w:rPr>
                    <w:t>面漆喷涂晾干房</w:t>
                  </w:r>
                </w:p>
              </w:tc>
              <w:tc>
                <w:tcPr>
                  <w:tcW w:w="2616" w:type="dxa"/>
                  <w:vAlign w:val="center"/>
                </w:tcPr>
                <w:p>
                  <w:pPr>
                    <w:jc w:val="center"/>
                    <w:rPr>
                      <w:rFonts w:asciiTheme="minorHAnsi" w:hAnsiTheme="minorHAnsi" w:eastAsiaTheme="minorEastAsia" w:cstheme="minorBidi"/>
                    </w:rPr>
                  </w:pPr>
                  <w:r>
                    <w:rPr>
                      <w:rFonts w:hint="eastAsia" w:cstheme="minorBidi"/>
                    </w:rPr>
                    <w:t>长14米</w:t>
                  </w:r>
                  <w:r>
                    <w:rPr>
                      <w:rFonts w:ascii="Arial" w:hAnsi="Arial" w:cs="Arial"/>
                    </w:rPr>
                    <w:t>×</w:t>
                  </w:r>
                  <w:r>
                    <w:rPr>
                      <w:rFonts w:hint="eastAsia" w:ascii="Arial" w:hAnsi="Arial" w:cs="Arial"/>
                    </w:rPr>
                    <w:t>宽</w:t>
                  </w:r>
                  <w:r>
                    <w:rPr>
                      <w:rFonts w:hint="eastAsia" w:cstheme="minorBidi"/>
                    </w:rPr>
                    <w:t>9米*高3.2米</w:t>
                  </w:r>
                </w:p>
              </w:tc>
              <w:tc>
                <w:tcPr>
                  <w:tcW w:w="1018" w:type="dxa"/>
                  <w:vAlign w:val="center"/>
                </w:tcPr>
                <w:p>
                  <w:pPr>
                    <w:jc w:val="center"/>
                    <w:rPr>
                      <w:rFonts w:asciiTheme="minorHAnsi" w:hAnsiTheme="minorHAnsi" w:eastAsiaTheme="minorEastAsia" w:cstheme="minorBidi"/>
                    </w:rPr>
                  </w:pPr>
                  <w:r>
                    <w:rPr>
                      <w:rFonts w:hint="eastAsia"/>
                    </w:rPr>
                    <w:t>1个</w:t>
                  </w:r>
                </w:p>
              </w:tc>
              <w:tc>
                <w:tcPr>
                  <w:tcW w:w="1803" w:type="dxa"/>
                  <w:vAlign w:val="center"/>
                </w:tcPr>
                <w:p>
                  <w:pPr>
                    <w:jc w:val="center"/>
                    <w:rPr>
                      <w:rFonts w:asciiTheme="minorHAnsi" w:hAnsiTheme="minorHAnsi" w:eastAsiaTheme="minorEastAsia" w:cstheme="minorBidi"/>
                    </w:rPr>
                  </w:pPr>
                  <w:r>
                    <w:rPr>
                      <w:rFonts w:hint="eastAsia" w:asciiTheme="minorHAnsi" w:hAnsiTheme="minorHAnsi" w:eastAsiaTheme="minorEastAsia" w:cstheme="minorBidi"/>
                    </w:rPr>
                    <w:t>晾干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21</w:t>
                  </w:r>
                </w:p>
              </w:tc>
              <w:tc>
                <w:tcPr>
                  <w:tcW w:w="1906" w:type="dxa"/>
                  <w:vAlign w:val="center"/>
                </w:tcPr>
                <w:p>
                  <w:pPr>
                    <w:jc w:val="center"/>
                  </w:pPr>
                  <w:r>
                    <w:rPr>
                      <w:rFonts w:hint="eastAsia"/>
                    </w:rPr>
                    <w:t>布袋除尘</w:t>
                  </w:r>
                </w:p>
              </w:tc>
              <w:tc>
                <w:tcPr>
                  <w:tcW w:w="2616" w:type="dxa"/>
                  <w:vAlign w:val="center"/>
                </w:tcPr>
                <w:p>
                  <w:pPr>
                    <w:jc w:val="center"/>
                    <w:rPr>
                      <w:rFonts w:cstheme="minorBidi"/>
                    </w:rPr>
                  </w:pPr>
                  <w:r>
                    <w:rPr>
                      <w:rFonts w:hint="eastAsia" w:cstheme="minorBidi"/>
                    </w:rPr>
                    <w:t>定制</w:t>
                  </w:r>
                </w:p>
              </w:tc>
              <w:tc>
                <w:tcPr>
                  <w:tcW w:w="1018" w:type="dxa"/>
                  <w:vAlign w:val="center"/>
                </w:tcPr>
                <w:p>
                  <w:pPr>
                    <w:jc w:val="center"/>
                  </w:pPr>
                  <w:r>
                    <w:rPr>
                      <w:rFonts w:hint="eastAsia"/>
                    </w:rPr>
                    <w:t>4套</w:t>
                  </w:r>
                </w:p>
              </w:tc>
              <w:tc>
                <w:tcPr>
                  <w:tcW w:w="1803" w:type="dxa"/>
                  <w:vAlign w:val="center"/>
                </w:tcPr>
                <w:p>
                  <w:pPr>
                    <w:jc w:val="center"/>
                    <w:rPr>
                      <w:rFonts w:asciiTheme="minorHAnsi" w:hAnsiTheme="minorHAnsi" w:eastAsiaTheme="minorEastAsia" w:cstheme="minorBidi"/>
                    </w:rPr>
                  </w:pPr>
                  <w:r>
                    <w:rPr>
                      <w:rFonts w:hint="eastAsia" w:asciiTheme="minorHAnsi" w:hAnsiTheme="minorHAnsi" w:eastAsiaTheme="minorEastAsia" w:cstheme="minorBidi"/>
                    </w:rPr>
                    <w:t>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pPr>
                  <w:r>
                    <w:rPr>
                      <w:rFonts w:hint="eastAsia"/>
                    </w:rPr>
                    <w:t>22</w:t>
                  </w:r>
                </w:p>
              </w:tc>
              <w:tc>
                <w:tcPr>
                  <w:tcW w:w="1906" w:type="dxa"/>
                  <w:vAlign w:val="center"/>
                </w:tcPr>
                <w:p>
                  <w:pPr>
                    <w:jc w:val="center"/>
                  </w:pPr>
                  <w:r>
                    <w:rPr>
                      <w:rFonts w:hint="eastAsia"/>
                      <w:color w:val="000000"/>
                      <w:szCs w:val="21"/>
                    </w:rPr>
                    <w:t>旋转式分子筛吸附+脱附</w:t>
                  </w:r>
                  <w:r>
                    <w:rPr>
                      <w:rFonts w:hint="eastAsia"/>
                    </w:rPr>
                    <w:t>+RCO催化燃烧</w:t>
                  </w:r>
                </w:p>
              </w:tc>
              <w:tc>
                <w:tcPr>
                  <w:tcW w:w="2616" w:type="dxa"/>
                  <w:vAlign w:val="center"/>
                </w:tcPr>
                <w:p>
                  <w:pPr>
                    <w:jc w:val="center"/>
                    <w:rPr>
                      <w:rFonts w:cstheme="minorBidi"/>
                    </w:rPr>
                  </w:pPr>
                  <w:r>
                    <w:rPr>
                      <w:rFonts w:hint="eastAsia" w:cstheme="minorBidi"/>
                    </w:rPr>
                    <w:t>定制</w:t>
                  </w:r>
                </w:p>
              </w:tc>
              <w:tc>
                <w:tcPr>
                  <w:tcW w:w="1018" w:type="dxa"/>
                  <w:vAlign w:val="center"/>
                </w:tcPr>
                <w:p>
                  <w:pPr>
                    <w:jc w:val="center"/>
                  </w:pPr>
                  <w:r>
                    <w:rPr>
                      <w:rFonts w:hint="eastAsia"/>
                    </w:rPr>
                    <w:t>1套</w:t>
                  </w:r>
                </w:p>
              </w:tc>
              <w:tc>
                <w:tcPr>
                  <w:tcW w:w="1803" w:type="dxa"/>
                  <w:vAlign w:val="center"/>
                </w:tcPr>
                <w:p>
                  <w:pPr>
                    <w:jc w:val="center"/>
                    <w:rPr>
                      <w:rFonts w:asciiTheme="minorHAnsi" w:hAnsiTheme="minorHAnsi" w:eastAsiaTheme="minorEastAsia" w:cstheme="minorBidi"/>
                    </w:rPr>
                  </w:pPr>
                  <w:r>
                    <w:rPr>
                      <w:rFonts w:hint="eastAsia" w:asciiTheme="minorHAnsi" w:hAnsiTheme="minorHAnsi" w:eastAsiaTheme="minorEastAsia" w:cstheme="minorBidi"/>
                    </w:rPr>
                    <w:t>废气处理</w:t>
                  </w:r>
                </w:p>
              </w:tc>
            </w:tr>
          </w:tbl>
          <w:p>
            <w:pPr>
              <w:spacing w:line="360" w:lineRule="auto"/>
              <w:ind w:firstLine="480" w:firstLineChars="2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拟</w:t>
            </w:r>
            <w:r>
              <w:rPr>
                <w:rFonts w:hint="eastAsia"/>
                <w:color w:val="000000" w:themeColor="text1"/>
                <w:sz w:val="24"/>
                <w:u w:val="single"/>
                <w:lang w:val="en-US" w:eastAsia="zh-CN"/>
                <w14:textFill>
                  <w14:solidFill>
                    <w14:schemeClr w14:val="tx1"/>
                  </w14:solidFill>
                </w14:textFill>
              </w:rPr>
              <w:t>建</w:t>
            </w:r>
            <w:r>
              <w:rPr>
                <w:color w:val="000000" w:themeColor="text1"/>
                <w:sz w:val="24"/>
                <w:u w:val="single"/>
                <w14:textFill>
                  <w14:solidFill>
                    <w14:schemeClr w14:val="tx1"/>
                  </w14:solidFill>
                </w14:textFill>
              </w:rPr>
              <w:t>项目的设备不属于《产业结构调整指导目录（20</w:t>
            </w:r>
            <w:r>
              <w:rPr>
                <w:rFonts w:hint="eastAsia"/>
                <w:color w:val="000000" w:themeColor="text1"/>
                <w:sz w:val="24"/>
                <w:u w:val="single"/>
                <w14:textFill>
                  <w14:solidFill>
                    <w14:schemeClr w14:val="tx1"/>
                  </w14:solidFill>
                </w14:textFill>
              </w:rPr>
              <w:t>24</w:t>
            </w:r>
            <w:r>
              <w:rPr>
                <w:color w:val="000000" w:themeColor="text1"/>
                <w:sz w:val="24"/>
                <w:u w:val="single"/>
                <w14:textFill>
                  <w14:solidFill>
                    <w14:schemeClr w14:val="tx1"/>
                  </w14:solidFill>
                </w14:textFill>
              </w:rPr>
              <w:t>年本）</w:t>
            </w:r>
            <w:r>
              <w:rPr>
                <w:rFonts w:hint="eastAsia"/>
                <w:color w:val="000000" w:themeColor="text1"/>
                <w:sz w:val="24"/>
                <w:u w:val="single"/>
                <w14:textFill>
                  <w14:solidFill>
                    <w14:schemeClr w14:val="tx1"/>
                  </w14:solidFill>
                </w14:textFill>
              </w:rPr>
              <w:t>》《</w:t>
            </w:r>
            <w:r>
              <w:rPr>
                <w:color w:val="000000" w:themeColor="text1"/>
                <w:sz w:val="24"/>
                <w:u w:val="single"/>
                <w14:textFill>
                  <w14:solidFill>
                    <w14:schemeClr w14:val="tx1"/>
                  </w14:solidFill>
                </w14:textFill>
              </w:rPr>
              <w:t>工业和信息化部高耗能落后机电设备（产品）淘汰目录</w:t>
            </w:r>
            <w:r>
              <w:rPr>
                <w:rFonts w:hint="eastAsia"/>
                <w:color w:val="000000" w:themeColor="text1"/>
                <w:sz w:val="24"/>
                <w:u w:val="single"/>
                <w14:textFill>
                  <w14:solidFill>
                    <w14:schemeClr w14:val="tx1"/>
                  </w14:solidFill>
                </w14:textFill>
              </w:rPr>
              <w:t>》《</w:t>
            </w:r>
            <w:r>
              <w:rPr>
                <w:color w:val="000000" w:themeColor="text1"/>
                <w:sz w:val="24"/>
                <w:u w:val="single"/>
                <w14:textFill>
                  <w14:solidFill>
                    <w14:schemeClr w14:val="tx1"/>
                  </w14:solidFill>
                </w14:textFill>
              </w:rPr>
              <w:t>部分工业行业淘汰落后生产工艺装备和产品指导目录》中淘汰及明令禁止使用的设备及工艺</w:t>
            </w:r>
            <w:r>
              <w:rPr>
                <w:rFonts w:hint="eastAsia"/>
                <w:color w:val="000000" w:themeColor="text1"/>
                <w:sz w:val="24"/>
                <w:u w:val="single"/>
                <w14:textFill>
                  <w14:solidFill>
                    <w14:schemeClr w14:val="tx1"/>
                  </w14:solidFill>
                </w14:textFill>
              </w:rPr>
              <w:t>。</w:t>
            </w:r>
          </w:p>
          <w:p>
            <w:pPr>
              <w:spacing w:line="360" w:lineRule="auto"/>
              <w:rPr>
                <w:b/>
                <w:bCs/>
                <w:sz w:val="24"/>
              </w:rPr>
            </w:pPr>
            <w:r>
              <w:rPr>
                <w:b/>
                <w:bCs/>
                <w:sz w:val="24"/>
              </w:rPr>
              <w:t>6、</w:t>
            </w:r>
            <w:r>
              <w:rPr>
                <w:rFonts w:hint="eastAsia"/>
                <w:b/>
                <w:bCs/>
                <w:sz w:val="24"/>
              </w:rPr>
              <w:t>拟建</w:t>
            </w:r>
            <w:r>
              <w:rPr>
                <w:b/>
                <w:bCs/>
                <w:sz w:val="24"/>
              </w:rPr>
              <w:t>项目主要原辅材料的种类和用量</w:t>
            </w:r>
          </w:p>
          <w:p>
            <w:pPr>
              <w:spacing w:line="360" w:lineRule="auto"/>
              <w:ind w:firstLine="480" w:firstLineChars="200"/>
              <w:rPr>
                <w:sz w:val="24"/>
              </w:rPr>
            </w:pPr>
            <w:r>
              <w:rPr>
                <w:rFonts w:hint="eastAsia"/>
                <w:sz w:val="24"/>
              </w:rPr>
              <w:t>拟建</w:t>
            </w:r>
            <w:r>
              <w:rPr>
                <w:sz w:val="24"/>
              </w:rPr>
              <w:t>项目主要原辅材料的种类和用量详见下表：</w:t>
            </w:r>
          </w:p>
          <w:p>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w:t>
            </w:r>
            <w:r>
              <w:rPr>
                <w:rFonts w:hint="eastAsia"/>
                <w:b/>
                <w:bCs/>
                <w:color w:val="000000" w:themeColor="text1"/>
                <w:szCs w:val="21"/>
                <w14:textFill>
                  <w14:solidFill>
                    <w14:schemeClr w14:val="tx1"/>
                  </w14:solidFill>
                </w14:textFill>
              </w:rPr>
              <w:t xml:space="preserve">4  </w:t>
            </w:r>
            <w:r>
              <w:rPr>
                <w:b/>
                <w:bCs/>
                <w:color w:val="000000" w:themeColor="text1"/>
                <w:szCs w:val="21"/>
                <w14:textFill>
                  <w14:solidFill>
                    <w14:schemeClr w14:val="tx1"/>
                  </w14:solidFill>
                </w14:textFill>
              </w:rPr>
              <w:t>项目主要原辅材料的种类和用量一览表</w:t>
            </w:r>
          </w:p>
          <w:tbl>
            <w:tblPr>
              <w:tblStyle w:val="32"/>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9"/>
              <w:gridCol w:w="454"/>
              <w:gridCol w:w="1318"/>
              <w:gridCol w:w="1057"/>
              <w:gridCol w:w="953"/>
              <w:gridCol w:w="953"/>
              <w:gridCol w:w="822"/>
              <w:gridCol w:w="1095"/>
              <w:gridCol w:w="10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vAlign w:val="center"/>
                </w:tcPr>
                <w:p>
                  <w:pPr>
                    <w:pStyle w:val="139"/>
                    <w:rPr>
                      <w:b/>
                      <w:bCs w:val="0"/>
                      <w:color w:val="auto"/>
                    </w:rPr>
                  </w:pPr>
                  <w:r>
                    <w:rPr>
                      <w:rFonts w:hint="eastAsia"/>
                      <w:b/>
                      <w:bCs w:val="0"/>
                      <w:color w:val="auto"/>
                    </w:rPr>
                    <w:t>序号</w:t>
                  </w:r>
                </w:p>
              </w:tc>
              <w:tc>
                <w:tcPr>
                  <w:tcW w:w="1772" w:type="dxa"/>
                  <w:gridSpan w:val="2"/>
                  <w:vAlign w:val="center"/>
                </w:tcPr>
                <w:p>
                  <w:pPr>
                    <w:pStyle w:val="139"/>
                    <w:rPr>
                      <w:b/>
                      <w:bCs w:val="0"/>
                      <w:color w:val="auto"/>
                    </w:rPr>
                  </w:pPr>
                  <w:r>
                    <w:rPr>
                      <w:rFonts w:hint="eastAsia"/>
                      <w:b/>
                      <w:bCs w:val="0"/>
                      <w:color w:val="auto"/>
                    </w:rPr>
                    <w:t>原材料名称</w:t>
                  </w:r>
                </w:p>
              </w:tc>
              <w:tc>
                <w:tcPr>
                  <w:tcW w:w="1057" w:type="dxa"/>
                  <w:tcBorders>
                    <w:right w:val="single" w:color="auto" w:sz="4" w:space="0"/>
                  </w:tcBorders>
                  <w:vAlign w:val="center"/>
                </w:tcPr>
                <w:p>
                  <w:pPr>
                    <w:pStyle w:val="139"/>
                    <w:rPr>
                      <w:b/>
                      <w:bCs w:val="0"/>
                      <w:color w:val="auto"/>
                    </w:rPr>
                  </w:pPr>
                  <w:r>
                    <w:rPr>
                      <w:rFonts w:hint="eastAsia"/>
                      <w:b/>
                      <w:bCs w:val="0"/>
                      <w:color w:val="auto"/>
                    </w:rPr>
                    <w:t>年用量</w:t>
                  </w:r>
                </w:p>
              </w:tc>
              <w:tc>
                <w:tcPr>
                  <w:tcW w:w="953" w:type="dxa"/>
                  <w:tcBorders>
                    <w:right w:val="single" w:color="auto" w:sz="4" w:space="0"/>
                  </w:tcBorders>
                  <w:vAlign w:val="center"/>
                </w:tcPr>
                <w:p>
                  <w:pPr>
                    <w:pStyle w:val="139"/>
                    <w:rPr>
                      <w:b/>
                      <w:bCs w:val="0"/>
                      <w:color w:val="auto"/>
                    </w:rPr>
                  </w:pPr>
                  <w:r>
                    <w:rPr>
                      <w:rFonts w:hint="eastAsia"/>
                      <w:b/>
                      <w:bCs w:val="0"/>
                      <w:color w:val="auto"/>
                    </w:rPr>
                    <w:t>最大储存量</w:t>
                  </w:r>
                </w:p>
              </w:tc>
              <w:tc>
                <w:tcPr>
                  <w:tcW w:w="953" w:type="dxa"/>
                  <w:tcBorders>
                    <w:left w:val="single" w:color="auto" w:sz="4" w:space="0"/>
                  </w:tcBorders>
                  <w:vAlign w:val="center"/>
                </w:tcPr>
                <w:p>
                  <w:pPr>
                    <w:pStyle w:val="139"/>
                    <w:rPr>
                      <w:b/>
                      <w:bCs w:val="0"/>
                      <w:color w:val="auto"/>
                    </w:rPr>
                  </w:pPr>
                  <w:r>
                    <w:rPr>
                      <w:rFonts w:hint="eastAsia"/>
                      <w:b/>
                      <w:bCs w:val="0"/>
                      <w:color w:val="auto"/>
                    </w:rPr>
                    <w:t>单位</w:t>
                  </w:r>
                </w:p>
              </w:tc>
              <w:tc>
                <w:tcPr>
                  <w:tcW w:w="822" w:type="dxa"/>
                  <w:tcBorders>
                    <w:left w:val="single" w:color="auto" w:sz="4" w:space="0"/>
                  </w:tcBorders>
                  <w:vAlign w:val="center"/>
                </w:tcPr>
                <w:p>
                  <w:pPr>
                    <w:pStyle w:val="139"/>
                    <w:rPr>
                      <w:b/>
                      <w:bCs w:val="0"/>
                      <w:color w:val="auto"/>
                    </w:rPr>
                  </w:pPr>
                  <w:r>
                    <w:rPr>
                      <w:rFonts w:hint="eastAsia"/>
                      <w:b/>
                      <w:bCs w:val="0"/>
                      <w:color w:val="auto"/>
                    </w:rPr>
                    <w:t>相态</w:t>
                  </w:r>
                </w:p>
              </w:tc>
              <w:tc>
                <w:tcPr>
                  <w:tcW w:w="1095" w:type="dxa"/>
                  <w:tcBorders>
                    <w:left w:val="single" w:color="auto" w:sz="4" w:space="0"/>
                  </w:tcBorders>
                  <w:vAlign w:val="center"/>
                </w:tcPr>
                <w:p>
                  <w:pPr>
                    <w:pStyle w:val="139"/>
                    <w:rPr>
                      <w:b/>
                      <w:bCs w:val="0"/>
                      <w:color w:val="auto"/>
                    </w:rPr>
                  </w:pPr>
                  <w:r>
                    <w:rPr>
                      <w:rFonts w:hint="eastAsia"/>
                      <w:b/>
                      <w:bCs w:val="0"/>
                      <w:color w:val="auto"/>
                    </w:rPr>
                    <w:t>备注</w:t>
                  </w:r>
                </w:p>
              </w:tc>
              <w:tc>
                <w:tcPr>
                  <w:tcW w:w="1051" w:type="dxa"/>
                  <w:tcBorders>
                    <w:left w:val="single" w:color="auto" w:sz="4" w:space="0"/>
                  </w:tcBorders>
                  <w:vAlign w:val="center"/>
                </w:tcPr>
                <w:p>
                  <w:pPr>
                    <w:pStyle w:val="139"/>
                    <w:rPr>
                      <w:b/>
                      <w:bCs w:val="0"/>
                      <w:color w:val="auto"/>
                    </w:rPr>
                  </w:pPr>
                  <w:r>
                    <w:rPr>
                      <w:rFonts w:hint="eastAsia"/>
                      <w:b/>
                      <w:bCs w:val="0"/>
                      <w:color w:val="auto"/>
                    </w:rPr>
                    <w:t>主要成分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vAlign w:val="center"/>
                </w:tcPr>
                <w:p>
                  <w:pPr>
                    <w:pStyle w:val="139"/>
                    <w:rPr>
                      <w:color w:val="auto"/>
                      <w:u w:val="single"/>
                    </w:rPr>
                  </w:pPr>
                  <w:r>
                    <w:rPr>
                      <w:rFonts w:hint="eastAsia"/>
                      <w:color w:val="auto"/>
                      <w:u w:val="single"/>
                    </w:rPr>
                    <w:t>1</w:t>
                  </w:r>
                </w:p>
              </w:tc>
              <w:tc>
                <w:tcPr>
                  <w:tcW w:w="454" w:type="dxa"/>
                  <w:vMerge w:val="restart"/>
                  <w:vAlign w:val="center"/>
                </w:tcPr>
                <w:p>
                  <w:pPr>
                    <w:pStyle w:val="139"/>
                    <w:rPr>
                      <w:color w:val="auto"/>
                      <w:u w:val="single"/>
                    </w:rPr>
                  </w:pPr>
                  <w:r>
                    <w:rPr>
                      <w:rFonts w:hint="eastAsia"/>
                      <w:color w:val="auto"/>
                      <w:u w:val="single"/>
                    </w:rPr>
                    <w:t>溶剂型</w:t>
                  </w:r>
                </w:p>
              </w:tc>
              <w:tc>
                <w:tcPr>
                  <w:tcW w:w="1318" w:type="dxa"/>
                  <w:vAlign w:val="center"/>
                </w:tcPr>
                <w:p>
                  <w:pPr>
                    <w:pStyle w:val="139"/>
                    <w:rPr>
                      <w:color w:val="auto"/>
                      <w:u w:val="single"/>
                    </w:rPr>
                  </w:pPr>
                  <w:r>
                    <w:rPr>
                      <w:rFonts w:hint="eastAsia"/>
                      <w:color w:val="auto"/>
                      <w:u w:val="single"/>
                    </w:rPr>
                    <w:t>底漆</w:t>
                  </w:r>
                </w:p>
              </w:tc>
              <w:tc>
                <w:tcPr>
                  <w:tcW w:w="1057" w:type="dxa"/>
                  <w:tcBorders>
                    <w:right w:val="single" w:color="auto" w:sz="4" w:space="0"/>
                  </w:tcBorders>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0.483</w:t>
                  </w:r>
                </w:p>
              </w:tc>
              <w:tc>
                <w:tcPr>
                  <w:tcW w:w="953" w:type="dxa"/>
                  <w:tcBorders>
                    <w:right w:val="single" w:color="auto" w:sz="4" w:space="0"/>
                  </w:tcBorders>
                  <w:vAlign w:val="center"/>
                </w:tcPr>
                <w:p>
                  <w:pPr>
                    <w:pStyle w:val="139"/>
                    <w:rPr>
                      <w:color w:val="auto"/>
                      <w:u w:val="single"/>
                    </w:rPr>
                  </w:pPr>
                  <w:r>
                    <w:rPr>
                      <w:rFonts w:hint="eastAsia"/>
                      <w:color w:val="auto"/>
                      <w:u w:val="single"/>
                    </w:rPr>
                    <w:t>0.1</w:t>
                  </w:r>
                </w:p>
              </w:tc>
              <w:tc>
                <w:tcPr>
                  <w:tcW w:w="953" w:type="dxa"/>
                  <w:tcBorders>
                    <w:left w:val="single" w:color="auto" w:sz="4" w:space="0"/>
                  </w:tcBorders>
                  <w:vAlign w:val="center"/>
                </w:tcPr>
                <w:p>
                  <w:pPr>
                    <w:adjustRightInd w:val="0"/>
                    <w:snapToGrid w:val="0"/>
                    <w:jc w:val="center"/>
                    <w:rPr>
                      <w:szCs w:val="21"/>
                      <w:u w:val="single"/>
                    </w:rPr>
                  </w:pPr>
                  <w:r>
                    <w:rPr>
                      <w:rFonts w:hint="eastAsia"/>
                      <w:szCs w:val="21"/>
                      <w:u w:val="single"/>
                    </w:rPr>
                    <w:t>t/a</w:t>
                  </w:r>
                </w:p>
              </w:tc>
              <w:tc>
                <w:tcPr>
                  <w:tcW w:w="822" w:type="dxa"/>
                  <w:tcBorders>
                    <w:left w:val="single" w:color="auto" w:sz="4" w:space="0"/>
                  </w:tcBorders>
                  <w:vAlign w:val="center"/>
                </w:tcPr>
                <w:p>
                  <w:pPr>
                    <w:pStyle w:val="139"/>
                    <w:rPr>
                      <w:color w:val="auto"/>
                      <w:u w:val="single"/>
                    </w:rPr>
                  </w:pPr>
                  <w:r>
                    <w:rPr>
                      <w:rFonts w:hint="eastAsia"/>
                      <w:color w:val="auto"/>
                      <w:u w:val="single"/>
                    </w:rPr>
                    <w:t>液态</w:t>
                  </w:r>
                </w:p>
              </w:tc>
              <w:tc>
                <w:tcPr>
                  <w:tcW w:w="1095" w:type="dxa"/>
                  <w:tcBorders>
                    <w:left w:val="single" w:color="auto" w:sz="4" w:space="0"/>
                  </w:tcBorders>
                  <w:vAlign w:val="center"/>
                </w:tcPr>
                <w:p>
                  <w:pPr>
                    <w:pStyle w:val="139"/>
                    <w:rPr>
                      <w:color w:val="auto"/>
                      <w:u w:val="single"/>
                    </w:rPr>
                  </w:pPr>
                  <w:r>
                    <w:rPr>
                      <w:rFonts w:hint="eastAsia"/>
                      <w:color w:val="auto"/>
                      <w:u w:val="single"/>
                    </w:rPr>
                    <w:t>外购</w:t>
                  </w:r>
                </w:p>
              </w:tc>
              <w:tc>
                <w:tcPr>
                  <w:tcW w:w="1051" w:type="dxa"/>
                  <w:vMerge w:val="restart"/>
                  <w:tcBorders>
                    <w:left w:val="single" w:color="auto" w:sz="4" w:space="0"/>
                  </w:tcBorders>
                  <w:vAlign w:val="center"/>
                </w:tcPr>
                <w:p>
                  <w:pPr>
                    <w:pStyle w:val="139"/>
                    <w:rPr>
                      <w:rFonts w:hint="default" w:eastAsia="宋体"/>
                      <w:color w:val="auto"/>
                      <w:u w:val="single"/>
                      <w:lang w:val="en-US" w:eastAsia="zh-CN"/>
                    </w:rPr>
                  </w:pPr>
                  <w:r>
                    <w:rPr>
                      <w:rFonts w:hint="eastAsia"/>
                      <w:color w:val="auto"/>
                      <w:u w:val="single"/>
                      <w:lang w:val="en-US" w:eastAsia="zh-CN"/>
                    </w:rPr>
                    <w:t>见下表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vAlign w:val="center"/>
                </w:tcPr>
                <w:p>
                  <w:pPr>
                    <w:pStyle w:val="139"/>
                    <w:rPr>
                      <w:color w:val="auto"/>
                      <w:u w:val="single"/>
                    </w:rPr>
                  </w:pPr>
                  <w:r>
                    <w:rPr>
                      <w:rFonts w:hint="eastAsia"/>
                      <w:color w:val="auto"/>
                      <w:u w:val="single"/>
                    </w:rPr>
                    <w:t>2</w:t>
                  </w:r>
                </w:p>
              </w:tc>
              <w:tc>
                <w:tcPr>
                  <w:tcW w:w="454" w:type="dxa"/>
                  <w:vMerge w:val="continue"/>
                  <w:vAlign w:val="center"/>
                </w:tcPr>
                <w:p>
                  <w:pPr>
                    <w:pStyle w:val="139"/>
                    <w:rPr>
                      <w:color w:val="auto"/>
                      <w:u w:val="single"/>
                    </w:rPr>
                  </w:pPr>
                </w:p>
              </w:tc>
              <w:tc>
                <w:tcPr>
                  <w:tcW w:w="1318" w:type="dxa"/>
                  <w:vAlign w:val="center"/>
                </w:tcPr>
                <w:p>
                  <w:pPr>
                    <w:pStyle w:val="139"/>
                    <w:rPr>
                      <w:color w:val="auto"/>
                      <w:u w:val="single"/>
                    </w:rPr>
                  </w:pPr>
                  <w:r>
                    <w:rPr>
                      <w:rFonts w:hint="eastAsia"/>
                      <w:color w:val="auto"/>
                      <w:u w:val="single"/>
                    </w:rPr>
                    <w:t>面漆</w:t>
                  </w:r>
                </w:p>
              </w:tc>
              <w:tc>
                <w:tcPr>
                  <w:tcW w:w="1057" w:type="dxa"/>
                  <w:tcBorders>
                    <w:right w:val="single" w:color="auto" w:sz="4" w:space="0"/>
                  </w:tcBorders>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0.672</w:t>
                  </w:r>
                </w:p>
              </w:tc>
              <w:tc>
                <w:tcPr>
                  <w:tcW w:w="953" w:type="dxa"/>
                  <w:tcBorders>
                    <w:right w:val="single" w:color="auto" w:sz="4" w:space="0"/>
                  </w:tcBorders>
                  <w:vAlign w:val="center"/>
                </w:tcPr>
                <w:p>
                  <w:pPr>
                    <w:pStyle w:val="139"/>
                    <w:rPr>
                      <w:color w:val="auto"/>
                      <w:u w:val="single"/>
                    </w:rPr>
                  </w:pPr>
                  <w:r>
                    <w:rPr>
                      <w:rFonts w:hint="eastAsia"/>
                      <w:color w:val="auto"/>
                      <w:u w:val="single"/>
                    </w:rPr>
                    <w:t>0.2</w:t>
                  </w:r>
                </w:p>
              </w:tc>
              <w:tc>
                <w:tcPr>
                  <w:tcW w:w="953" w:type="dxa"/>
                  <w:tcBorders>
                    <w:left w:val="single" w:color="auto" w:sz="4" w:space="0"/>
                  </w:tcBorders>
                  <w:vAlign w:val="center"/>
                </w:tcPr>
                <w:p>
                  <w:pPr>
                    <w:adjustRightInd w:val="0"/>
                    <w:snapToGrid w:val="0"/>
                    <w:jc w:val="center"/>
                    <w:rPr>
                      <w:szCs w:val="21"/>
                      <w:u w:val="single"/>
                    </w:rPr>
                  </w:pPr>
                  <w:r>
                    <w:rPr>
                      <w:rFonts w:hint="eastAsia"/>
                      <w:szCs w:val="21"/>
                      <w:u w:val="single"/>
                    </w:rPr>
                    <w:t>t/a</w:t>
                  </w:r>
                </w:p>
              </w:tc>
              <w:tc>
                <w:tcPr>
                  <w:tcW w:w="822" w:type="dxa"/>
                  <w:tcBorders>
                    <w:left w:val="single" w:color="auto" w:sz="4" w:space="0"/>
                  </w:tcBorders>
                  <w:vAlign w:val="center"/>
                </w:tcPr>
                <w:p>
                  <w:pPr>
                    <w:pStyle w:val="139"/>
                    <w:rPr>
                      <w:color w:val="auto"/>
                      <w:u w:val="single"/>
                    </w:rPr>
                  </w:pPr>
                  <w:r>
                    <w:rPr>
                      <w:rFonts w:hint="eastAsia"/>
                      <w:color w:val="auto"/>
                      <w:u w:val="single"/>
                    </w:rPr>
                    <w:t>液态</w:t>
                  </w:r>
                </w:p>
              </w:tc>
              <w:tc>
                <w:tcPr>
                  <w:tcW w:w="1095" w:type="dxa"/>
                  <w:tcBorders>
                    <w:left w:val="single" w:color="auto" w:sz="4" w:space="0"/>
                  </w:tcBorders>
                  <w:vAlign w:val="center"/>
                </w:tcPr>
                <w:p>
                  <w:pPr>
                    <w:jc w:val="center"/>
                    <w:rPr>
                      <w:u w:val="single"/>
                    </w:rPr>
                  </w:pPr>
                  <w:r>
                    <w:rPr>
                      <w:rFonts w:hint="eastAsia"/>
                      <w:u w:val="single"/>
                    </w:rPr>
                    <w:t>外购</w:t>
                  </w:r>
                </w:p>
              </w:tc>
              <w:tc>
                <w:tcPr>
                  <w:tcW w:w="1051" w:type="dxa"/>
                  <w:vMerge w:val="continue"/>
                  <w:tcBorders>
                    <w:left w:val="single" w:color="auto" w:sz="4" w:space="0"/>
                  </w:tcBorders>
                  <w:vAlign w:val="center"/>
                </w:tcPr>
                <w:p>
                  <w:pPr>
                    <w:jc w:val="center"/>
                    <w:rPr>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vAlign w:val="center"/>
                </w:tcPr>
                <w:p>
                  <w:pPr>
                    <w:pStyle w:val="139"/>
                    <w:rPr>
                      <w:color w:val="auto"/>
                      <w:u w:val="single"/>
                    </w:rPr>
                  </w:pPr>
                  <w:r>
                    <w:rPr>
                      <w:rFonts w:hint="eastAsia"/>
                      <w:color w:val="auto"/>
                      <w:u w:val="single"/>
                    </w:rPr>
                    <w:t>3</w:t>
                  </w:r>
                </w:p>
              </w:tc>
              <w:tc>
                <w:tcPr>
                  <w:tcW w:w="454" w:type="dxa"/>
                  <w:vMerge w:val="continue"/>
                  <w:vAlign w:val="center"/>
                </w:tcPr>
                <w:p>
                  <w:pPr>
                    <w:pStyle w:val="139"/>
                    <w:rPr>
                      <w:color w:val="auto"/>
                      <w:u w:val="single"/>
                    </w:rPr>
                  </w:pPr>
                </w:p>
              </w:tc>
              <w:tc>
                <w:tcPr>
                  <w:tcW w:w="1318" w:type="dxa"/>
                  <w:vAlign w:val="center"/>
                </w:tcPr>
                <w:p>
                  <w:pPr>
                    <w:pStyle w:val="139"/>
                    <w:rPr>
                      <w:color w:val="auto"/>
                      <w:u w:val="single"/>
                    </w:rPr>
                  </w:pPr>
                  <w:r>
                    <w:rPr>
                      <w:rFonts w:hint="eastAsia"/>
                      <w:color w:val="auto"/>
                      <w:u w:val="single"/>
                    </w:rPr>
                    <w:t>稀释剂</w:t>
                  </w:r>
                </w:p>
              </w:tc>
              <w:tc>
                <w:tcPr>
                  <w:tcW w:w="1057" w:type="dxa"/>
                  <w:tcBorders>
                    <w:right w:val="single" w:color="auto" w:sz="4" w:space="0"/>
                  </w:tcBorders>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0.578</w:t>
                  </w:r>
                </w:p>
              </w:tc>
              <w:tc>
                <w:tcPr>
                  <w:tcW w:w="953" w:type="dxa"/>
                  <w:tcBorders>
                    <w:right w:val="single" w:color="auto" w:sz="4" w:space="0"/>
                  </w:tcBorders>
                  <w:vAlign w:val="center"/>
                </w:tcPr>
                <w:p>
                  <w:pPr>
                    <w:pStyle w:val="139"/>
                    <w:rPr>
                      <w:color w:val="auto"/>
                      <w:u w:val="single"/>
                    </w:rPr>
                  </w:pPr>
                  <w:r>
                    <w:rPr>
                      <w:rFonts w:hint="eastAsia"/>
                      <w:color w:val="auto"/>
                      <w:u w:val="single"/>
                    </w:rPr>
                    <w:t>0.1</w:t>
                  </w:r>
                </w:p>
              </w:tc>
              <w:tc>
                <w:tcPr>
                  <w:tcW w:w="953" w:type="dxa"/>
                  <w:tcBorders>
                    <w:left w:val="single" w:color="auto" w:sz="4" w:space="0"/>
                  </w:tcBorders>
                  <w:vAlign w:val="center"/>
                </w:tcPr>
                <w:p>
                  <w:pPr>
                    <w:adjustRightInd w:val="0"/>
                    <w:snapToGrid w:val="0"/>
                    <w:jc w:val="center"/>
                    <w:rPr>
                      <w:szCs w:val="21"/>
                      <w:u w:val="single"/>
                    </w:rPr>
                  </w:pPr>
                  <w:r>
                    <w:rPr>
                      <w:rFonts w:hint="eastAsia"/>
                      <w:szCs w:val="21"/>
                      <w:u w:val="single"/>
                    </w:rPr>
                    <w:t>t/a</w:t>
                  </w:r>
                </w:p>
              </w:tc>
              <w:tc>
                <w:tcPr>
                  <w:tcW w:w="822" w:type="dxa"/>
                  <w:tcBorders>
                    <w:left w:val="single" w:color="auto" w:sz="4" w:space="0"/>
                  </w:tcBorders>
                  <w:vAlign w:val="center"/>
                </w:tcPr>
                <w:p>
                  <w:pPr>
                    <w:pStyle w:val="139"/>
                    <w:rPr>
                      <w:color w:val="auto"/>
                      <w:u w:val="single"/>
                    </w:rPr>
                  </w:pPr>
                  <w:r>
                    <w:rPr>
                      <w:rFonts w:hint="eastAsia"/>
                      <w:color w:val="auto"/>
                      <w:u w:val="single"/>
                    </w:rPr>
                    <w:t>液态</w:t>
                  </w:r>
                </w:p>
              </w:tc>
              <w:tc>
                <w:tcPr>
                  <w:tcW w:w="1095" w:type="dxa"/>
                  <w:tcBorders>
                    <w:left w:val="single" w:color="auto" w:sz="4" w:space="0"/>
                  </w:tcBorders>
                  <w:vAlign w:val="center"/>
                </w:tcPr>
                <w:p>
                  <w:pPr>
                    <w:jc w:val="center"/>
                    <w:rPr>
                      <w:u w:val="single"/>
                    </w:rPr>
                  </w:pPr>
                  <w:r>
                    <w:rPr>
                      <w:rFonts w:hint="eastAsia"/>
                      <w:szCs w:val="21"/>
                      <w:u w:val="single"/>
                    </w:rPr>
                    <w:t>外购</w:t>
                  </w:r>
                </w:p>
              </w:tc>
              <w:tc>
                <w:tcPr>
                  <w:tcW w:w="1051" w:type="dxa"/>
                  <w:vMerge w:val="continue"/>
                  <w:tcBorders>
                    <w:left w:val="single" w:color="auto" w:sz="4" w:space="0"/>
                  </w:tcBorders>
                  <w:vAlign w:val="center"/>
                </w:tcPr>
                <w:p>
                  <w:pPr>
                    <w:jc w:val="center"/>
                    <w:rPr>
                      <w:szCs w:val="21"/>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vAlign w:val="center"/>
                </w:tcPr>
                <w:p>
                  <w:pPr>
                    <w:pStyle w:val="139"/>
                    <w:rPr>
                      <w:color w:val="auto"/>
                      <w:u w:val="single"/>
                    </w:rPr>
                  </w:pPr>
                  <w:r>
                    <w:rPr>
                      <w:rFonts w:hint="eastAsia"/>
                      <w:color w:val="auto"/>
                      <w:u w:val="single"/>
                    </w:rPr>
                    <w:t>4</w:t>
                  </w:r>
                </w:p>
              </w:tc>
              <w:tc>
                <w:tcPr>
                  <w:tcW w:w="454" w:type="dxa"/>
                  <w:vMerge w:val="continue"/>
                  <w:vAlign w:val="center"/>
                </w:tcPr>
                <w:p>
                  <w:pPr>
                    <w:pStyle w:val="139"/>
                    <w:rPr>
                      <w:color w:val="auto"/>
                      <w:u w:val="single"/>
                    </w:rPr>
                  </w:pPr>
                </w:p>
              </w:tc>
              <w:tc>
                <w:tcPr>
                  <w:tcW w:w="1318" w:type="dxa"/>
                  <w:vAlign w:val="center"/>
                </w:tcPr>
                <w:p>
                  <w:pPr>
                    <w:pStyle w:val="139"/>
                    <w:rPr>
                      <w:color w:val="auto"/>
                      <w:u w:val="single"/>
                    </w:rPr>
                  </w:pPr>
                  <w:r>
                    <w:rPr>
                      <w:rFonts w:hint="eastAsia"/>
                      <w:color w:val="auto"/>
                      <w:u w:val="single"/>
                    </w:rPr>
                    <w:t>固化剂</w:t>
                  </w:r>
                </w:p>
              </w:tc>
              <w:tc>
                <w:tcPr>
                  <w:tcW w:w="1057" w:type="dxa"/>
                  <w:tcBorders>
                    <w:right w:val="single" w:color="auto" w:sz="4" w:space="0"/>
                  </w:tcBorders>
                  <w:vAlign w:val="center"/>
                </w:tcPr>
                <w:p>
                  <w:pPr>
                    <w:adjustRightInd w:val="0"/>
                    <w:snapToGrid w:val="0"/>
                    <w:jc w:val="center"/>
                    <w:rPr>
                      <w:szCs w:val="21"/>
                      <w:u w:val="single"/>
                    </w:rPr>
                  </w:pPr>
                  <w:r>
                    <w:rPr>
                      <w:rFonts w:hint="eastAsia"/>
                      <w:szCs w:val="21"/>
                      <w:u w:val="single"/>
                      <w:lang w:val="en-US" w:eastAsia="zh-CN"/>
                    </w:rPr>
                    <w:t>0.578</w:t>
                  </w:r>
                </w:p>
              </w:tc>
              <w:tc>
                <w:tcPr>
                  <w:tcW w:w="953" w:type="dxa"/>
                  <w:tcBorders>
                    <w:right w:val="single" w:color="auto" w:sz="4" w:space="0"/>
                  </w:tcBorders>
                  <w:vAlign w:val="center"/>
                </w:tcPr>
                <w:p>
                  <w:pPr>
                    <w:pStyle w:val="139"/>
                    <w:rPr>
                      <w:color w:val="auto"/>
                      <w:u w:val="single"/>
                    </w:rPr>
                  </w:pPr>
                  <w:r>
                    <w:rPr>
                      <w:rFonts w:hint="eastAsia"/>
                      <w:color w:val="auto"/>
                      <w:u w:val="single"/>
                    </w:rPr>
                    <w:t>0.1</w:t>
                  </w:r>
                </w:p>
              </w:tc>
              <w:tc>
                <w:tcPr>
                  <w:tcW w:w="953" w:type="dxa"/>
                  <w:tcBorders>
                    <w:left w:val="single" w:color="auto" w:sz="4" w:space="0"/>
                  </w:tcBorders>
                  <w:vAlign w:val="center"/>
                </w:tcPr>
                <w:p>
                  <w:pPr>
                    <w:adjustRightInd w:val="0"/>
                    <w:snapToGrid w:val="0"/>
                    <w:jc w:val="center"/>
                    <w:rPr>
                      <w:szCs w:val="21"/>
                      <w:u w:val="single"/>
                    </w:rPr>
                  </w:pPr>
                  <w:r>
                    <w:rPr>
                      <w:rFonts w:hint="eastAsia"/>
                      <w:szCs w:val="21"/>
                      <w:u w:val="single"/>
                    </w:rPr>
                    <w:t>t/a</w:t>
                  </w:r>
                </w:p>
              </w:tc>
              <w:tc>
                <w:tcPr>
                  <w:tcW w:w="822" w:type="dxa"/>
                  <w:tcBorders>
                    <w:left w:val="single" w:color="auto" w:sz="4" w:space="0"/>
                  </w:tcBorders>
                  <w:vAlign w:val="center"/>
                </w:tcPr>
                <w:p>
                  <w:pPr>
                    <w:pStyle w:val="139"/>
                    <w:rPr>
                      <w:color w:val="auto"/>
                      <w:u w:val="single"/>
                    </w:rPr>
                  </w:pPr>
                  <w:r>
                    <w:rPr>
                      <w:rFonts w:hint="eastAsia"/>
                      <w:color w:val="auto"/>
                      <w:u w:val="single"/>
                    </w:rPr>
                    <w:t>液态</w:t>
                  </w:r>
                </w:p>
              </w:tc>
              <w:tc>
                <w:tcPr>
                  <w:tcW w:w="1095" w:type="dxa"/>
                  <w:tcBorders>
                    <w:left w:val="single" w:color="auto" w:sz="4" w:space="0"/>
                  </w:tcBorders>
                  <w:vAlign w:val="center"/>
                </w:tcPr>
                <w:p>
                  <w:pPr>
                    <w:jc w:val="center"/>
                    <w:rPr>
                      <w:u w:val="single"/>
                    </w:rPr>
                  </w:pPr>
                  <w:r>
                    <w:rPr>
                      <w:rFonts w:hint="eastAsia"/>
                      <w:szCs w:val="21"/>
                      <w:u w:val="single"/>
                    </w:rPr>
                    <w:t>外购</w:t>
                  </w:r>
                </w:p>
              </w:tc>
              <w:tc>
                <w:tcPr>
                  <w:tcW w:w="1051" w:type="dxa"/>
                  <w:vMerge w:val="continue"/>
                  <w:tcBorders>
                    <w:left w:val="single" w:color="auto" w:sz="4" w:space="0"/>
                  </w:tcBorders>
                  <w:vAlign w:val="center"/>
                </w:tcPr>
                <w:p>
                  <w:pPr>
                    <w:jc w:val="center"/>
                    <w:rPr>
                      <w:szCs w:val="21"/>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vAlign w:val="center"/>
                </w:tcPr>
                <w:p>
                  <w:pPr>
                    <w:pStyle w:val="139"/>
                    <w:rPr>
                      <w:color w:val="auto"/>
                      <w:u w:val="single"/>
                    </w:rPr>
                  </w:pPr>
                  <w:r>
                    <w:rPr>
                      <w:rFonts w:hint="eastAsia"/>
                      <w:color w:val="auto"/>
                      <w:u w:val="single"/>
                    </w:rPr>
                    <w:t>5</w:t>
                  </w:r>
                </w:p>
              </w:tc>
              <w:tc>
                <w:tcPr>
                  <w:tcW w:w="454" w:type="dxa"/>
                  <w:vMerge w:val="restart"/>
                  <w:vAlign w:val="center"/>
                </w:tcPr>
                <w:p>
                  <w:pPr>
                    <w:pStyle w:val="139"/>
                    <w:rPr>
                      <w:color w:val="auto"/>
                      <w:u w:val="single"/>
                    </w:rPr>
                  </w:pPr>
                  <w:r>
                    <w:rPr>
                      <w:rFonts w:hint="eastAsia"/>
                      <w:color w:val="auto"/>
                      <w:u w:val="single"/>
                    </w:rPr>
                    <w:t>水性漆</w:t>
                  </w:r>
                </w:p>
              </w:tc>
              <w:tc>
                <w:tcPr>
                  <w:tcW w:w="1318" w:type="dxa"/>
                  <w:vAlign w:val="center"/>
                </w:tcPr>
                <w:p>
                  <w:pPr>
                    <w:pStyle w:val="139"/>
                    <w:rPr>
                      <w:color w:val="auto"/>
                      <w:u w:val="single"/>
                    </w:rPr>
                  </w:pPr>
                  <w:r>
                    <w:rPr>
                      <w:rFonts w:hint="eastAsia"/>
                      <w:color w:val="auto"/>
                      <w:u w:val="single"/>
                    </w:rPr>
                    <w:t>水性底漆</w:t>
                  </w:r>
                </w:p>
              </w:tc>
              <w:tc>
                <w:tcPr>
                  <w:tcW w:w="1057" w:type="dxa"/>
                  <w:tcBorders>
                    <w:right w:val="single" w:color="auto" w:sz="4" w:space="0"/>
                  </w:tcBorders>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4.244</w:t>
                  </w:r>
                </w:p>
              </w:tc>
              <w:tc>
                <w:tcPr>
                  <w:tcW w:w="953" w:type="dxa"/>
                  <w:tcBorders>
                    <w:right w:val="single" w:color="auto" w:sz="4" w:space="0"/>
                  </w:tcBorders>
                  <w:vAlign w:val="center"/>
                </w:tcPr>
                <w:p>
                  <w:pPr>
                    <w:pStyle w:val="139"/>
                    <w:rPr>
                      <w:color w:val="auto"/>
                      <w:u w:val="single"/>
                    </w:rPr>
                  </w:pPr>
                  <w:r>
                    <w:rPr>
                      <w:rFonts w:hint="eastAsia"/>
                      <w:color w:val="auto"/>
                      <w:u w:val="single"/>
                    </w:rPr>
                    <w:t>0.5</w:t>
                  </w:r>
                </w:p>
              </w:tc>
              <w:tc>
                <w:tcPr>
                  <w:tcW w:w="953" w:type="dxa"/>
                  <w:tcBorders>
                    <w:left w:val="single" w:color="auto" w:sz="4" w:space="0"/>
                  </w:tcBorders>
                  <w:vAlign w:val="center"/>
                </w:tcPr>
                <w:p>
                  <w:pPr>
                    <w:adjustRightInd w:val="0"/>
                    <w:snapToGrid w:val="0"/>
                    <w:jc w:val="center"/>
                    <w:rPr>
                      <w:szCs w:val="21"/>
                      <w:u w:val="single"/>
                    </w:rPr>
                  </w:pPr>
                  <w:r>
                    <w:rPr>
                      <w:rFonts w:hint="eastAsia"/>
                      <w:szCs w:val="21"/>
                      <w:u w:val="single"/>
                    </w:rPr>
                    <w:t>t/a</w:t>
                  </w:r>
                </w:p>
              </w:tc>
              <w:tc>
                <w:tcPr>
                  <w:tcW w:w="822" w:type="dxa"/>
                  <w:tcBorders>
                    <w:left w:val="single" w:color="auto" w:sz="4" w:space="0"/>
                  </w:tcBorders>
                  <w:vAlign w:val="center"/>
                </w:tcPr>
                <w:p>
                  <w:pPr>
                    <w:pStyle w:val="139"/>
                    <w:rPr>
                      <w:color w:val="auto"/>
                      <w:u w:val="single"/>
                    </w:rPr>
                  </w:pPr>
                  <w:r>
                    <w:rPr>
                      <w:rFonts w:hint="eastAsia"/>
                      <w:color w:val="auto"/>
                      <w:u w:val="single"/>
                    </w:rPr>
                    <w:t>液态</w:t>
                  </w:r>
                </w:p>
              </w:tc>
              <w:tc>
                <w:tcPr>
                  <w:tcW w:w="1095" w:type="dxa"/>
                  <w:tcBorders>
                    <w:left w:val="single" w:color="auto" w:sz="4" w:space="0"/>
                  </w:tcBorders>
                  <w:vAlign w:val="center"/>
                </w:tcPr>
                <w:p>
                  <w:pPr>
                    <w:jc w:val="center"/>
                    <w:rPr>
                      <w:u w:val="single"/>
                    </w:rPr>
                  </w:pPr>
                  <w:r>
                    <w:rPr>
                      <w:rFonts w:hint="eastAsia"/>
                      <w:szCs w:val="21"/>
                      <w:u w:val="single"/>
                    </w:rPr>
                    <w:t>外购</w:t>
                  </w:r>
                </w:p>
              </w:tc>
              <w:tc>
                <w:tcPr>
                  <w:tcW w:w="1051" w:type="dxa"/>
                  <w:tcBorders>
                    <w:left w:val="single" w:color="auto" w:sz="4" w:space="0"/>
                  </w:tcBorders>
                  <w:vAlign w:val="center"/>
                </w:tcPr>
                <w:p>
                  <w:pPr>
                    <w:jc w:val="center"/>
                    <w:rPr>
                      <w:rFonts w:hint="default" w:eastAsia="宋体"/>
                      <w:szCs w:val="21"/>
                      <w:u w:val="single"/>
                      <w:lang w:val="en-US" w:eastAsia="zh-CN"/>
                    </w:rPr>
                  </w:pPr>
                  <w:r>
                    <w:rPr>
                      <w:rFonts w:hint="eastAsia"/>
                      <w:szCs w:val="21"/>
                      <w:u w:val="single"/>
                      <w:lang w:val="en-US" w:eastAsia="zh-CN"/>
                    </w:rPr>
                    <w:t>VOCs占比0.7%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vAlign w:val="center"/>
                </w:tcPr>
                <w:p>
                  <w:pPr>
                    <w:pStyle w:val="139"/>
                    <w:rPr>
                      <w:color w:val="auto"/>
                      <w:u w:val="single"/>
                    </w:rPr>
                  </w:pPr>
                  <w:r>
                    <w:rPr>
                      <w:rFonts w:hint="eastAsia"/>
                      <w:color w:val="auto"/>
                      <w:u w:val="single"/>
                    </w:rPr>
                    <w:t>6</w:t>
                  </w:r>
                </w:p>
              </w:tc>
              <w:tc>
                <w:tcPr>
                  <w:tcW w:w="454" w:type="dxa"/>
                  <w:vMerge w:val="continue"/>
                  <w:vAlign w:val="center"/>
                </w:tcPr>
                <w:p>
                  <w:pPr>
                    <w:pStyle w:val="139"/>
                    <w:rPr>
                      <w:color w:val="auto"/>
                      <w:u w:val="single"/>
                    </w:rPr>
                  </w:pPr>
                </w:p>
              </w:tc>
              <w:tc>
                <w:tcPr>
                  <w:tcW w:w="1318" w:type="dxa"/>
                  <w:vAlign w:val="center"/>
                </w:tcPr>
                <w:p>
                  <w:pPr>
                    <w:pStyle w:val="139"/>
                    <w:rPr>
                      <w:color w:val="auto"/>
                      <w:u w:val="single"/>
                    </w:rPr>
                  </w:pPr>
                  <w:r>
                    <w:rPr>
                      <w:rFonts w:hint="eastAsia"/>
                      <w:color w:val="auto"/>
                      <w:u w:val="single"/>
                    </w:rPr>
                    <w:t>水性面漆</w:t>
                  </w:r>
                </w:p>
              </w:tc>
              <w:tc>
                <w:tcPr>
                  <w:tcW w:w="1057" w:type="dxa"/>
                  <w:tcBorders>
                    <w:right w:val="single" w:color="auto" w:sz="4" w:space="0"/>
                  </w:tcBorders>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7.792</w:t>
                  </w:r>
                </w:p>
              </w:tc>
              <w:tc>
                <w:tcPr>
                  <w:tcW w:w="953" w:type="dxa"/>
                  <w:tcBorders>
                    <w:right w:val="single" w:color="auto" w:sz="4" w:space="0"/>
                  </w:tcBorders>
                  <w:vAlign w:val="center"/>
                </w:tcPr>
                <w:p>
                  <w:pPr>
                    <w:pStyle w:val="139"/>
                    <w:rPr>
                      <w:color w:val="auto"/>
                      <w:u w:val="single"/>
                    </w:rPr>
                  </w:pPr>
                  <w:r>
                    <w:rPr>
                      <w:rFonts w:hint="eastAsia"/>
                      <w:color w:val="auto"/>
                      <w:u w:val="single"/>
                    </w:rPr>
                    <w:t>0.5</w:t>
                  </w:r>
                </w:p>
              </w:tc>
              <w:tc>
                <w:tcPr>
                  <w:tcW w:w="953" w:type="dxa"/>
                  <w:tcBorders>
                    <w:left w:val="single" w:color="auto" w:sz="4" w:space="0"/>
                  </w:tcBorders>
                  <w:vAlign w:val="center"/>
                </w:tcPr>
                <w:p>
                  <w:pPr>
                    <w:adjustRightInd w:val="0"/>
                    <w:snapToGrid w:val="0"/>
                    <w:jc w:val="center"/>
                    <w:rPr>
                      <w:szCs w:val="21"/>
                      <w:u w:val="single"/>
                    </w:rPr>
                  </w:pPr>
                  <w:r>
                    <w:rPr>
                      <w:rFonts w:hint="eastAsia"/>
                      <w:szCs w:val="21"/>
                      <w:u w:val="single"/>
                    </w:rPr>
                    <w:t>t/a</w:t>
                  </w:r>
                </w:p>
              </w:tc>
              <w:tc>
                <w:tcPr>
                  <w:tcW w:w="822" w:type="dxa"/>
                  <w:tcBorders>
                    <w:left w:val="single" w:color="auto" w:sz="4" w:space="0"/>
                  </w:tcBorders>
                  <w:vAlign w:val="center"/>
                </w:tcPr>
                <w:p>
                  <w:pPr>
                    <w:pStyle w:val="139"/>
                    <w:rPr>
                      <w:color w:val="auto"/>
                      <w:u w:val="single"/>
                    </w:rPr>
                  </w:pPr>
                  <w:r>
                    <w:rPr>
                      <w:rFonts w:hint="eastAsia"/>
                      <w:color w:val="auto"/>
                      <w:u w:val="single"/>
                    </w:rPr>
                    <w:t>液态</w:t>
                  </w:r>
                </w:p>
              </w:tc>
              <w:tc>
                <w:tcPr>
                  <w:tcW w:w="1095" w:type="dxa"/>
                  <w:tcBorders>
                    <w:left w:val="single" w:color="auto" w:sz="4" w:space="0"/>
                  </w:tcBorders>
                  <w:vAlign w:val="center"/>
                </w:tcPr>
                <w:p>
                  <w:pPr>
                    <w:jc w:val="center"/>
                    <w:rPr>
                      <w:u w:val="single"/>
                    </w:rPr>
                  </w:pPr>
                  <w:r>
                    <w:rPr>
                      <w:rFonts w:hint="eastAsia"/>
                      <w:szCs w:val="21"/>
                      <w:u w:val="single"/>
                    </w:rPr>
                    <w:t>外购</w:t>
                  </w:r>
                </w:p>
              </w:tc>
              <w:tc>
                <w:tcPr>
                  <w:tcW w:w="1051" w:type="dxa"/>
                  <w:tcBorders>
                    <w:left w:val="single" w:color="auto" w:sz="4" w:space="0"/>
                  </w:tcBorders>
                  <w:vAlign w:val="center"/>
                </w:tcPr>
                <w:p>
                  <w:pPr>
                    <w:jc w:val="center"/>
                    <w:rPr>
                      <w:szCs w:val="21"/>
                      <w:u w:val="single"/>
                    </w:rPr>
                  </w:pPr>
                  <w:r>
                    <w:rPr>
                      <w:rFonts w:hint="eastAsia"/>
                      <w:szCs w:val="21"/>
                      <w:u w:val="single"/>
                      <w:lang w:val="en-US" w:eastAsia="zh-CN"/>
                    </w:rPr>
                    <w:t>VOCs占比7.2%L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vAlign w:val="center"/>
                </w:tcPr>
                <w:p>
                  <w:pPr>
                    <w:pStyle w:val="139"/>
                    <w:rPr>
                      <w:color w:val="auto"/>
                      <w:u w:val="single"/>
                    </w:rPr>
                  </w:pPr>
                  <w:r>
                    <w:rPr>
                      <w:rFonts w:hint="eastAsia"/>
                      <w:color w:val="auto"/>
                      <w:u w:val="single"/>
                    </w:rPr>
                    <w:t>7</w:t>
                  </w:r>
                </w:p>
              </w:tc>
              <w:tc>
                <w:tcPr>
                  <w:tcW w:w="454" w:type="dxa"/>
                  <w:vMerge w:val="continue"/>
                  <w:vAlign w:val="center"/>
                </w:tcPr>
                <w:p>
                  <w:pPr>
                    <w:pStyle w:val="139"/>
                    <w:rPr>
                      <w:color w:val="auto"/>
                      <w:u w:val="single"/>
                    </w:rPr>
                  </w:pPr>
                </w:p>
              </w:tc>
              <w:tc>
                <w:tcPr>
                  <w:tcW w:w="1318" w:type="dxa"/>
                  <w:vAlign w:val="center"/>
                </w:tcPr>
                <w:p>
                  <w:pPr>
                    <w:pStyle w:val="139"/>
                    <w:rPr>
                      <w:color w:val="auto"/>
                      <w:u w:val="single"/>
                    </w:rPr>
                  </w:pPr>
                  <w:r>
                    <w:rPr>
                      <w:rFonts w:hint="eastAsia"/>
                      <w:color w:val="auto"/>
                      <w:u w:val="single"/>
                    </w:rPr>
                    <w:t>水性固化剂</w:t>
                  </w:r>
                </w:p>
              </w:tc>
              <w:tc>
                <w:tcPr>
                  <w:tcW w:w="1057" w:type="dxa"/>
                  <w:tcBorders>
                    <w:right w:val="single" w:color="auto" w:sz="4" w:space="0"/>
                  </w:tcBorders>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3.658</w:t>
                  </w:r>
                </w:p>
              </w:tc>
              <w:tc>
                <w:tcPr>
                  <w:tcW w:w="953" w:type="dxa"/>
                  <w:tcBorders>
                    <w:right w:val="single" w:color="auto" w:sz="4" w:space="0"/>
                  </w:tcBorders>
                  <w:vAlign w:val="center"/>
                </w:tcPr>
                <w:p>
                  <w:pPr>
                    <w:pStyle w:val="139"/>
                    <w:rPr>
                      <w:color w:val="auto"/>
                      <w:u w:val="single"/>
                    </w:rPr>
                  </w:pPr>
                  <w:r>
                    <w:rPr>
                      <w:rFonts w:hint="eastAsia"/>
                      <w:color w:val="auto"/>
                      <w:u w:val="single"/>
                    </w:rPr>
                    <w:t>0.5</w:t>
                  </w:r>
                </w:p>
              </w:tc>
              <w:tc>
                <w:tcPr>
                  <w:tcW w:w="953" w:type="dxa"/>
                  <w:tcBorders>
                    <w:left w:val="single" w:color="auto" w:sz="4" w:space="0"/>
                  </w:tcBorders>
                  <w:vAlign w:val="center"/>
                </w:tcPr>
                <w:p>
                  <w:pPr>
                    <w:adjustRightInd w:val="0"/>
                    <w:snapToGrid w:val="0"/>
                    <w:jc w:val="center"/>
                    <w:rPr>
                      <w:szCs w:val="21"/>
                      <w:u w:val="single"/>
                    </w:rPr>
                  </w:pPr>
                  <w:r>
                    <w:rPr>
                      <w:rFonts w:hint="eastAsia"/>
                      <w:szCs w:val="21"/>
                      <w:u w:val="single"/>
                    </w:rPr>
                    <w:t>t/a</w:t>
                  </w:r>
                </w:p>
              </w:tc>
              <w:tc>
                <w:tcPr>
                  <w:tcW w:w="822" w:type="dxa"/>
                  <w:tcBorders>
                    <w:left w:val="single" w:color="auto" w:sz="4" w:space="0"/>
                  </w:tcBorders>
                  <w:vAlign w:val="center"/>
                </w:tcPr>
                <w:p>
                  <w:pPr>
                    <w:pStyle w:val="139"/>
                    <w:rPr>
                      <w:color w:val="auto"/>
                      <w:u w:val="single"/>
                    </w:rPr>
                  </w:pPr>
                  <w:r>
                    <w:rPr>
                      <w:rFonts w:hint="eastAsia"/>
                      <w:color w:val="auto"/>
                      <w:u w:val="single"/>
                    </w:rPr>
                    <w:t>液态</w:t>
                  </w:r>
                </w:p>
              </w:tc>
              <w:tc>
                <w:tcPr>
                  <w:tcW w:w="1095" w:type="dxa"/>
                  <w:tcBorders>
                    <w:left w:val="single" w:color="auto" w:sz="4" w:space="0"/>
                  </w:tcBorders>
                  <w:vAlign w:val="center"/>
                </w:tcPr>
                <w:p>
                  <w:pPr>
                    <w:jc w:val="center"/>
                    <w:rPr>
                      <w:szCs w:val="21"/>
                      <w:u w:val="single"/>
                    </w:rPr>
                  </w:pPr>
                  <w:r>
                    <w:rPr>
                      <w:rFonts w:hint="eastAsia"/>
                      <w:szCs w:val="21"/>
                      <w:u w:val="single"/>
                    </w:rPr>
                    <w:t>外购</w:t>
                  </w:r>
                </w:p>
              </w:tc>
              <w:tc>
                <w:tcPr>
                  <w:tcW w:w="1051" w:type="dxa"/>
                  <w:tcBorders>
                    <w:left w:val="single" w:color="auto" w:sz="4" w:space="0"/>
                  </w:tcBorders>
                  <w:vAlign w:val="center"/>
                </w:tcPr>
                <w:p>
                  <w:pPr>
                    <w:jc w:val="center"/>
                    <w:rPr>
                      <w:rFonts w:hint="default"/>
                      <w:szCs w:val="21"/>
                      <w:u w:val="single"/>
                      <w:lang w:val="en-US"/>
                    </w:rPr>
                  </w:pPr>
                  <w:r>
                    <w:rPr>
                      <w:rFonts w:hint="eastAsia"/>
                      <w:szCs w:val="21"/>
                      <w:u w:val="single"/>
                      <w:lang w:val="en-US" w:eastAsia="zh-CN"/>
                    </w:rPr>
                    <w:t>VOCs占比25%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vAlign w:val="center"/>
                </w:tcPr>
                <w:p>
                  <w:pPr>
                    <w:pStyle w:val="139"/>
                    <w:rPr>
                      <w:color w:val="auto"/>
                    </w:rPr>
                  </w:pPr>
                  <w:r>
                    <w:rPr>
                      <w:rFonts w:hint="eastAsia"/>
                      <w:color w:val="auto"/>
                    </w:rPr>
                    <w:t>8</w:t>
                  </w:r>
                </w:p>
              </w:tc>
              <w:tc>
                <w:tcPr>
                  <w:tcW w:w="1772" w:type="dxa"/>
                  <w:gridSpan w:val="2"/>
                  <w:vAlign w:val="center"/>
                </w:tcPr>
                <w:p>
                  <w:pPr>
                    <w:adjustRightInd w:val="0"/>
                    <w:snapToGrid w:val="0"/>
                    <w:jc w:val="center"/>
                    <w:rPr>
                      <w:szCs w:val="21"/>
                    </w:rPr>
                  </w:pPr>
                  <w:r>
                    <w:rPr>
                      <w:rFonts w:hint="eastAsia"/>
                    </w:rPr>
                    <w:t>水基胶</w:t>
                  </w:r>
                </w:p>
              </w:tc>
              <w:tc>
                <w:tcPr>
                  <w:tcW w:w="1057" w:type="dxa"/>
                  <w:tcBorders>
                    <w:right w:val="single" w:color="auto" w:sz="4" w:space="0"/>
                  </w:tcBorders>
                  <w:vAlign w:val="center"/>
                </w:tcPr>
                <w:p>
                  <w:pPr>
                    <w:adjustRightInd w:val="0"/>
                    <w:snapToGrid w:val="0"/>
                    <w:jc w:val="center"/>
                    <w:rPr>
                      <w:rFonts w:hint="default" w:eastAsia="宋体"/>
                      <w:szCs w:val="21"/>
                      <w:lang w:val="en-US" w:eastAsia="zh-CN"/>
                    </w:rPr>
                  </w:pPr>
                  <w:r>
                    <w:rPr>
                      <w:rFonts w:hint="eastAsia"/>
                      <w:szCs w:val="21"/>
                      <w:lang w:val="en-US" w:eastAsia="zh-CN"/>
                    </w:rPr>
                    <w:t>24.3</w:t>
                  </w:r>
                </w:p>
              </w:tc>
              <w:tc>
                <w:tcPr>
                  <w:tcW w:w="953" w:type="dxa"/>
                  <w:tcBorders>
                    <w:right w:val="single" w:color="auto" w:sz="4" w:space="0"/>
                  </w:tcBorders>
                  <w:vAlign w:val="center"/>
                </w:tcPr>
                <w:p>
                  <w:pPr>
                    <w:pStyle w:val="139"/>
                    <w:rPr>
                      <w:color w:val="auto"/>
                    </w:rPr>
                  </w:pPr>
                  <w:r>
                    <w:rPr>
                      <w:rFonts w:hint="eastAsia"/>
                      <w:color w:val="auto"/>
                    </w:rPr>
                    <w:t>5</w:t>
                  </w:r>
                </w:p>
              </w:tc>
              <w:tc>
                <w:tcPr>
                  <w:tcW w:w="953" w:type="dxa"/>
                  <w:tcBorders>
                    <w:left w:val="single" w:color="auto" w:sz="4" w:space="0"/>
                  </w:tcBorders>
                  <w:vAlign w:val="center"/>
                </w:tcPr>
                <w:p>
                  <w:pPr>
                    <w:adjustRightInd w:val="0"/>
                    <w:snapToGrid w:val="0"/>
                    <w:jc w:val="center"/>
                    <w:rPr>
                      <w:szCs w:val="21"/>
                    </w:rPr>
                  </w:pPr>
                  <w:r>
                    <w:rPr>
                      <w:rFonts w:hint="eastAsia"/>
                      <w:szCs w:val="21"/>
                    </w:rPr>
                    <w:t>t/a</w:t>
                  </w:r>
                </w:p>
              </w:tc>
              <w:tc>
                <w:tcPr>
                  <w:tcW w:w="822" w:type="dxa"/>
                  <w:tcBorders>
                    <w:left w:val="single" w:color="auto" w:sz="4" w:space="0"/>
                  </w:tcBorders>
                  <w:vAlign w:val="center"/>
                </w:tcPr>
                <w:p>
                  <w:pPr>
                    <w:pStyle w:val="139"/>
                    <w:rPr>
                      <w:color w:val="auto"/>
                    </w:rPr>
                  </w:pPr>
                  <w:r>
                    <w:rPr>
                      <w:rFonts w:hint="eastAsia"/>
                      <w:color w:val="auto"/>
                    </w:rPr>
                    <w:t>液态</w:t>
                  </w:r>
                </w:p>
              </w:tc>
              <w:tc>
                <w:tcPr>
                  <w:tcW w:w="1095" w:type="dxa"/>
                  <w:tcBorders>
                    <w:left w:val="single" w:color="auto" w:sz="4" w:space="0"/>
                  </w:tcBorders>
                  <w:vAlign w:val="center"/>
                </w:tcPr>
                <w:p>
                  <w:pPr>
                    <w:jc w:val="center"/>
                    <w:rPr>
                      <w:szCs w:val="21"/>
                    </w:rPr>
                  </w:pPr>
                  <w:r>
                    <w:rPr>
                      <w:rFonts w:hint="eastAsia"/>
                      <w:szCs w:val="21"/>
                    </w:rPr>
                    <w:t>外购，180g/m</w:t>
                  </w:r>
                  <w:r>
                    <w:rPr>
                      <w:rFonts w:hint="eastAsia"/>
                      <w:szCs w:val="21"/>
                      <w:vertAlign w:val="superscript"/>
                    </w:rPr>
                    <w:t>2</w:t>
                  </w:r>
                </w:p>
              </w:tc>
              <w:tc>
                <w:tcPr>
                  <w:tcW w:w="1051" w:type="dxa"/>
                  <w:tcBorders>
                    <w:left w:val="single" w:color="auto" w:sz="4" w:space="0"/>
                  </w:tcBorders>
                  <w:vAlign w:val="center"/>
                </w:tcPr>
                <w:p>
                  <w:pPr>
                    <w:jc w:val="center"/>
                    <w:rPr>
                      <w:szCs w:val="21"/>
                    </w:rPr>
                  </w:pPr>
                  <w:r>
                    <w:rPr>
                      <w:rFonts w:hint="eastAsia"/>
                      <w:szCs w:val="21"/>
                      <w:lang w:val="en-US" w:eastAsia="zh-CN"/>
                    </w:rPr>
                    <w:t>VOCs占比0.8%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shd w:val="clear" w:color="auto" w:fill="auto"/>
                  <w:vAlign w:val="center"/>
                </w:tcPr>
                <w:p>
                  <w:pPr>
                    <w:pStyle w:val="139"/>
                    <w:rPr>
                      <w:rFonts w:hint="eastAsia" w:ascii="Times New Roman" w:hAnsi="Times New Roman" w:eastAsia="宋体" w:cs="Times New Roman"/>
                      <w:bCs/>
                      <w:color w:val="auto"/>
                      <w:kern w:val="2"/>
                      <w:sz w:val="21"/>
                      <w:szCs w:val="24"/>
                      <w:lang w:val="en-US" w:eastAsia="zh-CN" w:bidi="ar-SA"/>
                    </w:rPr>
                  </w:pPr>
                  <w:r>
                    <w:rPr>
                      <w:rFonts w:hint="eastAsia"/>
                      <w:color w:val="auto"/>
                    </w:rPr>
                    <w:t>9</w:t>
                  </w:r>
                </w:p>
              </w:tc>
              <w:tc>
                <w:tcPr>
                  <w:tcW w:w="1772" w:type="dxa"/>
                  <w:gridSpan w:val="2"/>
                  <w:vAlign w:val="center"/>
                </w:tcPr>
                <w:p>
                  <w:pPr>
                    <w:adjustRightInd w:val="0"/>
                    <w:snapToGrid w:val="0"/>
                    <w:jc w:val="center"/>
                    <w:rPr>
                      <w:rFonts w:hint="default" w:eastAsia="宋体"/>
                      <w:lang w:val="en-US" w:eastAsia="zh-CN"/>
                    </w:rPr>
                  </w:pPr>
                  <w:r>
                    <w:rPr>
                      <w:rFonts w:hint="eastAsia"/>
                      <w:lang w:val="en-US" w:eastAsia="zh-CN"/>
                    </w:rPr>
                    <w:t>腻子粉</w:t>
                  </w:r>
                </w:p>
              </w:tc>
              <w:tc>
                <w:tcPr>
                  <w:tcW w:w="1057" w:type="dxa"/>
                  <w:tcBorders>
                    <w:right w:val="single" w:color="auto" w:sz="4" w:space="0"/>
                  </w:tcBorders>
                  <w:vAlign w:val="center"/>
                </w:tcPr>
                <w:p>
                  <w:pPr>
                    <w:adjustRightInd w:val="0"/>
                    <w:snapToGrid w:val="0"/>
                    <w:jc w:val="center"/>
                    <w:rPr>
                      <w:rFonts w:hint="default" w:eastAsia="宋体"/>
                      <w:szCs w:val="21"/>
                      <w:lang w:val="en-US" w:eastAsia="zh-CN"/>
                    </w:rPr>
                  </w:pPr>
                  <w:r>
                    <w:rPr>
                      <w:rFonts w:hint="eastAsia"/>
                      <w:szCs w:val="21"/>
                      <w:lang w:val="en-US" w:eastAsia="zh-CN"/>
                    </w:rPr>
                    <w:t>22.5</w:t>
                  </w:r>
                </w:p>
              </w:tc>
              <w:tc>
                <w:tcPr>
                  <w:tcW w:w="953" w:type="dxa"/>
                  <w:tcBorders>
                    <w:right w:val="single" w:color="auto" w:sz="4" w:space="0"/>
                  </w:tcBorders>
                  <w:vAlign w:val="center"/>
                </w:tcPr>
                <w:p>
                  <w:pPr>
                    <w:pStyle w:val="139"/>
                    <w:rPr>
                      <w:rFonts w:hint="eastAsia" w:eastAsia="宋体"/>
                      <w:color w:val="auto"/>
                      <w:lang w:val="en-US" w:eastAsia="zh-CN"/>
                    </w:rPr>
                  </w:pPr>
                  <w:r>
                    <w:rPr>
                      <w:rFonts w:hint="eastAsia"/>
                      <w:color w:val="auto"/>
                      <w:lang w:val="en-US" w:eastAsia="zh-CN"/>
                    </w:rPr>
                    <w:t>5</w:t>
                  </w:r>
                </w:p>
              </w:tc>
              <w:tc>
                <w:tcPr>
                  <w:tcW w:w="953" w:type="dxa"/>
                  <w:tcBorders>
                    <w:left w:val="single" w:color="auto" w:sz="4" w:space="0"/>
                  </w:tcBorders>
                  <w:vAlign w:val="center"/>
                </w:tcPr>
                <w:p>
                  <w:pPr>
                    <w:adjustRightInd w:val="0"/>
                    <w:snapToGrid w:val="0"/>
                    <w:jc w:val="center"/>
                    <w:rPr>
                      <w:rFonts w:hint="eastAsia"/>
                      <w:szCs w:val="21"/>
                    </w:rPr>
                  </w:pPr>
                  <w:r>
                    <w:rPr>
                      <w:rFonts w:hint="eastAsia"/>
                      <w:szCs w:val="21"/>
                    </w:rPr>
                    <w:t>t/a</w:t>
                  </w:r>
                </w:p>
              </w:tc>
              <w:tc>
                <w:tcPr>
                  <w:tcW w:w="822" w:type="dxa"/>
                  <w:tcBorders>
                    <w:left w:val="single" w:color="auto" w:sz="4" w:space="0"/>
                  </w:tcBorders>
                  <w:vAlign w:val="center"/>
                </w:tcPr>
                <w:p>
                  <w:pPr>
                    <w:pStyle w:val="139"/>
                    <w:rPr>
                      <w:rFonts w:hint="default" w:eastAsia="宋体"/>
                      <w:color w:val="auto"/>
                      <w:lang w:val="en-US" w:eastAsia="zh-CN"/>
                    </w:rPr>
                  </w:pPr>
                  <w:r>
                    <w:rPr>
                      <w:rFonts w:hint="eastAsia"/>
                      <w:color w:val="auto"/>
                      <w:lang w:val="en-US" w:eastAsia="zh-CN"/>
                    </w:rPr>
                    <w:t>固态</w:t>
                  </w:r>
                </w:p>
              </w:tc>
              <w:tc>
                <w:tcPr>
                  <w:tcW w:w="1095" w:type="dxa"/>
                  <w:tcBorders>
                    <w:left w:val="single" w:color="auto" w:sz="4" w:space="0"/>
                  </w:tcBorders>
                  <w:vAlign w:val="center"/>
                </w:tcPr>
                <w:p>
                  <w:pPr>
                    <w:jc w:val="center"/>
                    <w:rPr>
                      <w:rFonts w:hint="default" w:eastAsia="宋体"/>
                      <w:szCs w:val="21"/>
                      <w:lang w:val="en-US" w:eastAsia="zh-CN"/>
                    </w:rPr>
                  </w:pPr>
                  <w:r>
                    <w:rPr>
                      <w:rFonts w:hint="eastAsia"/>
                      <w:szCs w:val="21"/>
                      <w:lang w:val="en-US" w:eastAsia="zh-CN"/>
                    </w:rPr>
                    <w:t>外购</w:t>
                  </w:r>
                </w:p>
              </w:tc>
              <w:tc>
                <w:tcPr>
                  <w:tcW w:w="1051" w:type="dxa"/>
                  <w:tcBorders>
                    <w:left w:val="single" w:color="auto" w:sz="4" w:space="0"/>
                  </w:tcBorders>
                  <w:vAlign w:val="center"/>
                </w:tcPr>
                <w:p>
                  <w:pPr>
                    <w:jc w:val="center"/>
                    <w:rPr>
                      <w:szCs w:val="21"/>
                    </w:rPr>
                  </w:pPr>
                  <w:r>
                    <w:rPr>
                      <w:rFonts w:hint="eastAsia"/>
                      <w:szCs w:val="21"/>
                      <w:lang w:val="en-US" w:eastAsia="zh-CN"/>
                    </w:rPr>
                    <w:t>0.5kg/m</w:t>
                  </w:r>
                  <w:r>
                    <w:rPr>
                      <w:rFonts w:hint="eastAsia"/>
                      <w:szCs w:val="21"/>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shd w:val="clear" w:color="auto" w:fill="auto"/>
                  <w:vAlign w:val="center"/>
                </w:tcPr>
                <w:p>
                  <w:pPr>
                    <w:pStyle w:val="139"/>
                    <w:rPr>
                      <w:rFonts w:ascii="Times New Roman" w:hAnsi="Times New Roman" w:eastAsia="宋体" w:cs="Times New Roman"/>
                      <w:bCs/>
                      <w:color w:val="auto"/>
                      <w:kern w:val="2"/>
                      <w:sz w:val="21"/>
                      <w:szCs w:val="24"/>
                      <w:lang w:val="en-US" w:eastAsia="zh-CN" w:bidi="ar-SA"/>
                    </w:rPr>
                  </w:pPr>
                  <w:r>
                    <w:rPr>
                      <w:rFonts w:hint="eastAsia"/>
                      <w:color w:val="auto"/>
                    </w:rPr>
                    <w:t>10</w:t>
                  </w:r>
                </w:p>
              </w:tc>
              <w:tc>
                <w:tcPr>
                  <w:tcW w:w="1772" w:type="dxa"/>
                  <w:gridSpan w:val="2"/>
                  <w:vAlign w:val="center"/>
                </w:tcPr>
                <w:p>
                  <w:pPr>
                    <w:adjustRightInd w:val="0"/>
                    <w:snapToGrid w:val="0"/>
                    <w:jc w:val="center"/>
                    <w:rPr>
                      <w:szCs w:val="21"/>
                    </w:rPr>
                  </w:pPr>
                  <w:r>
                    <w:rPr>
                      <w:rFonts w:hint="eastAsia"/>
                      <w:szCs w:val="21"/>
                    </w:rPr>
                    <w:t>中纤板</w:t>
                  </w:r>
                </w:p>
              </w:tc>
              <w:tc>
                <w:tcPr>
                  <w:tcW w:w="1057" w:type="dxa"/>
                  <w:tcBorders>
                    <w:right w:val="single" w:color="auto" w:sz="4" w:space="0"/>
                  </w:tcBorders>
                  <w:vAlign w:val="center"/>
                </w:tcPr>
                <w:p>
                  <w:pPr>
                    <w:adjustRightInd w:val="0"/>
                    <w:snapToGrid w:val="0"/>
                    <w:jc w:val="center"/>
                    <w:rPr>
                      <w:szCs w:val="21"/>
                    </w:rPr>
                  </w:pPr>
                  <w:r>
                    <w:rPr>
                      <w:rFonts w:hint="eastAsia"/>
                      <w:szCs w:val="21"/>
                    </w:rPr>
                    <w:t>5000</w:t>
                  </w:r>
                </w:p>
              </w:tc>
              <w:tc>
                <w:tcPr>
                  <w:tcW w:w="953" w:type="dxa"/>
                  <w:tcBorders>
                    <w:right w:val="single" w:color="auto" w:sz="4" w:space="0"/>
                  </w:tcBorders>
                  <w:vAlign w:val="center"/>
                </w:tcPr>
                <w:p>
                  <w:pPr>
                    <w:adjustRightInd w:val="0"/>
                    <w:snapToGrid w:val="0"/>
                    <w:jc w:val="center"/>
                    <w:rPr>
                      <w:szCs w:val="21"/>
                    </w:rPr>
                  </w:pPr>
                  <w:r>
                    <w:rPr>
                      <w:rFonts w:hint="eastAsia"/>
                      <w:szCs w:val="21"/>
                    </w:rPr>
                    <w:t>1000</w:t>
                  </w:r>
                </w:p>
              </w:tc>
              <w:tc>
                <w:tcPr>
                  <w:tcW w:w="953" w:type="dxa"/>
                  <w:tcBorders>
                    <w:left w:val="single" w:color="auto" w:sz="4" w:space="0"/>
                  </w:tcBorders>
                  <w:vAlign w:val="center"/>
                </w:tcPr>
                <w:p>
                  <w:pPr>
                    <w:adjustRightInd w:val="0"/>
                    <w:snapToGrid w:val="0"/>
                    <w:jc w:val="center"/>
                  </w:pPr>
                  <w:r>
                    <w:rPr>
                      <w:rFonts w:hint="eastAsia"/>
                    </w:rPr>
                    <w:t>m</w:t>
                  </w:r>
                  <w:r>
                    <w:rPr>
                      <w:rFonts w:hint="eastAsia"/>
                      <w:vertAlign w:val="superscript"/>
                    </w:rPr>
                    <w:t>3</w:t>
                  </w:r>
                </w:p>
              </w:tc>
              <w:tc>
                <w:tcPr>
                  <w:tcW w:w="822" w:type="dxa"/>
                  <w:tcBorders>
                    <w:left w:val="single" w:color="auto" w:sz="4" w:space="0"/>
                  </w:tcBorders>
                  <w:vAlign w:val="center"/>
                </w:tcPr>
                <w:p>
                  <w:pPr>
                    <w:adjustRightInd w:val="0"/>
                    <w:snapToGrid w:val="0"/>
                    <w:jc w:val="center"/>
                    <w:rPr>
                      <w:szCs w:val="21"/>
                    </w:rPr>
                  </w:pPr>
                  <w:r>
                    <w:rPr>
                      <w:rFonts w:hint="eastAsia"/>
                      <w:szCs w:val="21"/>
                    </w:rPr>
                    <w:t>固态</w:t>
                  </w:r>
                </w:p>
              </w:tc>
              <w:tc>
                <w:tcPr>
                  <w:tcW w:w="1095" w:type="dxa"/>
                  <w:tcBorders>
                    <w:left w:val="single" w:color="auto" w:sz="4" w:space="0"/>
                  </w:tcBorders>
                  <w:vAlign w:val="center"/>
                </w:tcPr>
                <w:p>
                  <w:pPr>
                    <w:jc w:val="center"/>
                  </w:pPr>
                  <w:r>
                    <w:rPr>
                      <w:rFonts w:hint="eastAsia"/>
                      <w:szCs w:val="21"/>
                    </w:rPr>
                    <w:t>外购</w:t>
                  </w:r>
                </w:p>
              </w:tc>
              <w:tc>
                <w:tcPr>
                  <w:tcW w:w="1051" w:type="dxa"/>
                  <w:tcBorders>
                    <w:left w:val="single" w:color="auto" w:sz="4" w:space="0"/>
                  </w:tcBorders>
                  <w:vAlign w:val="center"/>
                </w:tcPr>
                <w:p>
                  <w:pPr>
                    <w:jc w:val="center"/>
                    <w:rPr>
                      <w:szCs w:val="21"/>
                    </w:rPr>
                  </w:pPr>
                  <w:r>
                    <w:rPr>
                      <w:rFonts w:hint="eastAsia"/>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shd w:val="clear" w:color="auto" w:fill="auto"/>
                  <w:vAlign w:val="center"/>
                </w:tcPr>
                <w:p>
                  <w:pPr>
                    <w:pStyle w:val="139"/>
                    <w:rPr>
                      <w:rFonts w:ascii="Times New Roman" w:hAnsi="Times New Roman" w:eastAsia="宋体" w:cs="Times New Roman"/>
                      <w:bCs/>
                      <w:color w:val="auto"/>
                      <w:kern w:val="2"/>
                      <w:sz w:val="21"/>
                      <w:szCs w:val="24"/>
                      <w:lang w:val="en-US" w:eastAsia="zh-CN" w:bidi="ar-SA"/>
                    </w:rPr>
                  </w:pPr>
                  <w:r>
                    <w:rPr>
                      <w:rFonts w:hint="eastAsia"/>
                      <w:color w:val="auto"/>
                    </w:rPr>
                    <w:t>11</w:t>
                  </w:r>
                </w:p>
              </w:tc>
              <w:tc>
                <w:tcPr>
                  <w:tcW w:w="1772" w:type="dxa"/>
                  <w:gridSpan w:val="2"/>
                  <w:vAlign w:val="center"/>
                </w:tcPr>
                <w:p>
                  <w:pPr>
                    <w:adjustRightInd w:val="0"/>
                    <w:snapToGrid w:val="0"/>
                    <w:jc w:val="center"/>
                    <w:rPr>
                      <w:szCs w:val="21"/>
                    </w:rPr>
                  </w:pPr>
                  <w:r>
                    <w:rPr>
                      <w:rFonts w:hint="eastAsia"/>
                      <w:szCs w:val="21"/>
                    </w:rPr>
                    <w:t>夹板</w:t>
                  </w:r>
                </w:p>
              </w:tc>
              <w:tc>
                <w:tcPr>
                  <w:tcW w:w="1057" w:type="dxa"/>
                  <w:tcBorders>
                    <w:right w:val="single" w:color="auto" w:sz="4" w:space="0"/>
                  </w:tcBorders>
                  <w:vAlign w:val="center"/>
                </w:tcPr>
                <w:p>
                  <w:pPr>
                    <w:adjustRightInd w:val="0"/>
                    <w:snapToGrid w:val="0"/>
                    <w:jc w:val="center"/>
                    <w:rPr>
                      <w:szCs w:val="21"/>
                    </w:rPr>
                  </w:pPr>
                  <w:r>
                    <w:rPr>
                      <w:rFonts w:hint="eastAsia"/>
                      <w:szCs w:val="21"/>
                    </w:rPr>
                    <w:t>2000</w:t>
                  </w:r>
                </w:p>
              </w:tc>
              <w:tc>
                <w:tcPr>
                  <w:tcW w:w="953" w:type="dxa"/>
                  <w:tcBorders>
                    <w:right w:val="single" w:color="auto" w:sz="4" w:space="0"/>
                  </w:tcBorders>
                  <w:vAlign w:val="center"/>
                </w:tcPr>
                <w:p>
                  <w:pPr>
                    <w:adjustRightInd w:val="0"/>
                    <w:snapToGrid w:val="0"/>
                    <w:jc w:val="center"/>
                    <w:rPr>
                      <w:szCs w:val="21"/>
                    </w:rPr>
                  </w:pPr>
                  <w:r>
                    <w:rPr>
                      <w:rFonts w:hint="eastAsia"/>
                      <w:szCs w:val="21"/>
                    </w:rPr>
                    <w:t>500</w:t>
                  </w:r>
                </w:p>
              </w:tc>
              <w:tc>
                <w:tcPr>
                  <w:tcW w:w="953" w:type="dxa"/>
                  <w:tcBorders>
                    <w:left w:val="single" w:color="auto" w:sz="4" w:space="0"/>
                  </w:tcBorders>
                  <w:vAlign w:val="center"/>
                </w:tcPr>
                <w:p>
                  <w:pPr>
                    <w:adjustRightInd w:val="0"/>
                    <w:snapToGrid w:val="0"/>
                    <w:jc w:val="center"/>
                    <w:rPr>
                      <w:szCs w:val="21"/>
                    </w:rPr>
                  </w:pPr>
                  <w:r>
                    <w:rPr>
                      <w:rFonts w:hint="eastAsia"/>
                    </w:rPr>
                    <w:t>m</w:t>
                  </w:r>
                  <w:r>
                    <w:rPr>
                      <w:rFonts w:hint="eastAsia"/>
                      <w:vertAlign w:val="superscript"/>
                    </w:rPr>
                    <w:t>3</w:t>
                  </w:r>
                </w:p>
              </w:tc>
              <w:tc>
                <w:tcPr>
                  <w:tcW w:w="822" w:type="dxa"/>
                  <w:tcBorders>
                    <w:left w:val="single" w:color="auto" w:sz="4" w:space="0"/>
                  </w:tcBorders>
                  <w:vAlign w:val="center"/>
                </w:tcPr>
                <w:p>
                  <w:pPr>
                    <w:adjustRightInd w:val="0"/>
                    <w:snapToGrid w:val="0"/>
                    <w:jc w:val="center"/>
                    <w:rPr>
                      <w:szCs w:val="21"/>
                    </w:rPr>
                  </w:pPr>
                  <w:r>
                    <w:rPr>
                      <w:rFonts w:hint="eastAsia"/>
                      <w:szCs w:val="21"/>
                    </w:rPr>
                    <w:t>固态</w:t>
                  </w:r>
                </w:p>
              </w:tc>
              <w:tc>
                <w:tcPr>
                  <w:tcW w:w="1095" w:type="dxa"/>
                  <w:tcBorders>
                    <w:left w:val="single" w:color="auto" w:sz="4" w:space="0"/>
                  </w:tcBorders>
                  <w:vAlign w:val="center"/>
                </w:tcPr>
                <w:p>
                  <w:pPr>
                    <w:jc w:val="center"/>
                    <w:rPr>
                      <w:szCs w:val="21"/>
                    </w:rPr>
                  </w:pPr>
                  <w:r>
                    <w:rPr>
                      <w:rFonts w:hint="eastAsia"/>
                      <w:szCs w:val="21"/>
                    </w:rPr>
                    <w:t>外购</w:t>
                  </w:r>
                </w:p>
              </w:tc>
              <w:tc>
                <w:tcPr>
                  <w:tcW w:w="1051" w:type="dxa"/>
                  <w:tcBorders>
                    <w:left w:val="single" w:color="auto" w:sz="4" w:space="0"/>
                  </w:tcBorders>
                  <w:vAlign w:val="center"/>
                </w:tcPr>
                <w:p>
                  <w:pPr>
                    <w:jc w:val="center"/>
                    <w:rPr>
                      <w:szCs w:val="21"/>
                    </w:rPr>
                  </w:pPr>
                  <w:r>
                    <w:rPr>
                      <w:rFonts w:hint="eastAsia"/>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shd w:val="clear" w:color="auto" w:fill="auto"/>
                  <w:vAlign w:val="center"/>
                </w:tcPr>
                <w:p>
                  <w:pPr>
                    <w:pStyle w:val="139"/>
                    <w:rPr>
                      <w:rFonts w:ascii="Times New Roman" w:hAnsi="Times New Roman" w:eastAsia="宋体" w:cs="Times New Roman"/>
                      <w:bCs/>
                      <w:color w:val="auto"/>
                      <w:kern w:val="2"/>
                      <w:sz w:val="21"/>
                      <w:szCs w:val="24"/>
                      <w:lang w:val="en-US" w:eastAsia="zh-CN" w:bidi="ar-SA"/>
                    </w:rPr>
                  </w:pPr>
                  <w:r>
                    <w:rPr>
                      <w:rFonts w:hint="eastAsia"/>
                      <w:color w:val="auto"/>
                    </w:rPr>
                    <w:t>12</w:t>
                  </w:r>
                </w:p>
              </w:tc>
              <w:tc>
                <w:tcPr>
                  <w:tcW w:w="1772" w:type="dxa"/>
                  <w:gridSpan w:val="2"/>
                  <w:vAlign w:val="center"/>
                </w:tcPr>
                <w:p>
                  <w:pPr>
                    <w:adjustRightInd w:val="0"/>
                    <w:snapToGrid w:val="0"/>
                    <w:jc w:val="center"/>
                    <w:rPr>
                      <w:szCs w:val="21"/>
                    </w:rPr>
                  </w:pPr>
                  <w:r>
                    <w:rPr>
                      <w:rFonts w:hint="eastAsia"/>
                      <w:szCs w:val="21"/>
                    </w:rPr>
                    <w:t>LVL木方</w:t>
                  </w:r>
                </w:p>
              </w:tc>
              <w:tc>
                <w:tcPr>
                  <w:tcW w:w="1057" w:type="dxa"/>
                  <w:tcBorders>
                    <w:right w:val="single" w:color="auto" w:sz="4" w:space="0"/>
                  </w:tcBorders>
                  <w:vAlign w:val="center"/>
                </w:tcPr>
                <w:p>
                  <w:pPr>
                    <w:adjustRightInd w:val="0"/>
                    <w:snapToGrid w:val="0"/>
                    <w:jc w:val="center"/>
                    <w:rPr>
                      <w:szCs w:val="21"/>
                    </w:rPr>
                  </w:pPr>
                  <w:r>
                    <w:rPr>
                      <w:rFonts w:hint="eastAsia"/>
                      <w:szCs w:val="21"/>
                    </w:rPr>
                    <w:t>2000</w:t>
                  </w:r>
                </w:p>
              </w:tc>
              <w:tc>
                <w:tcPr>
                  <w:tcW w:w="953" w:type="dxa"/>
                  <w:tcBorders>
                    <w:right w:val="single" w:color="auto" w:sz="4" w:space="0"/>
                  </w:tcBorders>
                  <w:vAlign w:val="center"/>
                </w:tcPr>
                <w:p>
                  <w:pPr>
                    <w:adjustRightInd w:val="0"/>
                    <w:snapToGrid w:val="0"/>
                    <w:jc w:val="center"/>
                    <w:rPr>
                      <w:szCs w:val="21"/>
                    </w:rPr>
                  </w:pPr>
                  <w:r>
                    <w:rPr>
                      <w:rFonts w:hint="eastAsia"/>
                      <w:szCs w:val="21"/>
                    </w:rPr>
                    <w:t>500</w:t>
                  </w:r>
                </w:p>
              </w:tc>
              <w:tc>
                <w:tcPr>
                  <w:tcW w:w="953" w:type="dxa"/>
                  <w:tcBorders>
                    <w:left w:val="single" w:color="auto" w:sz="4" w:space="0"/>
                  </w:tcBorders>
                  <w:vAlign w:val="center"/>
                </w:tcPr>
                <w:p>
                  <w:pPr>
                    <w:adjustRightInd w:val="0"/>
                    <w:snapToGrid w:val="0"/>
                    <w:jc w:val="center"/>
                    <w:rPr>
                      <w:szCs w:val="21"/>
                    </w:rPr>
                  </w:pPr>
                  <w:r>
                    <w:rPr>
                      <w:rFonts w:hint="eastAsia"/>
                    </w:rPr>
                    <w:t>m</w:t>
                  </w:r>
                  <w:r>
                    <w:rPr>
                      <w:rFonts w:hint="eastAsia"/>
                      <w:vertAlign w:val="superscript"/>
                    </w:rPr>
                    <w:t>3</w:t>
                  </w:r>
                </w:p>
              </w:tc>
              <w:tc>
                <w:tcPr>
                  <w:tcW w:w="822" w:type="dxa"/>
                  <w:tcBorders>
                    <w:left w:val="single" w:color="auto" w:sz="4" w:space="0"/>
                  </w:tcBorders>
                  <w:vAlign w:val="center"/>
                </w:tcPr>
                <w:p>
                  <w:pPr>
                    <w:adjustRightInd w:val="0"/>
                    <w:snapToGrid w:val="0"/>
                    <w:jc w:val="center"/>
                    <w:rPr>
                      <w:szCs w:val="21"/>
                    </w:rPr>
                  </w:pPr>
                  <w:r>
                    <w:rPr>
                      <w:rFonts w:hint="eastAsia"/>
                      <w:szCs w:val="21"/>
                    </w:rPr>
                    <w:t>固态</w:t>
                  </w:r>
                </w:p>
              </w:tc>
              <w:tc>
                <w:tcPr>
                  <w:tcW w:w="1095" w:type="dxa"/>
                  <w:tcBorders>
                    <w:left w:val="single" w:color="auto" w:sz="4" w:space="0"/>
                  </w:tcBorders>
                  <w:vAlign w:val="center"/>
                </w:tcPr>
                <w:p>
                  <w:pPr>
                    <w:jc w:val="center"/>
                    <w:rPr>
                      <w:szCs w:val="21"/>
                    </w:rPr>
                  </w:pPr>
                  <w:r>
                    <w:rPr>
                      <w:rFonts w:hint="eastAsia"/>
                      <w:szCs w:val="21"/>
                    </w:rPr>
                    <w:t>外购</w:t>
                  </w:r>
                </w:p>
              </w:tc>
              <w:tc>
                <w:tcPr>
                  <w:tcW w:w="1051" w:type="dxa"/>
                  <w:tcBorders>
                    <w:left w:val="single" w:color="auto" w:sz="4" w:space="0"/>
                  </w:tcBorders>
                  <w:vAlign w:val="center"/>
                </w:tcPr>
                <w:p>
                  <w:pPr>
                    <w:jc w:val="center"/>
                    <w:rPr>
                      <w:szCs w:val="21"/>
                    </w:rPr>
                  </w:pPr>
                  <w:r>
                    <w:rPr>
                      <w:rFonts w:hint="eastAsia"/>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shd w:val="clear" w:color="auto" w:fill="auto"/>
                  <w:vAlign w:val="center"/>
                </w:tcPr>
                <w:p>
                  <w:pPr>
                    <w:pStyle w:val="139"/>
                    <w:rPr>
                      <w:rFonts w:ascii="Times New Roman" w:hAnsi="Times New Roman" w:eastAsia="宋体" w:cs="Times New Roman"/>
                      <w:bCs/>
                      <w:color w:val="auto"/>
                      <w:kern w:val="2"/>
                      <w:sz w:val="21"/>
                      <w:szCs w:val="24"/>
                      <w:lang w:val="en-US" w:eastAsia="zh-CN" w:bidi="ar-SA"/>
                    </w:rPr>
                  </w:pPr>
                  <w:r>
                    <w:rPr>
                      <w:rFonts w:hint="eastAsia"/>
                      <w:color w:val="auto"/>
                    </w:rPr>
                    <w:t>13</w:t>
                  </w:r>
                </w:p>
              </w:tc>
              <w:tc>
                <w:tcPr>
                  <w:tcW w:w="1772" w:type="dxa"/>
                  <w:gridSpan w:val="2"/>
                  <w:vAlign w:val="center"/>
                </w:tcPr>
                <w:p>
                  <w:pPr>
                    <w:adjustRightInd w:val="0"/>
                    <w:snapToGrid w:val="0"/>
                    <w:jc w:val="center"/>
                    <w:rPr>
                      <w:szCs w:val="21"/>
                    </w:rPr>
                  </w:pPr>
                  <w:r>
                    <w:rPr>
                      <w:rFonts w:hint="eastAsia"/>
                      <w:szCs w:val="21"/>
                    </w:rPr>
                    <w:t>填充木方</w:t>
                  </w:r>
                </w:p>
              </w:tc>
              <w:tc>
                <w:tcPr>
                  <w:tcW w:w="1057" w:type="dxa"/>
                  <w:tcBorders>
                    <w:right w:val="single" w:color="auto" w:sz="4" w:space="0"/>
                  </w:tcBorders>
                  <w:vAlign w:val="center"/>
                </w:tcPr>
                <w:p>
                  <w:pPr>
                    <w:adjustRightInd w:val="0"/>
                    <w:snapToGrid w:val="0"/>
                    <w:jc w:val="center"/>
                    <w:rPr>
                      <w:szCs w:val="21"/>
                    </w:rPr>
                  </w:pPr>
                  <w:r>
                    <w:rPr>
                      <w:rFonts w:hint="eastAsia"/>
                      <w:szCs w:val="21"/>
                    </w:rPr>
                    <w:t>1000</w:t>
                  </w:r>
                </w:p>
              </w:tc>
              <w:tc>
                <w:tcPr>
                  <w:tcW w:w="953" w:type="dxa"/>
                  <w:tcBorders>
                    <w:right w:val="single" w:color="auto" w:sz="4" w:space="0"/>
                  </w:tcBorders>
                  <w:vAlign w:val="center"/>
                </w:tcPr>
                <w:p>
                  <w:pPr>
                    <w:adjustRightInd w:val="0"/>
                    <w:snapToGrid w:val="0"/>
                    <w:jc w:val="center"/>
                    <w:rPr>
                      <w:szCs w:val="21"/>
                    </w:rPr>
                  </w:pPr>
                  <w:r>
                    <w:rPr>
                      <w:rFonts w:hint="eastAsia"/>
                      <w:szCs w:val="21"/>
                    </w:rPr>
                    <w:t>500</w:t>
                  </w:r>
                </w:p>
              </w:tc>
              <w:tc>
                <w:tcPr>
                  <w:tcW w:w="953" w:type="dxa"/>
                  <w:tcBorders>
                    <w:left w:val="single" w:color="auto" w:sz="4" w:space="0"/>
                  </w:tcBorders>
                  <w:vAlign w:val="center"/>
                </w:tcPr>
                <w:p>
                  <w:pPr>
                    <w:adjustRightInd w:val="0"/>
                    <w:snapToGrid w:val="0"/>
                    <w:jc w:val="center"/>
                    <w:rPr>
                      <w:szCs w:val="21"/>
                    </w:rPr>
                  </w:pPr>
                  <w:r>
                    <w:rPr>
                      <w:rFonts w:hint="eastAsia"/>
                    </w:rPr>
                    <w:t>m</w:t>
                  </w:r>
                  <w:r>
                    <w:rPr>
                      <w:rFonts w:hint="eastAsia"/>
                      <w:vertAlign w:val="superscript"/>
                    </w:rPr>
                    <w:t>3</w:t>
                  </w:r>
                </w:p>
              </w:tc>
              <w:tc>
                <w:tcPr>
                  <w:tcW w:w="822" w:type="dxa"/>
                  <w:tcBorders>
                    <w:left w:val="single" w:color="auto" w:sz="4" w:space="0"/>
                  </w:tcBorders>
                  <w:vAlign w:val="center"/>
                </w:tcPr>
                <w:p>
                  <w:pPr>
                    <w:adjustRightInd w:val="0"/>
                    <w:snapToGrid w:val="0"/>
                    <w:jc w:val="center"/>
                    <w:rPr>
                      <w:szCs w:val="21"/>
                    </w:rPr>
                  </w:pPr>
                  <w:r>
                    <w:rPr>
                      <w:rFonts w:hint="eastAsia"/>
                      <w:szCs w:val="21"/>
                    </w:rPr>
                    <w:t>固态</w:t>
                  </w:r>
                </w:p>
              </w:tc>
              <w:tc>
                <w:tcPr>
                  <w:tcW w:w="1095" w:type="dxa"/>
                  <w:tcBorders>
                    <w:left w:val="single" w:color="auto" w:sz="4" w:space="0"/>
                  </w:tcBorders>
                  <w:vAlign w:val="center"/>
                </w:tcPr>
                <w:p>
                  <w:pPr>
                    <w:jc w:val="center"/>
                    <w:rPr>
                      <w:szCs w:val="21"/>
                    </w:rPr>
                  </w:pPr>
                  <w:r>
                    <w:rPr>
                      <w:rFonts w:hint="eastAsia"/>
                      <w:szCs w:val="21"/>
                    </w:rPr>
                    <w:t>外购</w:t>
                  </w:r>
                </w:p>
              </w:tc>
              <w:tc>
                <w:tcPr>
                  <w:tcW w:w="1051" w:type="dxa"/>
                  <w:tcBorders>
                    <w:left w:val="single" w:color="auto" w:sz="4" w:space="0"/>
                  </w:tcBorders>
                  <w:vAlign w:val="center"/>
                </w:tcPr>
                <w:p>
                  <w:pPr>
                    <w:jc w:val="center"/>
                    <w:rPr>
                      <w:szCs w:val="21"/>
                    </w:rPr>
                  </w:pPr>
                  <w:r>
                    <w:rPr>
                      <w:rFonts w:hint="eastAsia"/>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shd w:val="clear" w:color="auto" w:fill="auto"/>
                  <w:vAlign w:val="center"/>
                </w:tcPr>
                <w:p>
                  <w:pPr>
                    <w:pStyle w:val="139"/>
                    <w:rPr>
                      <w:rFonts w:ascii="Times New Roman" w:hAnsi="Times New Roman" w:eastAsia="宋体" w:cs="Times New Roman"/>
                      <w:bCs/>
                      <w:color w:val="auto"/>
                      <w:kern w:val="2"/>
                      <w:sz w:val="21"/>
                      <w:szCs w:val="24"/>
                      <w:lang w:val="en-US" w:eastAsia="zh-CN" w:bidi="ar-SA"/>
                    </w:rPr>
                  </w:pPr>
                  <w:r>
                    <w:rPr>
                      <w:rFonts w:hint="eastAsia"/>
                      <w:color w:val="auto"/>
                    </w:rPr>
                    <w:t>14</w:t>
                  </w:r>
                </w:p>
              </w:tc>
              <w:tc>
                <w:tcPr>
                  <w:tcW w:w="1772" w:type="dxa"/>
                  <w:gridSpan w:val="2"/>
                  <w:vAlign w:val="center"/>
                </w:tcPr>
                <w:p>
                  <w:pPr>
                    <w:adjustRightInd w:val="0"/>
                    <w:snapToGrid w:val="0"/>
                    <w:jc w:val="center"/>
                    <w:rPr>
                      <w:szCs w:val="21"/>
                    </w:rPr>
                  </w:pPr>
                  <w:r>
                    <w:rPr>
                      <w:rFonts w:hint="eastAsia"/>
                      <w:szCs w:val="21"/>
                    </w:rPr>
                    <w:t>PVC面板</w:t>
                  </w:r>
                </w:p>
              </w:tc>
              <w:tc>
                <w:tcPr>
                  <w:tcW w:w="1057" w:type="dxa"/>
                  <w:tcBorders>
                    <w:right w:val="single" w:color="auto" w:sz="4" w:space="0"/>
                  </w:tcBorders>
                  <w:vAlign w:val="center"/>
                </w:tcPr>
                <w:p>
                  <w:pPr>
                    <w:adjustRightInd w:val="0"/>
                    <w:snapToGrid w:val="0"/>
                    <w:jc w:val="center"/>
                    <w:rPr>
                      <w:szCs w:val="21"/>
                    </w:rPr>
                  </w:pPr>
                  <w:r>
                    <w:rPr>
                      <w:rFonts w:hint="eastAsia"/>
                      <w:szCs w:val="21"/>
                    </w:rPr>
                    <w:t>9万</w:t>
                  </w:r>
                </w:p>
              </w:tc>
              <w:tc>
                <w:tcPr>
                  <w:tcW w:w="953" w:type="dxa"/>
                  <w:tcBorders>
                    <w:right w:val="single" w:color="auto" w:sz="4" w:space="0"/>
                  </w:tcBorders>
                  <w:vAlign w:val="center"/>
                </w:tcPr>
                <w:p>
                  <w:pPr>
                    <w:adjustRightInd w:val="0"/>
                    <w:snapToGrid w:val="0"/>
                    <w:jc w:val="center"/>
                    <w:rPr>
                      <w:szCs w:val="21"/>
                    </w:rPr>
                  </w:pPr>
                  <w:r>
                    <w:rPr>
                      <w:rFonts w:hint="eastAsia"/>
                      <w:szCs w:val="21"/>
                    </w:rPr>
                    <w:t>2万</w:t>
                  </w:r>
                </w:p>
              </w:tc>
              <w:tc>
                <w:tcPr>
                  <w:tcW w:w="953" w:type="dxa"/>
                  <w:tcBorders>
                    <w:left w:val="single" w:color="auto" w:sz="4" w:space="0"/>
                  </w:tcBorders>
                  <w:vAlign w:val="center"/>
                </w:tcPr>
                <w:p>
                  <w:pPr>
                    <w:adjustRightInd w:val="0"/>
                    <w:snapToGrid w:val="0"/>
                    <w:jc w:val="center"/>
                    <w:rPr>
                      <w:szCs w:val="21"/>
                    </w:rPr>
                  </w:pPr>
                  <w:r>
                    <w:rPr>
                      <w:rFonts w:hint="eastAsia"/>
                      <w:szCs w:val="21"/>
                    </w:rPr>
                    <w:t>m</w:t>
                  </w:r>
                  <w:r>
                    <w:rPr>
                      <w:rFonts w:hint="eastAsia"/>
                      <w:szCs w:val="21"/>
                      <w:vertAlign w:val="superscript"/>
                    </w:rPr>
                    <w:t>2</w:t>
                  </w:r>
                </w:p>
              </w:tc>
              <w:tc>
                <w:tcPr>
                  <w:tcW w:w="822" w:type="dxa"/>
                  <w:tcBorders>
                    <w:left w:val="single" w:color="auto" w:sz="4" w:space="0"/>
                  </w:tcBorders>
                  <w:vAlign w:val="center"/>
                </w:tcPr>
                <w:p>
                  <w:pPr>
                    <w:adjustRightInd w:val="0"/>
                    <w:snapToGrid w:val="0"/>
                    <w:jc w:val="center"/>
                    <w:rPr>
                      <w:szCs w:val="21"/>
                    </w:rPr>
                  </w:pPr>
                  <w:r>
                    <w:rPr>
                      <w:rFonts w:hint="eastAsia"/>
                      <w:szCs w:val="21"/>
                    </w:rPr>
                    <w:t>固态</w:t>
                  </w:r>
                </w:p>
              </w:tc>
              <w:tc>
                <w:tcPr>
                  <w:tcW w:w="1095" w:type="dxa"/>
                  <w:tcBorders>
                    <w:left w:val="single" w:color="auto" w:sz="4" w:space="0"/>
                  </w:tcBorders>
                  <w:vAlign w:val="center"/>
                </w:tcPr>
                <w:p>
                  <w:pPr>
                    <w:jc w:val="center"/>
                    <w:rPr>
                      <w:szCs w:val="21"/>
                    </w:rPr>
                  </w:pPr>
                  <w:r>
                    <w:rPr>
                      <w:rFonts w:hint="eastAsia"/>
                      <w:szCs w:val="21"/>
                    </w:rPr>
                    <w:t>外购</w:t>
                  </w:r>
                </w:p>
              </w:tc>
              <w:tc>
                <w:tcPr>
                  <w:tcW w:w="1051" w:type="dxa"/>
                  <w:tcBorders>
                    <w:left w:val="single" w:color="auto" w:sz="4" w:space="0"/>
                  </w:tcBorders>
                  <w:vAlign w:val="center"/>
                </w:tcPr>
                <w:p>
                  <w:pPr>
                    <w:jc w:val="center"/>
                    <w:rPr>
                      <w:szCs w:val="21"/>
                    </w:rPr>
                  </w:pPr>
                  <w:r>
                    <w:rPr>
                      <w:rFonts w:hint="eastAsia"/>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shd w:val="clear" w:color="auto" w:fill="auto"/>
                  <w:vAlign w:val="center"/>
                </w:tcPr>
                <w:p>
                  <w:pPr>
                    <w:pStyle w:val="139"/>
                    <w:rPr>
                      <w:rFonts w:hint="default" w:eastAsia="宋体"/>
                      <w:color w:val="auto"/>
                      <w:u w:val="single"/>
                      <w:lang w:val="en-US" w:eastAsia="zh-CN"/>
                    </w:rPr>
                  </w:pPr>
                  <w:r>
                    <w:rPr>
                      <w:rFonts w:hint="eastAsia"/>
                      <w:color w:val="auto"/>
                      <w:u w:val="single"/>
                      <w:lang w:val="en-US" w:eastAsia="zh-CN"/>
                    </w:rPr>
                    <w:t>15</w:t>
                  </w:r>
                </w:p>
              </w:tc>
              <w:tc>
                <w:tcPr>
                  <w:tcW w:w="1772" w:type="dxa"/>
                  <w:gridSpan w:val="2"/>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金属门板</w:t>
                  </w:r>
                </w:p>
              </w:tc>
              <w:tc>
                <w:tcPr>
                  <w:tcW w:w="1057" w:type="dxa"/>
                  <w:tcBorders>
                    <w:right w:val="single" w:color="auto" w:sz="4" w:space="0"/>
                  </w:tcBorders>
                  <w:vAlign w:val="center"/>
                </w:tcPr>
                <w:p>
                  <w:pPr>
                    <w:adjustRightInd w:val="0"/>
                    <w:snapToGrid w:val="0"/>
                    <w:jc w:val="center"/>
                    <w:rPr>
                      <w:rFonts w:hint="eastAsia"/>
                      <w:szCs w:val="21"/>
                      <w:u w:val="single"/>
                    </w:rPr>
                  </w:pPr>
                  <w:r>
                    <w:rPr>
                      <w:rFonts w:hint="eastAsia"/>
                      <w:szCs w:val="21"/>
                      <w:u w:val="single"/>
                      <w:lang w:val="en-US" w:eastAsia="zh-CN"/>
                    </w:rPr>
                    <w:t>5万</w:t>
                  </w:r>
                </w:p>
              </w:tc>
              <w:tc>
                <w:tcPr>
                  <w:tcW w:w="953" w:type="dxa"/>
                  <w:tcBorders>
                    <w:right w:val="single" w:color="auto" w:sz="4" w:space="0"/>
                  </w:tcBorders>
                  <w:vAlign w:val="center"/>
                </w:tcPr>
                <w:p>
                  <w:pPr>
                    <w:adjustRightInd w:val="0"/>
                    <w:snapToGrid w:val="0"/>
                    <w:jc w:val="center"/>
                    <w:rPr>
                      <w:rFonts w:hint="eastAsia"/>
                      <w:szCs w:val="21"/>
                      <w:u w:val="single"/>
                    </w:rPr>
                  </w:pPr>
                  <w:r>
                    <w:rPr>
                      <w:rFonts w:hint="eastAsia"/>
                      <w:szCs w:val="21"/>
                      <w:u w:val="single"/>
                      <w:lang w:val="en-US" w:eastAsia="zh-CN"/>
                    </w:rPr>
                    <w:t>0.5万</w:t>
                  </w:r>
                </w:p>
              </w:tc>
              <w:tc>
                <w:tcPr>
                  <w:tcW w:w="953" w:type="dxa"/>
                  <w:tcBorders>
                    <w:left w:val="single" w:color="auto" w:sz="4" w:space="0"/>
                  </w:tcBorders>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张</w:t>
                  </w:r>
                </w:p>
              </w:tc>
              <w:tc>
                <w:tcPr>
                  <w:tcW w:w="822" w:type="dxa"/>
                  <w:tcBorders>
                    <w:left w:val="single" w:color="auto" w:sz="4" w:space="0"/>
                  </w:tcBorders>
                  <w:vAlign w:val="center"/>
                </w:tcPr>
                <w:p>
                  <w:pPr>
                    <w:adjustRightInd w:val="0"/>
                    <w:snapToGrid w:val="0"/>
                    <w:jc w:val="center"/>
                    <w:rPr>
                      <w:rFonts w:hint="eastAsia"/>
                      <w:szCs w:val="21"/>
                      <w:u w:val="single"/>
                    </w:rPr>
                  </w:pPr>
                  <w:r>
                    <w:rPr>
                      <w:rFonts w:hint="eastAsia"/>
                      <w:szCs w:val="21"/>
                      <w:u w:val="single"/>
                    </w:rPr>
                    <w:t>固态</w:t>
                  </w:r>
                </w:p>
              </w:tc>
              <w:tc>
                <w:tcPr>
                  <w:tcW w:w="1095" w:type="dxa"/>
                  <w:tcBorders>
                    <w:left w:val="single" w:color="auto" w:sz="4" w:space="0"/>
                  </w:tcBorders>
                  <w:vAlign w:val="center"/>
                </w:tcPr>
                <w:p>
                  <w:pPr>
                    <w:jc w:val="center"/>
                    <w:rPr>
                      <w:rFonts w:hint="eastAsia"/>
                      <w:szCs w:val="21"/>
                      <w:u w:val="single"/>
                    </w:rPr>
                  </w:pPr>
                  <w:r>
                    <w:rPr>
                      <w:rFonts w:hint="eastAsia"/>
                      <w:szCs w:val="21"/>
                      <w:u w:val="single"/>
                      <w:lang w:val="en-US" w:eastAsia="zh-CN"/>
                    </w:rPr>
                    <w:t>委外加工</w:t>
                  </w:r>
                </w:p>
              </w:tc>
              <w:tc>
                <w:tcPr>
                  <w:tcW w:w="1051" w:type="dxa"/>
                  <w:tcBorders>
                    <w:left w:val="single" w:color="auto" w:sz="4" w:space="0"/>
                  </w:tcBorders>
                  <w:vAlign w:val="center"/>
                </w:tcPr>
                <w:p>
                  <w:pPr>
                    <w:jc w:val="center"/>
                    <w:rPr>
                      <w:rFonts w:hint="eastAsia"/>
                      <w:szCs w:val="21"/>
                      <w:u w:val="single"/>
                    </w:rPr>
                  </w:pPr>
                  <w:r>
                    <w:rPr>
                      <w:rFonts w:hint="eastAsia"/>
                      <w:szCs w:val="21"/>
                      <w:u w:val="single"/>
                      <w:lang w:val="en-US" w:eastAsia="zh-CN"/>
                    </w:rPr>
                    <w:t>半成品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shd w:val="clear" w:color="auto" w:fill="auto"/>
                  <w:vAlign w:val="center"/>
                </w:tcPr>
                <w:p>
                  <w:pPr>
                    <w:pStyle w:val="139"/>
                    <w:rPr>
                      <w:rFonts w:hint="default" w:eastAsia="宋体"/>
                      <w:color w:val="auto"/>
                      <w:u w:val="single"/>
                      <w:lang w:val="en-US" w:eastAsia="zh-CN"/>
                    </w:rPr>
                  </w:pPr>
                  <w:r>
                    <w:rPr>
                      <w:rFonts w:hint="eastAsia"/>
                      <w:color w:val="auto"/>
                      <w:u w:val="single"/>
                      <w:lang w:val="en-US" w:eastAsia="zh-CN"/>
                    </w:rPr>
                    <w:t>16</w:t>
                  </w:r>
                </w:p>
              </w:tc>
              <w:tc>
                <w:tcPr>
                  <w:tcW w:w="1772" w:type="dxa"/>
                  <w:gridSpan w:val="2"/>
                  <w:vAlign w:val="center"/>
                </w:tcPr>
                <w:p>
                  <w:pPr>
                    <w:adjustRightInd w:val="0"/>
                    <w:snapToGrid w:val="0"/>
                    <w:jc w:val="center"/>
                    <w:rPr>
                      <w:rFonts w:hint="default"/>
                      <w:szCs w:val="21"/>
                      <w:u w:val="single"/>
                      <w:lang w:val="en-US" w:eastAsia="zh-CN"/>
                    </w:rPr>
                  </w:pPr>
                  <w:r>
                    <w:rPr>
                      <w:rFonts w:hint="eastAsia"/>
                      <w:szCs w:val="21"/>
                      <w:u w:val="single"/>
                      <w:lang w:val="en-US" w:eastAsia="zh-CN"/>
                    </w:rPr>
                    <w:t>金属门框</w:t>
                  </w:r>
                </w:p>
              </w:tc>
              <w:tc>
                <w:tcPr>
                  <w:tcW w:w="1057" w:type="dxa"/>
                  <w:tcBorders>
                    <w:right w:val="single" w:color="auto" w:sz="4" w:space="0"/>
                  </w:tcBorders>
                  <w:vAlign w:val="center"/>
                </w:tcPr>
                <w:p>
                  <w:pPr>
                    <w:adjustRightInd w:val="0"/>
                    <w:snapToGrid w:val="0"/>
                    <w:jc w:val="center"/>
                    <w:rPr>
                      <w:rFonts w:hint="eastAsia"/>
                      <w:szCs w:val="21"/>
                      <w:u w:val="single"/>
                    </w:rPr>
                  </w:pPr>
                  <w:r>
                    <w:rPr>
                      <w:rFonts w:hint="eastAsia"/>
                      <w:szCs w:val="21"/>
                      <w:u w:val="single"/>
                      <w:lang w:val="en-US" w:eastAsia="zh-CN"/>
                    </w:rPr>
                    <w:t>5万</w:t>
                  </w:r>
                </w:p>
              </w:tc>
              <w:tc>
                <w:tcPr>
                  <w:tcW w:w="953" w:type="dxa"/>
                  <w:tcBorders>
                    <w:right w:val="single" w:color="auto" w:sz="4" w:space="0"/>
                  </w:tcBorders>
                  <w:vAlign w:val="center"/>
                </w:tcPr>
                <w:p>
                  <w:pPr>
                    <w:adjustRightInd w:val="0"/>
                    <w:snapToGrid w:val="0"/>
                    <w:jc w:val="center"/>
                    <w:rPr>
                      <w:rFonts w:hint="eastAsia"/>
                      <w:szCs w:val="21"/>
                      <w:u w:val="single"/>
                    </w:rPr>
                  </w:pPr>
                  <w:r>
                    <w:rPr>
                      <w:rFonts w:hint="eastAsia"/>
                      <w:szCs w:val="21"/>
                      <w:u w:val="single"/>
                      <w:lang w:val="en-US" w:eastAsia="zh-CN"/>
                    </w:rPr>
                    <w:t>0.5万</w:t>
                  </w:r>
                </w:p>
              </w:tc>
              <w:tc>
                <w:tcPr>
                  <w:tcW w:w="953" w:type="dxa"/>
                  <w:tcBorders>
                    <w:left w:val="single" w:color="auto" w:sz="4" w:space="0"/>
                  </w:tcBorders>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套</w:t>
                  </w:r>
                </w:p>
              </w:tc>
              <w:tc>
                <w:tcPr>
                  <w:tcW w:w="822" w:type="dxa"/>
                  <w:tcBorders>
                    <w:left w:val="single" w:color="auto" w:sz="4" w:space="0"/>
                  </w:tcBorders>
                  <w:vAlign w:val="center"/>
                </w:tcPr>
                <w:p>
                  <w:pPr>
                    <w:adjustRightInd w:val="0"/>
                    <w:snapToGrid w:val="0"/>
                    <w:jc w:val="center"/>
                    <w:rPr>
                      <w:rFonts w:hint="eastAsia"/>
                      <w:szCs w:val="21"/>
                      <w:u w:val="single"/>
                    </w:rPr>
                  </w:pPr>
                  <w:r>
                    <w:rPr>
                      <w:rFonts w:hint="eastAsia"/>
                      <w:szCs w:val="21"/>
                      <w:u w:val="single"/>
                    </w:rPr>
                    <w:t>固态</w:t>
                  </w:r>
                </w:p>
              </w:tc>
              <w:tc>
                <w:tcPr>
                  <w:tcW w:w="1095" w:type="dxa"/>
                  <w:tcBorders>
                    <w:left w:val="single" w:color="auto" w:sz="4" w:space="0"/>
                  </w:tcBorders>
                  <w:vAlign w:val="center"/>
                </w:tcPr>
                <w:p>
                  <w:pPr>
                    <w:jc w:val="center"/>
                    <w:rPr>
                      <w:rFonts w:hint="eastAsia"/>
                      <w:szCs w:val="21"/>
                      <w:u w:val="single"/>
                    </w:rPr>
                  </w:pPr>
                  <w:r>
                    <w:rPr>
                      <w:rFonts w:hint="eastAsia"/>
                      <w:szCs w:val="21"/>
                      <w:u w:val="single"/>
                      <w:lang w:val="en-US" w:eastAsia="zh-CN"/>
                    </w:rPr>
                    <w:t>委外加工</w:t>
                  </w:r>
                </w:p>
              </w:tc>
              <w:tc>
                <w:tcPr>
                  <w:tcW w:w="1051" w:type="dxa"/>
                  <w:tcBorders>
                    <w:left w:val="single" w:color="auto" w:sz="4" w:space="0"/>
                  </w:tcBorders>
                  <w:vAlign w:val="center"/>
                </w:tcPr>
                <w:p>
                  <w:pPr>
                    <w:jc w:val="center"/>
                    <w:rPr>
                      <w:rFonts w:hint="eastAsia"/>
                      <w:szCs w:val="21"/>
                      <w:u w:val="single"/>
                    </w:rPr>
                  </w:pPr>
                  <w:r>
                    <w:rPr>
                      <w:rFonts w:hint="eastAsia"/>
                      <w:szCs w:val="21"/>
                      <w:u w:val="single"/>
                      <w:lang w:val="en-US" w:eastAsia="zh-CN"/>
                    </w:rPr>
                    <w:t>半成品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shd w:val="clear" w:color="auto" w:fill="auto"/>
                  <w:vAlign w:val="center"/>
                </w:tcPr>
                <w:p>
                  <w:pPr>
                    <w:pStyle w:val="139"/>
                    <w:rPr>
                      <w:rFonts w:hint="default"/>
                      <w:color w:val="auto"/>
                      <w:u w:val="single"/>
                      <w:lang w:val="en-US" w:eastAsia="zh-CN"/>
                    </w:rPr>
                  </w:pPr>
                  <w:r>
                    <w:rPr>
                      <w:rFonts w:hint="eastAsia"/>
                      <w:color w:val="auto"/>
                      <w:u w:val="single"/>
                      <w:lang w:val="en-US" w:eastAsia="zh-CN"/>
                    </w:rPr>
                    <w:t>17</w:t>
                  </w:r>
                </w:p>
              </w:tc>
              <w:tc>
                <w:tcPr>
                  <w:tcW w:w="1772" w:type="dxa"/>
                  <w:gridSpan w:val="2"/>
                  <w:vAlign w:val="center"/>
                </w:tcPr>
                <w:p>
                  <w:pPr>
                    <w:adjustRightInd w:val="0"/>
                    <w:snapToGrid w:val="0"/>
                    <w:jc w:val="center"/>
                    <w:rPr>
                      <w:rFonts w:hint="default"/>
                      <w:szCs w:val="21"/>
                      <w:u w:val="single"/>
                      <w:lang w:val="en-US" w:eastAsia="zh-CN"/>
                    </w:rPr>
                  </w:pPr>
                  <w:r>
                    <w:rPr>
                      <w:rFonts w:hint="eastAsia"/>
                      <w:szCs w:val="21"/>
                      <w:u w:val="single"/>
                      <w:lang w:val="en-US" w:eastAsia="zh-CN"/>
                    </w:rPr>
                    <w:t>螺丝钉</w:t>
                  </w:r>
                </w:p>
              </w:tc>
              <w:tc>
                <w:tcPr>
                  <w:tcW w:w="1057" w:type="dxa"/>
                  <w:tcBorders>
                    <w:right w:val="single" w:color="auto" w:sz="4" w:space="0"/>
                  </w:tcBorders>
                  <w:vAlign w:val="center"/>
                </w:tcPr>
                <w:p>
                  <w:pPr>
                    <w:adjustRightInd w:val="0"/>
                    <w:snapToGrid w:val="0"/>
                    <w:jc w:val="center"/>
                    <w:rPr>
                      <w:rFonts w:hint="default"/>
                      <w:szCs w:val="21"/>
                      <w:u w:val="single"/>
                      <w:lang w:val="en-US" w:eastAsia="zh-CN"/>
                    </w:rPr>
                  </w:pPr>
                  <w:r>
                    <w:rPr>
                      <w:rFonts w:hint="eastAsia"/>
                      <w:szCs w:val="21"/>
                      <w:u w:val="single"/>
                      <w:lang w:val="en-US" w:eastAsia="zh-CN"/>
                    </w:rPr>
                    <w:t>若干</w:t>
                  </w:r>
                </w:p>
              </w:tc>
              <w:tc>
                <w:tcPr>
                  <w:tcW w:w="953" w:type="dxa"/>
                  <w:tcBorders>
                    <w:right w:val="single" w:color="auto" w:sz="4" w:space="0"/>
                  </w:tcBorders>
                  <w:vAlign w:val="center"/>
                </w:tcPr>
                <w:p>
                  <w:pPr>
                    <w:adjustRightInd w:val="0"/>
                    <w:snapToGrid w:val="0"/>
                    <w:jc w:val="center"/>
                    <w:rPr>
                      <w:rFonts w:hint="default"/>
                      <w:szCs w:val="21"/>
                      <w:u w:val="single"/>
                      <w:lang w:val="en-US" w:eastAsia="zh-CN"/>
                    </w:rPr>
                  </w:pPr>
                  <w:r>
                    <w:rPr>
                      <w:rFonts w:hint="eastAsia"/>
                      <w:szCs w:val="21"/>
                      <w:u w:val="single"/>
                      <w:lang w:val="en-US" w:eastAsia="zh-CN"/>
                    </w:rPr>
                    <w:t>若干</w:t>
                  </w:r>
                </w:p>
              </w:tc>
              <w:tc>
                <w:tcPr>
                  <w:tcW w:w="953" w:type="dxa"/>
                  <w:tcBorders>
                    <w:left w:val="single" w:color="auto" w:sz="4" w:space="0"/>
                  </w:tcBorders>
                  <w:vAlign w:val="center"/>
                </w:tcPr>
                <w:p>
                  <w:pPr>
                    <w:adjustRightInd w:val="0"/>
                    <w:snapToGrid w:val="0"/>
                    <w:jc w:val="center"/>
                    <w:rPr>
                      <w:rFonts w:hint="default"/>
                      <w:szCs w:val="21"/>
                      <w:u w:val="single"/>
                      <w:lang w:val="en-US" w:eastAsia="zh-CN"/>
                    </w:rPr>
                  </w:pPr>
                  <w:r>
                    <w:rPr>
                      <w:rFonts w:hint="eastAsia"/>
                      <w:szCs w:val="21"/>
                      <w:u w:val="single"/>
                      <w:lang w:val="en-US" w:eastAsia="zh-CN"/>
                    </w:rPr>
                    <w:t>/</w:t>
                  </w:r>
                </w:p>
              </w:tc>
              <w:tc>
                <w:tcPr>
                  <w:tcW w:w="822" w:type="dxa"/>
                  <w:tcBorders>
                    <w:left w:val="single" w:color="auto" w:sz="4" w:space="0"/>
                  </w:tcBorders>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固态</w:t>
                  </w:r>
                </w:p>
              </w:tc>
              <w:tc>
                <w:tcPr>
                  <w:tcW w:w="1095" w:type="dxa"/>
                  <w:tcBorders>
                    <w:left w:val="single" w:color="auto" w:sz="4" w:space="0"/>
                  </w:tcBorders>
                  <w:vAlign w:val="center"/>
                </w:tcPr>
                <w:p>
                  <w:pPr>
                    <w:jc w:val="center"/>
                    <w:rPr>
                      <w:rFonts w:hint="default"/>
                      <w:szCs w:val="21"/>
                      <w:u w:val="single"/>
                      <w:lang w:val="en-US" w:eastAsia="zh-CN"/>
                    </w:rPr>
                  </w:pPr>
                  <w:r>
                    <w:rPr>
                      <w:rFonts w:hint="eastAsia"/>
                      <w:szCs w:val="21"/>
                      <w:u w:val="single"/>
                      <w:lang w:val="en-US" w:eastAsia="zh-CN"/>
                    </w:rPr>
                    <w:t>外购</w:t>
                  </w:r>
                </w:p>
              </w:tc>
              <w:tc>
                <w:tcPr>
                  <w:tcW w:w="1051" w:type="dxa"/>
                  <w:tcBorders>
                    <w:left w:val="single" w:color="auto" w:sz="4" w:space="0"/>
                  </w:tcBorders>
                  <w:vAlign w:val="center"/>
                </w:tcPr>
                <w:p>
                  <w:pPr>
                    <w:jc w:val="center"/>
                    <w:rPr>
                      <w:rFonts w:hint="default"/>
                      <w:szCs w:val="21"/>
                      <w:u w:val="single"/>
                      <w:lang w:val="en-US" w:eastAsia="zh-CN"/>
                    </w:rPr>
                  </w:pPr>
                  <w:r>
                    <w:rPr>
                      <w:rFonts w:hint="eastAsia"/>
                      <w:szCs w:val="21"/>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shd w:val="clear" w:color="auto" w:fill="auto"/>
                  <w:vAlign w:val="center"/>
                </w:tcPr>
                <w:p>
                  <w:pPr>
                    <w:pStyle w:val="139"/>
                    <w:rPr>
                      <w:rFonts w:hint="default" w:ascii="Times New Roman" w:hAnsi="Times New Roman" w:eastAsia="宋体" w:cs="Times New Roman"/>
                      <w:bCs/>
                      <w:color w:val="auto"/>
                      <w:kern w:val="2"/>
                      <w:sz w:val="21"/>
                      <w:szCs w:val="24"/>
                      <w:lang w:val="en-US" w:eastAsia="zh-CN" w:bidi="ar-SA"/>
                    </w:rPr>
                  </w:pPr>
                  <w:r>
                    <w:rPr>
                      <w:rFonts w:hint="eastAsia"/>
                      <w:color w:val="auto"/>
                      <w:lang w:val="en-US" w:eastAsia="zh-CN"/>
                    </w:rPr>
                    <w:t>18</w:t>
                  </w:r>
                </w:p>
              </w:tc>
              <w:tc>
                <w:tcPr>
                  <w:tcW w:w="1772" w:type="dxa"/>
                  <w:gridSpan w:val="2"/>
                  <w:vAlign w:val="center"/>
                </w:tcPr>
                <w:p>
                  <w:pPr>
                    <w:pStyle w:val="139"/>
                    <w:rPr>
                      <w:color w:val="auto"/>
                    </w:rPr>
                  </w:pPr>
                  <w:r>
                    <w:rPr>
                      <w:rFonts w:hint="eastAsia"/>
                      <w:color w:val="auto"/>
                    </w:rPr>
                    <w:t>电</w:t>
                  </w:r>
                </w:p>
              </w:tc>
              <w:tc>
                <w:tcPr>
                  <w:tcW w:w="1057" w:type="dxa"/>
                  <w:tcBorders>
                    <w:right w:val="single" w:color="auto" w:sz="4" w:space="0"/>
                  </w:tcBorders>
                  <w:vAlign w:val="center"/>
                </w:tcPr>
                <w:p>
                  <w:pPr>
                    <w:pStyle w:val="139"/>
                    <w:rPr>
                      <w:rFonts w:hint="eastAsia" w:ascii="宋体" w:hAnsi="宋体" w:cs="宋体"/>
                      <w:color w:val="auto"/>
                    </w:rPr>
                  </w:pPr>
                  <w:r>
                    <w:rPr>
                      <w:rFonts w:hint="eastAsia"/>
                      <w:color w:val="auto"/>
                    </w:rPr>
                    <w:t>200万</w:t>
                  </w:r>
                </w:p>
              </w:tc>
              <w:tc>
                <w:tcPr>
                  <w:tcW w:w="953" w:type="dxa"/>
                  <w:tcBorders>
                    <w:right w:val="single" w:color="auto" w:sz="4" w:space="0"/>
                  </w:tcBorders>
                  <w:vAlign w:val="center"/>
                </w:tcPr>
                <w:p>
                  <w:pPr>
                    <w:pStyle w:val="139"/>
                    <w:rPr>
                      <w:color w:val="auto"/>
                    </w:rPr>
                  </w:pPr>
                  <w:r>
                    <w:rPr>
                      <w:rFonts w:hint="eastAsia"/>
                      <w:color w:val="auto"/>
                    </w:rPr>
                    <w:t>/</w:t>
                  </w:r>
                </w:p>
              </w:tc>
              <w:tc>
                <w:tcPr>
                  <w:tcW w:w="953" w:type="dxa"/>
                  <w:tcBorders>
                    <w:left w:val="single" w:color="auto" w:sz="4" w:space="0"/>
                  </w:tcBorders>
                  <w:vAlign w:val="center"/>
                </w:tcPr>
                <w:p>
                  <w:pPr>
                    <w:pStyle w:val="139"/>
                    <w:rPr>
                      <w:color w:val="auto"/>
                    </w:rPr>
                  </w:pPr>
                  <w:r>
                    <w:rPr>
                      <w:rFonts w:hint="eastAsia"/>
                      <w:color w:val="auto"/>
                    </w:rPr>
                    <w:t>kwh</w:t>
                  </w:r>
                </w:p>
              </w:tc>
              <w:tc>
                <w:tcPr>
                  <w:tcW w:w="822" w:type="dxa"/>
                  <w:tcBorders>
                    <w:left w:val="single" w:color="auto" w:sz="4" w:space="0"/>
                  </w:tcBorders>
                  <w:vAlign w:val="center"/>
                </w:tcPr>
                <w:p>
                  <w:pPr>
                    <w:pStyle w:val="139"/>
                    <w:rPr>
                      <w:color w:val="auto"/>
                    </w:rPr>
                  </w:pPr>
                  <w:r>
                    <w:rPr>
                      <w:rFonts w:hint="eastAsia"/>
                      <w:color w:val="auto"/>
                    </w:rPr>
                    <w:t>/</w:t>
                  </w:r>
                </w:p>
              </w:tc>
              <w:tc>
                <w:tcPr>
                  <w:tcW w:w="1095" w:type="dxa"/>
                  <w:tcBorders>
                    <w:left w:val="single" w:color="auto" w:sz="4" w:space="0"/>
                  </w:tcBorders>
                  <w:vAlign w:val="center"/>
                </w:tcPr>
                <w:p>
                  <w:pPr>
                    <w:pStyle w:val="139"/>
                    <w:rPr>
                      <w:color w:val="auto"/>
                    </w:rPr>
                  </w:pPr>
                  <w:r>
                    <w:rPr>
                      <w:rFonts w:hint="eastAsia"/>
                      <w:color w:val="auto"/>
                    </w:rPr>
                    <w:t>电网</w:t>
                  </w:r>
                </w:p>
              </w:tc>
              <w:tc>
                <w:tcPr>
                  <w:tcW w:w="1051" w:type="dxa"/>
                  <w:tcBorders>
                    <w:left w:val="single" w:color="auto" w:sz="4" w:space="0"/>
                  </w:tcBorders>
                  <w:vAlign w:val="center"/>
                </w:tcPr>
                <w:p>
                  <w:pPr>
                    <w:pStyle w:val="139"/>
                    <w:rPr>
                      <w:color w:val="auto"/>
                    </w:rPr>
                  </w:pPr>
                  <w:r>
                    <w:rPr>
                      <w:rFonts w:hint="eastAsia"/>
                      <w:color w:val="auto"/>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79" w:type="dxa"/>
                  <w:vAlign w:val="center"/>
                </w:tcPr>
                <w:p>
                  <w:pPr>
                    <w:pStyle w:val="139"/>
                    <w:rPr>
                      <w:rFonts w:hint="default" w:eastAsia="宋体"/>
                      <w:color w:val="auto"/>
                      <w:lang w:val="en-US" w:eastAsia="zh-CN"/>
                    </w:rPr>
                  </w:pPr>
                  <w:r>
                    <w:rPr>
                      <w:rFonts w:hint="eastAsia"/>
                      <w:color w:val="auto"/>
                      <w:lang w:val="en-US" w:eastAsia="zh-CN"/>
                    </w:rPr>
                    <w:t>19</w:t>
                  </w:r>
                </w:p>
              </w:tc>
              <w:tc>
                <w:tcPr>
                  <w:tcW w:w="1772" w:type="dxa"/>
                  <w:gridSpan w:val="2"/>
                  <w:vAlign w:val="center"/>
                </w:tcPr>
                <w:p>
                  <w:pPr>
                    <w:pStyle w:val="139"/>
                    <w:rPr>
                      <w:color w:val="auto"/>
                    </w:rPr>
                  </w:pPr>
                  <w:r>
                    <w:rPr>
                      <w:rFonts w:hint="eastAsia"/>
                      <w:color w:val="auto"/>
                    </w:rPr>
                    <w:t>水</w:t>
                  </w:r>
                </w:p>
              </w:tc>
              <w:tc>
                <w:tcPr>
                  <w:tcW w:w="1057" w:type="dxa"/>
                  <w:tcBorders>
                    <w:right w:val="single" w:color="auto" w:sz="4" w:space="0"/>
                  </w:tcBorders>
                  <w:vAlign w:val="center"/>
                </w:tcPr>
                <w:p>
                  <w:pPr>
                    <w:pStyle w:val="139"/>
                    <w:rPr>
                      <w:rFonts w:hint="eastAsia" w:ascii="宋体" w:hAnsi="宋体" w:cs="宋体"/>
                      <w:color w:val="auto"/>
                    </w:rPr>
                  </w:pPr>
                  <w:r>
                    <w:rPr>
                      <w:rFonts w:hint="eastAsia"/>
                      <w:color w:val="auto"/>
                    </w:rPr>
                    <w:t>17766</w:t>
                  </w:r>
                </w:p>
              </w:tc>
              <w:tc>
                <w:tcPr>
                  <w:tcW w:w="953" w:type="dxa"/>
                  <w:tcBorders>
                    <w:right w:val="single" w:color="auto" w:sz="4" w:space="0"/>
                  </w:tcBorders>
                  <w:vAlign w:val="center"/>
                </w:tcPr>
                <w:p>
                  <w:pPr>
                    <w:pStyle w:val="139"/>
                    <w:rPr>
                      <w:color w:val="auto"/>
                    </w:rPr>
                  </w:pPr>
                  <w:r>
                    <w:rPr>
                      <w:rFonts w:hint="eastAsia"/>
                      <w:color w:val="auto"/>
                    </w:rPr>
                    <w:t>/</w:t>
                  </w:r>
                </w:p>
              </w:tc>
              <w:tc>
                <w:tcPr>
                  <w:tcW w:w="953" w:type="dxa"/>
                  <w:tcBorders>
                    <w:left w:val="single" w:color="auto" w:sz="4" w:space="0"/>
                  </w:tcBorders>
                  <w:vAlign w:val="center"/>
                </w:tcPr>
                <w:p>
                  <w:pPr>
                    <w:pStyle w:val="139"/>
                    <w:rPr>
                      <w:color w:val="auto"/>
                    </w:rPr>
                  </w:pPr>
                  <w:r>
                    <w:rPr>
                      <w:rFonts w:hint="eastAsia"/>
                      <w:color w:val="auto"/>
                    </w:rPr>
                    <w:t>m</w:t>
                  </w:r>
                  <w:r>
                    <w:rPr>
                      <w:rFonts w:hint="eastAsia"/>
                      <w:color w:val="auto"/>
                      <w:vertAlign w:val="superscript"/>
                    </w:rPr>
                    <w:t>3</w:t>
                  </w:r>
                </w:p>
              </w:tc>
              <w:tc>
                <w:tcPr>
                  <w:tcW w:w="822" w:type="dxa"/>
                  <w:tcBorders>
                    <w:left w:val="single" w:color="auto" w:sz="4" w:space="0"/>
                  </w:tcBorders>
                  <w:vAlign w:val="center"/>
                </w:tcPr>
                <w:p>
                  <w:pPr>
                    <w:pStyle w:val="139"/>
                    <w:rPr>
                      <w:color w:val="auto"/>
                    </w:rPr>
                  </w:pPr>
                  <w:r>
                    <w:rPr>
                      <w:rFonts w:hint="eastAsia"/>
                      <w:color w:val="auto"/>
                    </w:rPr>
                    <w:t>/</w:t>
                  </w:r>
                </w:p>
              </w:tc>
              <w:tc>
                <w:tcPr>
                  <w:tcW w:w="1095" w:type="dxa"/>
                  <w:tcBorders>
                    <w:left w:val="single" w:color="auto" w:sz="4" w:space="0"/>
                  </w:tcBorders>
                  <w:vAlign w:val="center"/>
                </w:tcPr>
                <w:p>
                  <w:pPr>
                    <w:pStyle w:val="139"/>
                    <w:rPr>
                      <w:color w:val="auto"/>
                    </w:rPr>
                  </w:pPr>
                  <w:r>
                    <w:rPr>
                      <w:rFonts w:hint="eastAsia"/>
                      <w:color w:val="auto"/>
                    </w:rPr>
                    <w:t>自来水厂</w:t>
                  </w:r>
                </w:p>
              </w:tc>
              <w:tc>
                <w:tcPr>
                  <w:tcW w:w="1051" w:type="dxa"/>
                  <w:tcBorders>
                    <w:left w:val="single" w:color="auto" w:sz="4" w:space="0"/>
                  </w:tcBorders>
                  <w:vAlign w:val="center"/>
                </w:tcPr>
                <w:p>
                  <w:pPr>
                    <w:pStyle w:val="139"/>
                    <w:rPr>
                      <w:color w:val="auto"/>
                    </w:rPr>
                  </w:pPr>
                  <w:r>
                    <w:rPr>
                      <w:rFonts w:hint="eastAsia"/>
                      <w:color w:val="auto"/>
                    </w:rPr>
                    <w:t>/</w:t>
                  </w:r>
                </w:p>
              </w:tc>
            </w:tr>
          </w:tbl>
          <w:p>
            <w:pPr>
              <w:ind w:firstLine="422" w:firstLineChars="200"/>
              <w:jc w:val="center"/>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表2-5  油漆成分分析</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625"/>
              <w:gridCol w:w="1590"/>
              <w:gridCol w:w="5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pPr>
                    <w:pStyle w:val="39"/>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序号</w:t>
                  </w:r>
                </w:p>
              </w:tc>
              <w:tc>
                <w:tcPr>
                  <w:tcW w:w="2215" w:type="dxa"/>
                  <w:gridSpan w:val="2"/>
                  <w:vAlign w:val="center"/>
                </w:tcPr>
                <w:p>
                  <w:pPr>
                    <w:pStyle w:val="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名称</w:t>
                  </w:r>
                </w:p>
              </w:tc>
              <w:tc>
                <w:tcPr>
                  <w:tcW w:w="5407" w:type="dxa"/>
                  <w:vAlign w:val="center"/>
                </w:tcPr>
                <w:p>
                  <w:pPr>
                    <w:pStyle w:val="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768" w:type="dxa"/>
                  <w:vAlign w:val="center"/>
                </w:tcPr>
                <w:p>
                  <w:pPr>
                    <w:pStyle w:val="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1</w:t>
                  </w:r>
                </w:p>
              </w:tc>
              <w:tc>
                <w:tcPr>
                  <w:tcW w:w="625" w:type="dxa"/>
                  <w:vMerge w:val="restart"/>
                  <w:vAlign w:val="center"/>
                </w:tcPr>
                <w:p>
                  <w:pPr>
                    <w:pStyle w:val="39"/>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溶剂型</w:t>
                  </w:r>
                </w:p>
              </w:tc>
              <w:tc>
                <w:tcPr>
                  <w:tcW w:w="1590" w:type="dxa"/>
                  <w:shd w:val="clear" w:color="auto" w:fill="auto"/>
                  <w:vAlign w:val="center"/>
                </w:tcPr>
                <w:p>
                  <w:pPr>
                    <w:pStyle w:val="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Times New Roman" w:cs="Times New Roman"/>
                      <w:color w:val="000000"/>
                      <w:kern w:val="2"/>
                      <w:sz w:val="24"/>
                      <w:szCs w:val="24"/>
                      <w:vertAlign w:val="baseline"/>
                      <w:lang w:val="en-US" w:eastAsia="zh-CN" w:bidi="ar-SA"/>
                    </w:rPr>
                  </w:pPr>
                  <w:r>
                    <w:rPr>
                      <w:rFonts w:hint="eastAsia"/>
                      <w:color w:val="auto"/>
                    </w:rPr>
                    <w:t>底漆</w:t>
                  </w:r>
                </w:p>
              </w:tc>
              <w:tc>
                <w:tcPr>
                  <w:tcW w:w="5407" w:type="dxa"/>
                  <w:vAlign w:val="center"/>
                </w:tcPr>
                <w:p>
                  <w:pPr>
                    <w:pStyle w:val="1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vertAlign w:val="baseline"/>
                      <w:lang w:val="en-US" w:eastAsia="zh-CN"/>
                    </w:rPr>
                  </w:pPr>
                  <w:r>
                    <w:rPr>
                      <w:rFonts w:hint="eastAsia"/>
                      <w:color w:val="auto"/>
                    </w:rPr>
                    <w:t>聚氨酯底漆是一种高性能的涂料，由聚酯或聚醚类多元醇、聚异氰酸酯和可调节的添加剂组成</w:t>
                  </w:r>
                  <w:r>
                    <w:rPr>
                      <w:rFonts w:hint="eastAsia"/>
                      <w:color w:val="auto"/>
                      <w:lang w:eastAsia="zh-CN"/>
                    </w:rPr>
                    <w:t>，</w:t>
                  </w:r>
                  <w:r>
                    <w:rPr>
                      <w:rFonts w:hint="eastAsia"/>
                      <w:color w:val="auto"/>
                      <w:lang w:val="en-US" w:eastAsia="zh-CN"/>
                    </w:rPr>
                    <w:t>VOCs含量53.5g/L，其中甲苯、二甲苯等苯系物含量为10.2g/L，密度为1.0-1.2g/cm</w:t>
                  </w:r>
                  <w:r>
                    <w:rPr>
                      <w:rFonts w:hint="eastAsia"/>
                      <w:color w:val="auto"/>
                      <w:vertAlign w:val="superscript"/>
                      <w:lang w:val="en-US" w:eastAsia="zh-CN"/>
                    </w:rPr>
                    <w:t>3</w:t>
                  </w:r>
                  <w:r>
                    <w:rPr>
                      <w:rFonts w:hint="eastAsia"/>
                      <w:color w:val="auto"/>
                      <w:lang w:val="en-US" w:eastAsia="zh-CN"/>
                    </w:rPr>
                    <w:t>，本次评价取1.1g/cm</w:t>
                  </w:r>
                  <w:r>
                    <w:rPr>
                      <w:rFonts w:hint="eastAsia"/>
                      <w:color w:val="auto"/>
                      <w:vertAlign w:val="superscript"/>
                      <w:lang w:val="en-US" w:eastAsia="zh-CN"/>
                    </w:rPr>
                    <w:t>3</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pPr>
                    <w:pStyle w:val="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2</w:t>
                  </w:r>
                </w:p>
              </w:tc>
              <w:tc>
                <w:tcPr>
                  <w:tcW w:w="625" w:type="dxa"/>
                  <w:vMerge w:val="continue"/>
                  <w:shd w:val="clear" w:color="auto" w:fill="auto"/>
                  <w:vAlign w:val="center"/>
                </w:tcPr>
                <w:p>
                  <w:pPr>
                    <w:pStyle w:val="1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kern w:val="2"/>
                      <w:sz w:val="21"/>
                      <w:szCs w:val="24"/>
                      <w:lang w:val="en-US" w:eastAsia="zh-CN" w:bidi="ar-SA"/>
                    </w:rPr>
                  </w:pPr>
                </w:p>
              </w:tc>
              <w:tc>
                <w:tcPr>
                  <w:tcW w:w="1590" w:type="dxa"/>
                  <w:shd w:val="clear" w:color="auto" w:fill="auto"/>
                  <w:vAlign w:val="center"/>
                </w:tcPr>
                <w:p>
                  <w:pPr>
                    <w:pStyle w:val="1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color w:val="auto"/>
                      <w:lang w:val="en-US" w:eastAsia="zh-CN"/>
                    </w:rPr>
                  </w:pPr>
                  <w:r>
                    <w:rPr>
                      <w:rFonts w:hint="eastAsia"/>
                      <w:color w:val="auto"/>
                    </w:rPr>
                    <w:t>面漆</w:t>
                  </w:r>
                </w:p>
              </w:tc>
              <w:tc>
                <w:tcPr>
                  <w:tcW w:w="5407" w:type="dxa"/>
                  <w:vAlign w:val="center"/>
                </w:tcPr>
                <w:p>
                  <w:pPr>
                    <w:pStyle w:val="1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聚氨酯面漆，由环氧树脂与聚氨酯树脂复合而成，具有出色的耐化学性，耐候性、耐水性和强大的附着力</w:t>
                  </w:r>
                  <w:r>
                    <w:rPr>
                      <w:rFonts w:hint="eastAsia"/>
                      <w:color w:val="auto"/>
                      <w:lang w:val="en-US" w:eastAsia="zh-CN"/>
                    </w:rPr>
                    <w:t>VOCs含量43.5g/L，其中甲苯、二甲苯等苯系物含量18.6g/L，密度1.0-1.1g/cm</w:t>
                  </w:r>
                  <w:r>
                    <w:rPr>
                      <w:rFonts w:hint="eastAsia"/>
                      <w:color w:val="auto"/>
                      <w:vertAlign w:val="superscript"/>
                      <w:lang w:val="en-US" w:eastAsia="zh-CN"/>
                    </w:rPr>
                    <w:t>3</w:t>
                  </w:r>
                  <w:r>
                    <w:rPr>
                      <w:rFonts w:hint="eastAsia"/>
                      <w:color w:val="auto"/>
                      <w:lang w:val="en-US" w:eastAsia="zh-CN"/>
                    </w:rPr>
                    <w:t>之间，本次评价取1.05g/cm</w:t>
                  </w:r>
                  <w:r>
                    <w:rPr>
                      <w:rFonts w:hint="eastAsia"/>
                      <w:color w:val="auto"/>
                      <w:vertAlign w:val="superscript"/>
                      <w:lang w:val="en-US" w:eastAsia="zh-CN"/>
                    </w:rPr>
                    <w:t>3</w:t>
                  </w:r>
                  <w:r>
                    <w:rPr>
                      <w:rFonts w:hint="default"/>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pPr>
                    <w:pStyle w:val="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3</w:t>
                  </w:r>
                </w:p>
              </w:tc>
              <w:tc>
                <w:tcPr>
                  <w:tcW w:w="625" w:type="dxa"/>
                  <w:vMerge w:val="continue"/>
                  <w:shd w:val="clear" w:color="auto" w:fill="auto"/>
                  <w:vAlign w:val="center"/>
                </w:tcPr>
                <w:p>
                  <w:pPr>
                    <w:pStyle w:val="1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kern w:val="2"/>
                      <w:sz w:val="21"/>
                      <w:szCs w:val="24"/>
                      <w:lang w:val="en-US" w:eastAsia="zh-CN" w:bidi="ar-SA"/>
                    </w:rPr>
                  </w:pPr>
                </w:p>
              </w:tc>
              <w:tc>
                <w:tcPr>
                  <w:tcW w:w="1590" w:type="dxa"/>
                  <w:shd w:val="clear" w:color="auto" w:fill="auto"/>
                  <w:vAlign w:val="center"/>
                </w:tcPr>
                <w:p>
                  <w:pPr>
                    <w:pStyle w:val="1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稀释剂</w:t>
                  </w:r>
                </w:p>
              </w:tc>
              <w:tc>
                <w:tcPr>
                  <w:tcW w:w="5407" w:type="dxa"/>
                  <w:vAlign w:val="center"/>
                </w:tcPr>
                <w:p>
                  <w:pPr>
                    <w:pStyle w:val="1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无色透明液体，主要为二甲苯、乙酸丁酯、乙酸-1-甲氧基-2-丙基酯，密度0.8-1.2g/cm</w:t>
                  </w:r>
                  <w:r>
                    <w:rPr>
                      <w:rFonts w:hint="eastAsia"/>
                      <w:color w:val="auto"/>
                      <w:vertAlign w:val="superscript"/>
                      <w:lang w:val="en-US" w:eastAsia="zh-CN"/>
                    </w:rPr>
                    <w:t>3</w:t>
                  </w:r>
                  <w:r>
                    <w:rPr>
                      <w:rFonts w:hint="eastAsia"/>
                      <w:color w:val="auto"/>
                      <w:lang w:val="en-US" w:eastAsia="zh-CN"/>
                    </w:rPr>
                    <w:t>，本次评价取1.0g/cm</w:t>
                  </w:r>
                  <w:r>
                    <w:rPr>
                      <w:rFonts w:hint="eastAsia"/>
                      <w:color w:val="auto"/>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4</w:t>
                  </w:r>
                </w:p>
              </w:tc>
              <w:tc>
                <w:tcPr>
                  <w:tcW w:w="625" w:type="dxa"/>
                  <w:vMerge w:val="continue"/>
                  <w:shd w:val="clear" w:color="auto" w:fill="auto"/>
                  <w:vAlign w:val="center"/>
                </w:tcPr>
                <w:p>
                  <w:pPr>
                    <w:pStyle w:val="1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kern w:val="2"/>
                      <w:sz w:val="21"/>
                      <w:szCs w:val="24"/>
                      <w:lang w:val="en-US" w:eastAsia="zh-CN" w:bidi="ar-SA"/>
                    </w:rPr>
                  </w:pPr>
                </w:p>
              </w:tc>
              <w:tc>
                <w:tcPr>
                  <w:tcW w:w="1590" w:type="dxa"/>
                  <w:shd w:val="clear" w:color="auto" w:fill="auto"/>
                  <w:vAlign w:val="center"/>
                </w:tcPr>
                <w:p>
                  <w:pPr>
                    <w:pStyle w:val="1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bCs/>
                      <w:color w:val="auto"/>
                      <w:kern w:val="2"/>
                      <w:sz w:val="21"/>
                      <w:szCs w:val="24"/>
                      <w:lang w:val="en-US" w:eastAsia="zh-CN" w:bidi="ar-SA"/>
                    </w:rPr>
                  </w:pPr>
                  <w:r>
                    <w:rPr>
                      <w:rFonts w:hint="eastAsia"/>
                      <w:color w:val="auto"/>
                    </w:rPr>
                    <w:t>固化剂</w:t>
                  </w:r>
                </w:p>
              </w:tc>
              <w:tc>
                <w:tcPr>
                  <w:tcW w:w="5407" w:type="dxa"/>
                  <w:vAlign w:val="center"/>
                </w:tcPr>
                <w:p>
                  <w:pPr>
                    <w:pStyle w:val="3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vertAlign w:val="baseline"/>
                      <w:lang w:val="en-US" w:eastAsia="zh-CN"/>
                    </w:rPr>
                  </w:pPr>
                  <w:r>
                    <w:rPr>
                      <w:rFonts w:hint="eastAsia" w:ascii="Times New Roman" w:hAnsi="Times New Roman" w:eastAsia="宋体" w:cs="Times New Roman"/>
                      <w:bCs/>
                      <w:color w:val="auto"/>
                      <w:kern w:val="2"/>
                      <w:sz w:val="21"/>
                      <w:szCs w:val="24"/>
                      <w:lang w:val="en-US" w:eastAsia="zh-CN" w:bidi="ar-SA"/>
                    </w:rPr>
                    <w:t>主要为多异氰酸酯和溶剂组成，溶剂主要为乙酸丁酯和乙酸-1-甲氧基-2-丙基酯，含量约为30g/L，密度为0.8-1.2g/cm</w:t>
                  </w:r>
                  <w:r>
                    <w:rPr>
                      <w:rFonts w:hint="eastAsia" w:ascii="Times New Roman" w:hAnsi="Times New Roman" w:eastAsia="宋体" w:cs="Times New Roman"/>
                      <w:bCs/>
                      <w:color w:val="auto"/>
                      <w:kern w:val="2"/>
                      <w:sz w:val="21"/>
                      <w:szCs w:val="24"/>
                      <w:vertAlign w:val="superscript"/>
                      <w:lang w:val="en-US" w:eastAsia="zh-CN" w:bidi="ar-SA"/>
                    </w:rPr>
                    <w:t>3</w:t>
                  </w:r>
                  <w:r>
                    <w:rPr>
                      <w:rFonts w:hint="eastAsia" w:ascii="Times New Roman" w:hAnsi="Times New Roman" w:eastAsia="宋体" w:cs="Times New Roman"/>
                      <w:bCs/>
                      <w:color w:val="auto"/>
                      <w:kern w:val="2"/>
                      <w:sz w:val="21"/>
                      <w:szCs w:val="24"/>
                      <w:lang w:val="en-US" w:eastAsia="zh-CN" w:bidi="ar-SA"/>
                    </w:rPr>
                    <w:t>，本次评价取1.0g/cm</w:t>
                  </w:r>
                  <w:r>
                    <w:rPr>
                      <w:rFonts w:hint="eastAsia" w:ascii="Times New Roman" w:hAnsi="Times New Roman" w:eastAsia="宋体" w:cs="Times New Roman"/>
                      <w:bCs/>
                      <w:color w:val="auto"/>
                      <w:kern w:val="2"/>
                      <w:sz w:val="21"/>
                      <w:szCs w:val="24"/>
                      <w:vertAlign w:val="superscript"/>
                      <w:lang w:val="en-US" w:eastAsia="zh-CN" w:bidi="ar-SA"/>
                    </w:rPr>
                    <w:t>3</w:t>
                  </w:r>
                  <w:r>
                    <w:rPr>
                      <w:rFonts w:hint="eastAsia" w:ascii="Times New Roman" w:hAnsi="Times New Roman" w:eastAsia="宋体" w:cs="Times New Roman"/>
                      <w:bCs/>
                      <w:color w:val="auto"/>
                      <w:kern w:val="2"/>
                      <w:sz w:val="21"/>
                      <w:szCs w:val="24"/>
                      <w:lang w:val="en-US" w:eastAsia="zh-CN" w:bidi="ar-SA"/>
                    </w:rPr>
                    <w:t>。</w:t>
                  </w:r>
                </w:p>
              </w:tc>
            </w:tr>
          </w:tbl>
          <w:p>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油漆用量核算</w:t>
            </w:r>
          </w:p>
          <w:p>
            <w:pPr>
              <w:autoSpaceDE w:val="0"/>
              <w:autoSpaceDN w:val="0"/>
              <w:spacing w:line="360" w:lineRule="auto"/>
              <w:ind w:firstLine="480" w:firstLineChars="200"/>
              <w:jc w:val="left"/>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溶剂型油漆与稀释剂、固化剂的混合比例为2:1:1，通过原辅材料分析表计算可知，底漆混合后的密度为1.0</w:t>
            </w:r>
            <w:r>
              <w:rPr>
                <w:rFonts w:hint="eastAsia"/>
                <w:color w:val="000000" w:themeColor="text1"/>
                <w:sz w:val="24"/>
                <w:u w:val="single"/>
                <w:lang w:val="en-US" w:eastAsia="zh-CN"/>
                <w14:textFill>
                  <w14:solidFill>
                    <w14:schemeClr w14:val="tx1"/>
                  </w14:solidFill>
                </w14:textFill>
              </w:rPr>
              <w:t>5</w:t>
            </w:r>
            <w:r>
              <w:rPr>
                <w:rFonts w:hint="eastAsia"/>
                <w:color w:val="000000" w:themeColor="text1"/>
                <w:sz w:val="24"/>
                <w:u w:val="single"/>
                <w14:textFill>
                  <w14:solidFill>
                    <w14:schemeClr w14:val="tx1"/>
                  </w14:solidFill>
                </w14:textFill>
              </w:rPr>
              <w:t>g/cm</w:t>
            </w:r>
            <w:r>
              <w:rPr>
                <w:rFonts w:hint="eastAsia"/>
                <w:color w:val="000000" w:themeColor="text1"/>
                <w:sz w:val="24"/>
                <w:u w:val="single"/>
                <w:vertAlign w:val="superscript"/>
                <w14:textFill>
                  <w14:solidFill>
                    <w14:schemeClr w14:val="tx1"/>
                  </w14:solidFill>
                </w14:textFill>
              </w:rPr>
              <w:t>3</w:t>
            </w:r>
            <w:r>
              <w:rPr>
                <w:rFonts w:hint="eastAsia"/>
                <w:color w:val="000000" w:themeColor="text1"/>
                <w:sz w:val="24"/>
                <w:u w:val="single"/>
                <w14:textFill>
                  <w14:solidFill>
                    <w14:schemeClr w14:val="tx1"/>
                  </w14:solidFill>
                </w14:textFill>
              </w:rPr>
              <w:t>，面漆混合后的密度为</w:t>
            </w:r>
            <w:r>
              <w:rPr>
                <w:rFonts w:hint="eastAsia"/>
                <w:color w:val="000000" w:themeColor="text1"/>
                <w:sz w:val="24"/>
                <w:u w:val="single"/>
                <w:lang w:val="en-US" w:eastAsia="zh-CN"/>
                <w14:textFill>
                  <w14:solidFill>
                    <w14:schemeClr w14:val="tx1"/>
                  </w14:solidFill>
                </w14:textFill>
              </w:rPr>
              <w:t>1.025</w:t>
            </w:r>
            <w:r>
              <w:rPr>
                <w:rFonts w:hint="eastAsia"/>
                <w:color w:val="000000" w:themeColor="text1"/>
                <w:sz w:val="24"/>
                <w:u w:val="single"/>
                <w14:textFill>
                  <w14:solidFill>
                    <w14:schemeClr w14:val="tx1"/>
                  </w14:solidFill>
                </w14:textFill>
              </w:rPr>
              <w:t>g/cm</w:t>
            </w:r>
            <w:r>
              <w:rPr>
                <w:rFonts w:hint="eastAsia"/>
                <w:color w:val="000000" w:themeColor="text1"/>
                <w:sz w:val="24"/>
                <w:u w:val="single"/>
                <w:vertAlign w:val="superscript"/>
                <w14:textFill>
                  <w14:solidFill>
                    <w14:schemeClr w14:val="tx1"/>
                  </w14:solidFill>
                </w14:textFill>
              </w:rPr>
              <w:t>3</w:t>
            </w:r>
            <w:r>
              <w:rPr>
                <w:rFonts w:hint="eastAsia"/>
                <w:color w:val="000000" w:themeColor="text1"/>
                <w:sz w:val="24"/>
                <w:u w:val="single"/>
                <w14:textFill>
                  <w14:solidFill>
                    <w14:schemeClr w14:val="tx1"/>
                  </w14:solidFill>
                </w14:textFill>
              </w:rPr>
              <w:t>。水性漆主要成分为水，因此密度按1.0g/cm</w:t>
            </w:r>
            <w:r>
              <w:rPr>
                <w:rFonts w:hint="eastAsia"/>
                <w:color w:val="000000" w:themeColor="text1"/>
                <w:sz w:val="24"/>
                <w:u w:val="single"/>
                <w:vertAlign w:val="superscript"/>
                <w14:textFill>
                  <w14:solidFill>
                    <w14:schemeClr w14:val="tx1"/>
                  </w14:solidFill>
                </w14:textFill>
              </w:rPr>
              <w:t>3</w:t>
            </w:r>
            <w:r>
              <w:rPr>
                <w:rFonts w:hint="eastAsia"/>
                <w:color w:val="000000" w:themeColor="text1"/>
                <w:sz w:val="24"/>
                <w:u w:val="single"/>
                <w14:textFill>
                  <w14:solidFill>
                    <w14:schemeClr w14:val="tx1"/>
                  </w14:solidFill>
                </w14:textFill>
              </w:rPr>
              <w:t>核算。</w:t>
            </w:r>
          </w:p>
          <w:p>
            <w:pPr>
              <w:spacing w:line="360" w:lineRule="auto"/>
              <w:ind w:firstLine="480" w:firstLineChars="2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油漆量的计算公式如下：</w:t>
            </w:r>
          </w:p>
          <w:p>
            <w:pPr>
              <w:autoSpaceDE w:val="0"/>
              <w:autoSpaceDN w:val="0"/>
              <w:ind w:firstLine="210" w:firstLineChars="100"/>
              <w:jc w:val="center"/>
              <w:rPr>
                <w:color w:val="000000" w:themeColor="text1"/>
                <w:kern w:val="0"/>
                <w:u w:val="single"/>
                <w14:textFill>
                  <w14:solidFill>
                    <w14:schemeClr w14:val="tx1"/>
                  </w14:solidFill>
                </w14:textFill>
              </w:rPr>
            </w:pPr>
            <w:r>
              <w:rPr>
                <w:color w:val="000000" w:themeColor="text1"/>
                <w:kern w:val="0"/>
                <w:u w:val="single"/>
                <w:shd w:val="clear" w:color="auto" w:fill="E6E0EC"/>
                <w14:textFill>
                  <w14:solidFill>
                    <w14:schemeClr w14:val="tx1"/>
                  </w14:solidFill>
                </w14:textFill>
              </w:rPr>
              <w:object>
                <v:shape id="_x0000_i1025" o:spt="75" type="#_x0000_t75" style="height:30.4pt;width:72pt;" o:ole="t" fillcolor="#C6D9F1" filled="t" o:preferrelative="t" stroked="f" coordsize="21600,21600">
                  <v:path/>
                  <v:fill on="t" focussize="0,0"/>
                  <v:stroke on="f" joinstyle="miter"/>
                  <v:imagedata r:id="rId8" o:title=""/>
                  <o:lock v:ext="edit" aspectratio="t"/>
                  <w10:wrap type="none"/>
                  <w10:anchorlock/>
                </v:shape>
                <o:OLEObject Type="Embed" ProgID="Equation.KSEE3" ShapeID="_x0000_i1025" DrawAspect="Content" ObjectID="_1468075725" r:id="rId7">
                  <o:LockedField>false</o:LockedField>
                </o:OLEObject>
              </w:object>
            </w:r>
          </w:p>
          <w:p>
            <w:pPr>
              <w:spacing w:line="360" w:lineRule="auto"/>
              <w:ind w:firstLine="480" w:firstLineChars="2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式中，Q——油漆量，t；</w:t>
            </w:r>
          </w:p>
          <w:p>
            <w:pPr>
              <w:spacing w:line="360" w:lineRule="auto"/>
              <w:ind w:firstLine="1200" w:firstLineChars="5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A——喷涂面积，m</w:t>
            </w:r>
            <w:r>
              <w:rPr>
                <w:rFonts w:hint="eastAsia"/>
                <w:color w:val="000000" w:themeColor="text1"/>
                <w:sz w:val="24"/>
                <w:u w:val="single"/>
                <w:vertAlign w:val="superscript"/>
                <w14:textFill>
                  <w14:solidFill>
                    <w14:schemeClr w14:val="tx1"/>
                  </w14:solidFill>
                </w14:textFill>
              </w:rPr>
              <w:t>2</w:t>
            </w:r>
            <w:r>
              <w:rPr>
                <w:rFonts w:hint="eastAsia"/>
                <w:color w:val="000000" w:themeColor="text1"/>
                <w:sz w:val="24"/>
                <w:u w:val="single"/>
                <w14:textFill>
                  <w14:solidFill>
                    <w14:schemeClr w14:val="tx1"/>
                  </w14:solidFill>
                </w14:textFill>
              </w:rPr>
              <w:t>；</w:t>
            </w:r>
          </w:p>
          <w:p>
            <w:pPr>
              <w:spacing w:line="360" w:lineRule="auto"/>
              <w:ind w:firstLine="1200" w:firstLineChars="5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D——喷涂厚度，m；</w:t>
            </w:r>
          </w:p>
          <w:p>
            <w:pPr>
              <w:spacing w:line="360" w:lineRule="auto"/>
              <w:ind w:firstLine="1200" w:firstLineChars="5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ρ——漆的密度，g/cm</w:t>
            </w:r>
            <w:r>
              <w:rPr>
                <w:rFonts w:hint="eastAsia"/>
                <w:color w:val="000000" w:themeColor="text1"/>
                <w:sz w:val="24"/>
                <w:u w:val="single"/>
                <w:vertAlign w:val="superscript"/>
                <w14:textFill>
                  <w14:solidFill>
                    <w14:schemeClr w14:val="tx1"/>
                  </w14:solidFill>
                </w14:textFill>
              </w:rPr>
              <w:t>3</w:t>
            </w:r>
            <w:r>
              <w:rPr>
                <w:rFonts w:hint="eastAsia"/>
                <w:color w:val="000000" w:themeColor="text1"/>
                <w:sz w:val="24"/>
                <w:u w:val="single"/>
                <w14:textFill>
                  <w14:solidFill>
                    <w14:schemeClr w14:val="tx1"/>
                  </w14:solidFill>
                </w14:textFill>
              </w:rPr>
              <w:t>；</w:t>
            </w:r>
          </w:p>
          <w:p>
            <w:pPr>
              <w:spacing w:line="360" w:lineRule="auto"/>
              <w:ind w:firstLine="1200" w:firstLineChars="5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B——漆的固含量，%；</w:t>
            </w:r>
          </w:p>
          <w:p>
            <w:pPr>
              <w:spacing w:line="360" w:lineRule="auto"/>
              <w:ind w:firstLine="1200" w:firstLineChars="5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λ——喷涂附着率，%。</w:t>
            </w:r>
          </w:p>
          <w:p>
            <w:pPr>
              <w:autoSpaceDE w:val="0"/>
              <w:autoSpaceDN w:val="0"/>
              <w:spacing w:line="360" w:lineRule="auto"/>
              <w:ind w:firstLine="480" w:firstLineChars="200"/>
              <w:jc w:val="left"/>
              <w:rPr>
                <w:rFonts w:hint="default" w:ascii="Times New Roman" w:hAnsi="Times New Roman" w:cs="Times New Roman"/>
                <w:color w:val="000000" w:themeColor="text1"/>
                <w:sz w:val="24"/>
                <w:u w:val="single"/>
                <w:shd w:val="clear" w:color="auto" w:fill="FFFFFF"/>
                <w14:textFill>
                  <w14:solidFill>
                    <w14:schemeClr w14:val="tx1"/>
                  </w14:solidFill>
                </w14:textFill>
              </w:rPr>
            </w:pPr>
            <w:r>
              <w:rPr>
                <w:rFonts w:hint="default" w:ascii="Times New Roman" w:hAnsi="Times New Roman" w:cs="Times New Roman"/>
                <w:color w:val="000000" w:themeColor="text1"/>
                <w:sz w:val="24"/>
                <w:u w:val="single"/>
                <w:shd w:val="clear" w:color="auto" w:fill="FFFFFF"/>
                <w14:textFill>
                  <w14:solidFill>
                    <w14:schemeClr w14:val="tx1"/>
                  </w14:solidFill>
                </w14:textFill>
              </w:rPr>
              <w:t>根据建设单位介绍，本项目根据客户的要求底漆部分使用UV底漆或者普通底漆，因暂时未知客户需求，本项目按照最不利原则，统一使用普通底漆进行核算。</w:t>
            </w:r>
          </w:p>
          <w:p>
            <w:pPr>
              <w:autoSpaceDE w:val="0"/>
              <w:autoSpaceDN w:val="0"/>
              <w:spacing w:line="360" w:lineRule="auto"/>
              <w:ind w:firstLine="480" w:firstLineChars="200"/>
              <w:jc w:val="left"/>
              <w:rPr>
                <w:rFonts w:hint="default" w:ascii="Times New Roman" w:hAnsi="Times New Roman" w:cs="Times New Roman"/>
                <w:color w:val="000000" w:themeColor="text1"/>
                <w:sz w:val="24"/>
                <w:u w:val="single"/>
                <w14:textFill>
                  <w14:solidFill>
                    <w14:schemeClr w14:val="tx1"/>
                  </w14:solidFill>
                </w14:textFill>
              </w:rPr>
            </w:pPr>
            <w:r>
              <w:rPr>
                <w:rFonts w:hint="default" w:ascii="Times New Roman" w:hAnsi="Times New Roman" w:cs="Times New Roman"/>
                <w:color w:val="000000" w:themeColor="text1"/>
                <w:sz w:val="24"/>
                <w:u w:val="single"/>
                <w14:textFill>
                  <w14:solidFill>
                    <w14:schemeClr w14:val="tx1"/>
                  </w14:solidFill>
                </w14:textFill>
              </w:rPr>
              <w:t>油性漆底漆喷涂约50μm，面漆喷涂约80μm，固含量根据成分分析表以及配比计算得出，底漆固含量为</w:t>
            </w:r>
            <w:r>
              <w:rPr>
                <w:rFonts w:hint="eastAsia" w:cs="Times New Roman"/>
                <w:color w:val="000000" w:themeColor="text1"/>
                <w:sz w:val="24"/>
                <w:u w:val="single"/>
                <w:lang w:val="en-US" w:eastAsia="zh-CN"/>
                <w14:textFill>
                  <w14:solidFill>
                    <w14:schemeClr w14:val="tx1"/>
                  </w14:solidFill>
                </w14:textFill>
              </w:rPr>
              <w:t>40.75</w:t>
            </w:r>
            <w:r>
              <w:rPr>
                <w:rFonts w:hint="default" w:ascii="Times New Roman" w:hAnsi="Times New Roman" w:cs="Times New Roman"/>
                <w:color w:val="000000" w:themeColor="text1"/>
                <w:sz w:val="24"/>
                <w:u w:val="single"/>
                <w14:textFill>
                  <w14:solidFill>
                    <w14:schemeClr w14:val="tx1"/>
                  </w14:solidFill>
                </w14:textFill>
              </w:rPr>
              <w:t>%，面漆固含量为</w:t>
            </w:r>
            <w:r>
              <w:rPr>
                <w:rFonts w:hint="eastAsia" w:cs="Times New Roman"/>
                <w:color w:val="000000" w:themeColor="text1"/>
                <w:sz w:val="24"/>
                <w:u w:val="single"/>
                <w:lang w:val="en-US" w:eastAsia="zh-CN"/>
                <w14:textFill>
                  <w14:solidFill>
                    <w14:schemeClr w14:val="tx1"/>
                  </w14:solidFill>
                </w14:textFill>
              </w:rPr>
              <w:t>45.75</w:t>
            </w:r>
            <w:r>
              <w:rPr>
                <w:rFonts w:hint="default" w:ascii="Times New Roman" w:hAnsi="Times New Roman" w:cs="Times New Roman"/>
                <w:color w:val="000000" w:themeColor="text1"/>
                <w:sz w:val="24"/>
                <w:u w:val="single"/>
                <w14:textFill>
                  <w14:solidFill>
                    <w14:schemeClr w14:val="tx1"/>
                  </w14:solidFill>
                </w14:textFill>
              </w:rPr>
              <w:t>%</w:t>
            </w:r>
            <w:r>
              <w:rPr>
                <w:rFonts w:hint="default" w:ascii="Times New Roman" w:hAnsi="Times New Roman" w:cs="Times New Roman"/>
                <w:color w:val="000000" w:themeColor="text1"/>
                <w:sz w:val="24"/>
                <w:u w:val="single"/>
                <w:lang w:eastAsia="zh-CN"/>
                <w14:textFill>
                  <w14:solidFill>
                    <w14:schemeClr w14:val="tx1"/>
                  </w14:solidFill>
                </w14:textFill>
              </w:rPr>
              <w:t>，</w:t>
            </w:r>
            <w:r>
              <w:rPr>
                <w:rFonts w:hint="default" w:ascii="Times New Roman" w:hAnsi="Times New Roman" w:cs="Times New Roman"/>
                <w:color w:val="000000" w:themeColor="text1"/>
                <w:sz w:val="24"/>
                <w:u w:val="single"/>
                <w:lang w:val="en-US" w:eastAsia="zh-CN"/>
                <w14:textFill>
                  <w14:solidFill>
                    <w14:schemeClr w14:val="tx1"/>
                  </w14:solidFill>
                </w14:textFill>
              </w:rPr>
              <w:t>附着率参考</w:t>
            </w:r>
            <w:r>
              <w:rPr>
                <w:rFonts w:hint="default" w:ascii="Times New Roman" w:hAnsi="Times New Roman" w:cs="Times New Roman"/>
                <w:color w:val="000000" w:themeColor="text1"/>
                <w:sz w:val="24"/>
                <w:u w:val="single"/>
                <w14:textFill>
                  <w14:solidFill>
                    <w14:schemeClr w14:val="tx1"/>
                  </w14:solidFill>
                </w14:textFill>
              </w:rPr>
              <w:t>《污染源源强核算技术指南 汽车制造》HJ 1097-2020</w:t>
            </w:r>
            <w:r>
              <w:rPr>
                <w:rFonts w:hint="default" w:ascii="Times New Roman" w:hAnsi="Times New Roman" w:cs="Times New Roman"/>
                <w:color w:val="000000" w:themeColor="text1"/>
                <w:sz w:val="24"/>
                <w:u w:val="single"/>
                <w:lang w:val="en-US" w:eastAsia="zh-CN"/>
                <w14:textFill>
                  <w14:solidFill>
                    <w14:schemeClr w14:val="tx1"/>
                  </w14:solidFill>
                </w14:textFill>
              </w:rPr>
              <w:t>附录E</w:t>
            </w:r>
            <w:r>
              <w:rPr>
                <w:rFonts w:hint="eastAsia" w:ascii="Times New Roman" w:hAnsi="Times New Roman" w:cs="Times New Roman"/>
                <w:color w:val="000000" w:themeColor="text1"/>
                <w:sz w:val="24"/>
                <w:u w:val="single"/>
                <w:lang w:val="en-US" w:eastAsia="zh-CN"/>
                <w14:textFill>
                  <w14:solidFill>
                    <w14:schemeClr w14:val="tx1"/>
                  </w14:solidFill>
                </w14:textFill>
              </w:rPr>
              <w:t>，油性漆</w:t>
            </w:r>
            <w:r>
              <w:rPr>
                <w:rFonts w:hint="eastAsia" w:ascii="Times New Roman" w:hAnsi="Times New Roman" w:cs="Times New Roman"/>
                <w:color w:val="000000" w:themeColor="text1"/>
                <w:sz w:val="24"/>
                <w:u w:val="single"/>
                <w14:textFill>
                  <w14:solidFill>
                    <w14:schemeClr w14:val="tx1"/>
                  </w14:solidFill>
                </w14:textFill>
              </w:rPr>
              <w:t>附着率</w:t>
            </w:r>
            <w:r>
              <w:rPr>
                <w:rFonts w:hint="eastAsia" w:cs="Times New Roman"/>
                <w:color w:val="000000" w:themeColor="text1"/>
                <w:sz w:val="24"/>
                <w:u w:val="single"/>
                <w:lang w:val="en-US" w:eastAsia="zh-CN"/>
                <w14:textFill>
                  <w14:solidFill>
                    <w14:schemeClr w14:val="tx1"/>
                  </w14:solidFill>
                </w14:textFill>
              </w:rPr>
              <w:t>区</w:t>
            </w:r>
            <w:r>
              <w:rPr>
                <w:rFonts w:hint="default" w:ascii="Times New Roman" w:hAnsi="Times New Roman" w:cs="Times New Roman"/>
                <w:color w:val="000000" w:themeColor="text1"/>
                <w:sz w:val="24"/>
                <w:u w:val="single"/>
                <w14:textFill>
                  <w14:solidFill>
                    <w14:schemeClr w14:val="tx1"/>
                  </w14:solidFill>
                </w14:textFill>
              </w:rPr>
              <w:t>60</w:t>
            </w:r>
            <w:r>
              <w:rPr>
                <w:rFonts w:hint="eastAsia" w:ascii="Times New Roman" w:hAnsi="Times New Roman" w:cs="Times New Roman"/>
                <w:color w:val="000000" w:themeColor="text1"/>
                <w:sz w:val="24"/>
                <w:u w:val="single"/>
                <w14:textFill>
                  <w14:solidFill>
                    <w14:schemeClr w14:val="tx1"/>
                  </w14:solidFill>
                </w14:textFill>
              </w:rPr>
              <w:t>%，水性漆的附着率</w:t>
            </w:r>
            <w:r>
              <w:rPr>
                <w:rFonts w:hint="eastAsia" w:cs="Times New Roman"/>
                <w:color w:val="000000" w:themeColor="text1"/>
                <w:sz w:val="24"/>
                <w:u w:val="single"/>
                <w:lang w:val="en-US" w:eastAsia="zh-CN"/>
                <w14:textFill>
                  <w14:solidFill>
                    <w14:schemeClr w14:val="tx1"/>
                  </w14:solidFill>
                </w14:textFill>
              </w:rPr>
              <w:t>取</w:t>
            </w:r>
            <w:r>
              <w:rPr>
                <w:rFonts w:hint="default" w:ascii="Times New Roman" w:hAnsi="Times New Roman" w:cs="Times New Roman"/>
                <w:color w:val="000000" w:themeColor="text1"/>
                <w:sz w:val="24"/>
                <w:u w:val="single"/>
                <w14:textFill>
                  <w14:solidFill>
                    <w14:schemeClr w14:val="tx1"/>
                  </w14:solidFill>
                </w14:textFill>
              </w:rPr>
              <w:t>55</w:t>
            </w:r>
            <w:r>
              <w:rPr>
                <w:rFonts w:hint="eastAsia" w:ascii="Times New Roman" w:hAnsi="Times New Roman" w:cs="Times New Roman"/>
                <w:color w:val="000000" w:themeColor="text1"/>
                <w:sz w:val="24"/>
                <w:u w:val="single"/>
                <w14:textFill>
                  <w14:solidFill>
                    <w14:schemeClr w14:val="tx1"/>
                  </w14:solidFill>
                </w14:textFill>
              </w:rPr>
              <w:t>%</w:t>
            </w:r>
            <w:r>
              <w:rPr>
                <w:rFonts w:hint="default" w:ascii="Times New Roman" w:hAnsi="Times New Roman" w:cs="Times New Roman"/>
                <w:color w:val="000000" w:themeColor="text1"/>
                <w:sz w:val="24"/>
                <w:u w:val="single"/>
                <w14:textFill>
                  <w14:solidFill>
                    <w14:schemeClr w14:val="tx1"/>
                  </w14:solidFill>
                </w14:textFill>
              </w:rPr>
              <w:t>。</w:t>
            </w:r>
          </w:p>
          <w:p>
            <w:pPr>
              <w:pStyle w:val="168"/>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表2-4    油性漆用量核算表</w:t>
            </w:r>
          </w:p>
          <w:tbl>
            <w:tblPr>
              <w:tblStyle w:val="3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195"/>
              <w:gridCol w:w="1035"/>
              <w:gridCol w:w="1166"/>
              <w:gridCol w:w="1093"/>
              <w:gridCol w:w="1209"/>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noWrap/>
                  <w:vAlign w:val="center"/>
                </w:tcPr>
                <w:p>
                  <w:pPr>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名称</w:t>
                  </w:r>
                </w:p>
              </w:tc>
              <w:tc>
                <w:tcPr>
                  <w:tcW w:w="1231" w:type="dxa"/>
                  <w:noWrap/>
                  <w:vAlign w:val="center"/>
                </w:tcPr>
                <w:p>
                  <w:pPr>
                    <w:widowControl/>
                    <w:jc w:val="center"/>
                    <w:textAlignment w:val="center"/>
                    <w:rPr>
                      <w:color w:val="000000" w:themeColor="text1"/>
                      <w:szCs w:val="21"/>
                      <w:u w:val="single"/>
                      <w14:textFill>
                        <w14:solidFill>
                          <w14:schemeClr w14:val="tx1"/>
                        </w14:solidFill>
                      </w14:textFill>
                    </w:rPr>
                  </w:pPr>
                  <w:r>
                    <w:rPr>
                      <w:color w:val="000000" w:themeColor="text1"/>
                      <w:kern w:val="0"/>
                      <w:szCs w:val="21"/>
                      <w:u w:val="single"/>
                      <w:lang w:bidi="ar"/>
                      <w14:textFill>
                        <w14:solidFill>
                          <w14:schemeClr w14:val="tx1"/>
                        </w14:solidFill>
                      </w14:textFill>
                    </w:rPr>
                    <w:t>喷涂面积m</w:t>
                  </w:r>
                  <w:r>
                    <w:rPr>
                      <w:color w:val="000000" w:themeColor="text1"/>
                      <w:kern w:val="0"/>
                      <w:szCs w:val="21"/>
                      <w:u w:val="single"/>
                      <w:vertAlign w:val="superscript"/>
                      <w:lang w:bidi="ar"/>
                      <w14:textFill>
                        <w14:solidFill>
                          <w14:schemeClr w14:val="tx1"/>
                        </w14:solidFill>
                      </w14:textFill>
                    </w:rPr>
                    <w:t>2</w:t>
                  </w:r>
                </w:p>
              </w:tc>
              <w:tc>
                <w:tcPr>
                  <w:tcW w:w="1065" w:type="dxa"/>
                  <w:noWrap/>
                  <w:vAlign w:val="center"/>
                </w:tcPr>
                <w:p>
                  <w:pPr>
                    <w:widowControl/>
                    <w:jc w:val="center"/>
                    <w:textAlignment w:val="center"/>
                    <w:rPr>
                      <w:color w:val="000000" w:themeColor="text1"/>
                      <w:szCs w:val="21"/>
                      <w:u w:val="single"/>
                      <w14:textFill>
                        <w14:solidFill>
                          <w14:schemeClr w14:val="tx1"/>
                        </w14:solidFill>
                      </w14:textFill>
                    </w:rPr>
                  </w:pPr>
                  <w:r>
                    <w:rPr>
                      <w:color w:val="000000" w:themeColor="text1"/>
                      <w:kern w:val="0"/>
                      <w:szCs w:val="21"/>
                      <w:u w:val="single"/>
                      <w:lang w:bidi="ar"/>
                      <w14:textFill>
                        <w14:solidFill>
                          <w14:schemeClr w14:val="tx1"/>
                        </w14:solidFill>
                      </w14:textFill>
                    </w:rPr>
                    <w:t>喷涂厚度m</w:t>
                  </w:r>
                </w:p>
              </w:tc>
              <w:tc>
                <w:tcPr>
                  <w:tcW w:w="1200" w:type="dxa"/>
                  <w:noWrap/>
                  <w:vAlign w:val="center"/>
                </w:tcPr>
                <w:p>
                  <w:pPr>
                    <w:widowControl/>
                    <w:jc w:val="center"/>
                    <w:textAlignment w:val="center"/>
                    <w:rPr>
                      <w:color w:val="000000" w:themeColor="text1"/>
                      <w:szCs w:val="21"/>
                      <w:u w:val="single"/>
                      <w14:textFill>
                        <w14:solidFill>
                          <w14:schemeClr w14:val="tx1"/>
                        </w14:solidFill>
                      </w14:textFill>
                    </w:rPr>
                  </w:pPr>
                  <w:r>
                    <w:rPr>
                      <w:color w:val="000000" w:themeColor="text1"/>
                      <w:kern w:val="0"/>
                      <w:szCs w:val="21"/>
                      <w:u w:val="single"/>
                      <w:lang w:bidi="ar"/>
                      <w14:textFill>
                        <w14:solidFill>
                          <w14:schemeClr w14:val="tx1"/>
                        </w14:solidFill>
                      </w14:textFill>
                    </w:rPr>
                    <w:t>密度kg/m</w:t>
                  </w:r>
                  <w:r>
                    <w:rPr>
                      <w:color w:val="000000" w:themeColor="text1"/>
                      <w:kern w:val="0"/>
                      <w:szCs w:val="21"/>
                      <w:u w:val="single"/>
                      <w:vertAlign w:val="superscript"/>
                      <w:lang w:bidi="ar"/>
                      <w14:textFill>
                        <w14:solidFill>
                          <w14:schemeClr w14:val="tx1"/>
                        </w14:solidFill>
                      </w14:textFill>
                    </w:rPr>
                    <w:t>3</w:t>
                  </w:r>
                </w:p>
              </w:tc>
              <w:tc>
                <w:tcPr>
                  <w:tcW w:w="1125" w:type="dxa"/>
                  <w:noWrap/>
                  <w:vAlign w:val="center"/>
                </w:tcPr>
                <w:p>
                  <w:pPr>
                    <w:widowControl/>
                    <w:jc w:val="center"/>
                    <w:textAlignment w:val="center"/>
                    <w:rPr>
                      <w:color w:val="000000" w:themeColor="text1"/>
                      <w:szCs w:val="21"/>
                      <w:u w:val="single"/>
                      <w14:textFill>
                        <w14:solidFill>
                          <w14:schemeClr w14:val="tx1"/>
                        </w14:solidFill>
                      </w14:textFill>
                    </w:rPr>
                  </w:pPr>
                  <w:r>
                    <w:rPr>
                      <w:color w:val="000000" w:themeColor="text1"/>
                      <w:kern w:val="0"/>
                      <w:szCs w:val="21"/>
                      <w:u w:val="single"/>
                      <w:lang w:bidi="ar"/>
                      <w14:textFill>
                        <w14:solidFill>
                          <w14:schemeClr w14:val="tx1"/>
                        </w14:solidFill>
                      </w14:textFill>
                    </w:rPr>
                    <w:t>固含量%</w:t>
                  </w:r>
                </w:p>
              </w:tc>
              <w:tc>
                <w:tcPr>
                  <w:tcW w:w="1245" w:type="dxa"/>
                  <w:noWrap/>
                  <w:vAlign w:val="center"/>
                </w:tcPr>
                <w:p>
                  <w:pPr>
                    <w:widowControl/>
                    <w:jc w:val="center"/>
                    <w:textAlignment w:val="center"/>
                    <w:rPr>
                      <w:color w:val="000000" w:themeColor="text1"/>
                      <w:szCs w:val="21"/>
                      <w:u w:val="single"/>
                      <w14:textFill>
                        <w14:solidFill>
                          <w14:schemeClr w14:val="tx1"/>
                        </w14:solidFill>
                      </w14:textFill>
                    </w:rPr>
                  </w:pPr>
                  <w:r>
                    <w:rPr>
                      <w:color w:val="000000" w:themeColor="text1"/>
                      <w:kern w:val="0"/>
                      <w:szCs w:val="21"/>
                      <w:u w:val="single"/>
                      <w:lang w:bidi="ar"/>
                      <w14:textFill>
                        <w14:solidFill>
                          <w14:schemeClr w14:val="tx1"/>
                        </w14:solidFill>
                      </w14:textFill>
                    </w:rPr>
                    <w:t>附着率%</w:t>
                  </w:r>
                </w:p>
              </w:tc>
              <w:tc>
                <w:tcPr>
                  <w:tcW w:w="1626" w:type="dxa"/>
                  <w:noWrap/>
                  <w:vAlign w:val="center"/>
                </w:tcPr>
                <w:p>
                  <w:pPr>
                    <w:widowControl/>
                    <w:jc w:val="center"/>
                    <w:textAlignment w:val="center"/>
                    <w:rPr>
                      <w:color w:val="000000" w:themeColor="text1"/>
                      <w:szCs w:val="21"/>
                      <w:u w:val="single"/>
                      <w14:textFill>
                        <w14:solidFill>
                          <w14:schemeClr w14:val="tx1"/>
                        </w14:solidFill>
                      </w14:textFill>
                    </w:rPr>
                  </w:pPr>
                  <w:r>
                    <w:rPr>
                      <w:color w:val="000000" w:themeColor="text1"/>
                      <w:kern w:val="0"/>
                      <w:szCs w:val="21"/>
                      <w:u w:val="single"/>
                      <w:lang w:bidi="ar"/>
                      <w14:textFill>
                        <w14:solidFill>
                          <w14:schemeClr w14:val="tx1"/>
                        </w14:solidFill>
                      </w14:textFill>
                    </w:rPr>
                    <w:t>用量（</w:t>
                  </w:r>
                  <w:r>
                    <w:rPr>
                      <w:rFonts w:hint="eastAsia"/>
                      <w:color w:val="000000" w:themeColor="text1"/>
                      <w:kern w:val="0"/>
                      <w:szCs w:val="21"/>
                      <w:u w:val="single"/>
                      <w:lang w:bidi="ar"/>
                      <w14:textFill>
                        <w14:solidFill>
                          <w14:schemeClr w14:val="tx1"/>
                        </w14:solidFill>
                      </w14:textFill>
                    </w:rPr>
                    <w:t>t/a</w:t>
                  </w:r>
                  <w:r>
                    <w:rPr>
                      <w:color w:val="000000" w:themeColor="text1"/>
                      <w:kern w:val="0"/>
                      <w:szCs w:val="21"/>
                      <w:u w:val="singl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66" w:type="dxa"/>
                  <w:noWrap/>
                  <w:vAlign w:val="center"/>
                </w:tcPr>
                <w:p>
                  <w:pPr>
                    <w:widowControl/>
                    <w:jc w:val="center"/>
                    <w:textAlignment w:val="center"/>
                    <w:rPr>
                      <w:color w:val="000000" w:themeColor="text1"/>
                      <w:szCs w:val="21"/>
                      <w:u w:val="single"/>
                      <w14:textFill>
                        <w14:solidFill>
                          <w14:schemeClr w14:val="tx1"/>
                        </w14:solidFill>
                      </w14:textFill>
                    </w:rPr>
                  </w:pPr>
                  <w:r>
                    <w:rPr>
                      <w:color w:val="000000" w:themeColor="text1"/>
                      <w:kern w:val="0"/>
                      <w:szCs w:val="21"/>
                      <w:u w:val="single"/>
                      <w:lang w:bidi="ar"/>
                      <w14:textFill>
                        <w14:solidFill>
                          <w14:schemeClr w14:val="tx1"/>
                        </w14:solidFill>
                      </w14:textFill>
                    </w:rPr>
                    <w:t>底漆</w:t>
                  </w:r>
                </w:p>
              </w:tc>
              <w:tc>
                <w:tcPr>
                  <w:tcW w:w="1231" w:type="dxa"/>
                  <w:noWrap/>
                  <w:vAlign w:val="center"/>
                </w:tcPr>
                <w:p>
                  <w:pPr>
                    <w:keepNext w:val="0"/>
                    <w:keepLines w:val="0"/>
                    <w:widowControl/>
                    <w:suppressLineNumbers w:val="0"/>
                    <w:jc w:val="center"/>
                    <w:textAlignment w:val="center"/>
                    <w:rPr>
                      <w:color w:val="000000" w:themeColor="text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4500</w:t>
                  </w:r>
                </w:p>
              </w:tc>
              <w:tc>
                <w:tcPr>
                  <w:tcW w:w="1065" w:type="dxa"/>
                  <w:noWrap/>
                  <w:vAlign w:val="center"/>
                </w:tcPr>
                <w:p>
                  <w:pPr>
                    <w:keepNext w:val="0"/>
                    <w:keepLines w:val="0"/>
                    <w:widowControl/>
                    <w:suppressLineNumbers w:val="0"/>
                    <w:jc w:val="center"/>
                    <w:textAlignment w:val="center"/>
                    <w:rPr>
                      <w:color w:val="000000" w:themeColor="text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0.00005</w:t>
                  </w:r>
                </w:p>
              </w:tc>
              <w:tc>
                <w:tcPr>
                  <w:tcW w:w="1200" w:type="dxa"/>
                  <w:noWrap/>
                  <w:vAlign w:val="center"/>
                </w:tcPr>
                <w:p>
                  <w:pPr>
                    <w:keepNext w:val="0"/>
                    <w:keepLines w:val="0"/>
                    <w:widowControl/>
                    <w:suppressLineNumbers w:val="0"/>
                    <w:jc w:val="center"/>
                    <w:textAlignment w:val="center"/>
                    <w:rPr>
                      <w:color w:val="000000" w:themeColor="text1"/>
                      <w:szCs w:val="21"/>
                      <w:u w:val="single"/>
                      <w14:textFill>
                        <w14:solidFill>
                          <w14:schemeClr w14:val="tx1"/>
                        </w14:solidFill>
                      </w14:textFill>
                    </w:rPr>
                  </w:pPr>
                  <w:r>
                    <w:rPr>
                      <w:rFonts w:hint="default" w:ascii="Times New Roman" w:hAnsi="Times New Roman" w:eastAsia="宋体" w:cs="Times New Roman"/>
                      <w:i w:val="0"/>
                      <w:iCs w:val="0"/>
                      <w:color w:val="000000"/>
                      <w:kern w:val="0"/>
                      <w:sz w:val="22"/>
                      <w:szCs w:val="22"/>
                      <w:u w:val="single"/>
                      <w:lang w:val="en-US" w:eastAsia="zh-CN" w:bidi="ar"/>
                    </w:rPr>
                    <w:t>1050</w:t>
                  </w:r>
                </w:p>
              </w:tc>
              <w:tc>
                <w:tcPr>
                  <w:tcW w:w="1125" w:type="dxa"/>
                  <w:noWrap/>
                  <w:vAlign w:val="center"/>
                </w:tcPr>
                <w:p>
                  <w:pPr>
                    <w:keepNext w:val="0"/>
                    <w:keepLines w:val="0"/>
                    <w:widowControl/>
                    <w:suppressLineNumbers w:val="0"/>
                    <w:jc w:val="center"/>
                    <w:textAlignment w:val="center"/>
                    <w:rPr>
                      <w:color w:val="000000" w:themeColor="text1"/>
                      <w:szCs w:val="21"/>
                      <w:u w:val="single"/>
                      <w14:textFill>
                        <w14:solidFill>
                          <w14:schemeClr w14:val="tx1"/>
                        </w14:solidFill>
                      </w14:textFill>
                    </w:rPr>
                  </w:pPr>
                  <w:r>
                    <w:rPr>
                      <w:rFonts w:hint="default" w:ascii="Times New Roman" w:hAnsi="Times New Roman" w:eastAsia="宋体" w:cs="Times New Roman"/>
                      <w:i w:val="0"/>
                      <w:iCs w:val="0"/>
                      <w:color w:val="000000"/>
                      <w:kern w:val="0"/>
                      <w:sz w:val="22"/>
                      <w:szCs w:val="22"/>
                      <w:u w:val="single"/>
                      <w:lang w:val="en-US" w:eastAsia="zh-CN" w:bidi="ar"/>
                    </w:rPr>
                    <w:t>40</w:t>
                  </w:r>
                  <w:r>
                    <w:rPr>
                      <w:rFonts w:hint="eastAsia" w:cs="Times New Roman"/>
                      <w:i w:val="0"/>
                      <w:iCs w:val="0"/>
                      <w:color w:val="000000"/>
                      <w:kern w:val="0"/>
                      <w:sz w:val="22"/>
                      <w:szCs w:val="22"/>
                      <w:u w:val="single"/>
                      <w:lang w:val="en-US" w:eastAsia="zh-CN" w:bidi="ar"/>
                    </w:rPr>
                    <w:t>.</w:t>
                  </w:r>
                  <w:r>
                    <w:rPr>
                      <w:rFonts w:hint="default" w:ascii="Times New Roman" w:hAnsi="Times New Roman" w:eastAsia="宋体" w:cs="Times New Roman"/>
                      <w:i w:val="0"/>
                      <w:iCs w:val="0"/>
                      <w:color w:val="000000"/>
                      <w:kern w:val="0"/>
                      <w:sz w:val="22"/>
                      <w:szCs w:val="22"/>
                      <w:u w:val="single"/>
                      <w:lang w:val="en-US" w:eastAsia="zh-CN" w:bidi="ar"/>
                    </w:rPr>
                    <w:t>75</w:t>
                  </w:r>
                </w:p>
              </w:tc>
              <w:tc>
                <w:tcPr>
                  <w:tcW w:w="1245" w:type="dxa"/>
                  <w:noWrap/>
                  <w:vAlign w:val="center"/>
                </w:tcPr>
                <w:p>
                  <w:pPr>
                    <w:keepNext w:val="0"/>
                    <w:keepLines w:val="0"/>
                    <w:widowControl/>
                    <w:suppressLineNumbers w:val="0"/>
                    <w:jc w:val="center"/>
                    <w:textAlignment w:val="center"/>
                    <w:rPr>
                      <w:rFonts w:hint="default" w:eastAsia="宋体"/>
                      <w:color w:val="000000" w:themeColor="text1"/>
                      <w:szCs w:val="21"/>
                      <w:u w:val="singl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0.6</w:t>
                  </w:r>
                </w:p>
              </w:tc>
              <w:tc>
                <w:tcPr>
                  <w:tcW w:w="1626" w:type="dxa"/>
                  <w:noWrap/>
                  <w:vAlign w:val="center"/>
                </w:tcPr>
                <w:p>
                  <w:pPr>
                    <w:keepNext w:val="0"/>
                    <w:keepLines w:val="0"/>
                    <w:widowControl/>
                    <w:suppressLineNumbers w:val="0"/>
                    <w:jc w:val="center"/>
                    <w:textAlignment w:val="center"/>
                    <w:rPr>
                      <w:rFonts w:hint="default" w:eastAsia="宋体"/>
                      <w:color w:val="000000" w:themeColor="text1"/>
                      <w:szCs w:val="21"/>
                      <w:u w:val="singl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0.966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noWrap/>
                  <w:vAlign w:val="center"/>
                </w:tcPr>
                <w:p>
                  <w:pPr>
                    <w:widowControl/>
                    <w:jc w:val="center"/>
                    <w:textAlignment w:val="center"/>
                    <w:rPr>
                      <w:color w:val="000000" w:themeColor="text1"/>
                      <w:szCs w:val="21"/>
                      <w:u w:val="single"/>
                      <w14:textFill>
                        <w14:solidFill>
                          <w14:schemeClr w14:val="tx1"/>
                        </w14:solidFill>
                      </w14:textFill>
                    </w:rPr>
                  </w:pPr>
                  <w:r>
                    <w:rPr>
                      <w:color w:val="000000" w:themeColor="text1"/>
                      <w:kern w:val="0"/>
                      <w:szCs w:val="21"/>
                      <w:u w:val="single"/>
                      <w:lang w:bidi="ar"/>
                      <w14:textFill>
                        <w14:solidFill>
                          <w14:schemeClr w14:val="tx1"/>
                        </w14:solidFill>
                      </w14:textFill>
                    </w:rPr>
                    <w:t>面漆</w:t>
                  </w:r>
                </w:p>
              </w:tc>
              <w:tc>
                <w:tcPr>
                  <w:tcW w:w="1231" w:type="dxa"/>
                  <w:noWrap/>
                  <w:vAlign w:val="center"/>
                </w:tcPr>
                <w:p>
                  <w:pPr>
                    <w:keepNext w:val="0"/>
                    <w:keepLines w:val="0"/>
                    <w:widowControl/>
                    <w:suppressLineNumbers w:val="0"/>
                    <w:jc w:val="center"/>
                    <w:textAlignment w:val="center"/>
                    <w:rPr>
                      <w:color w:val="000000" w:themeColor="text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4500</w:t>
                  </w:r>
                </w:p>
              </w:tc>
              <w:tc>
                <w:tcPr>
                  <w:tcW w:w="1065" w:type="dxa"/>
                  <w:noWrap/>
                  <w:vAlign w:val="center"/>
                </w:tcPr>
                <w:p>
                  <w:pPr>
                    <w:keepNext w:val="0"/>
                    <w:keepLines w:val="0"/>
                    <w:widowControl/>
                    <w:suppressLineNumbers w:val="0"/>
                    <w:jc w:val="center"/>
                    <w:textAlignment w:val="center"/>
                    <w:rPr>
                      <w:color w:val="000000" w:themeColor="text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0.00008</w:t>
                  </w:r>
                </w:p>
              </w:tc>
              <w:tc>
                <w:tcPr>
                  <w:tcW w:w="1200" w:type="dxa"/>
                  <w:noWrap/>
                  <w:vAlign w:val="center"/>
                </w:tcPr>
                <w:p>
                  <w:pPr>
                    <w:keepNext w:val="0"/>
                    <w:keepLines w:val="0"/>
                    <w:widowControl/>
                    <w:suppressLineNumbers w:val="0"/>
                    <w:jc w:val="center"/>
                    <w:textAlignment w:val="center"/>
                    <w:rPr>
                      <w:color w:val="000000" w:themeColor="text1"/>
                      <w:szCs w:val="21"/>
                      <w:u w:val="single"/>
                      <w14:textFill>
                        <w14:solidFill>
                          <w14:schemeClr w14:val="tx1"/>
                        </w14:solidFill>
                      </w14:textFill>
                    </w:rPr>
                  </w:pPr>
                  <w:r>
                    <w:rPr>
                      <w:rFonts w:hint="default" w:ascii="Times New Roman" w:hAnsi="Times New Roman" w:eastAsia="宋体" w:cs="Times New Roman"/>
                      <w:i w:val="0"/>
                      <w:iCs w:val="0"/>
                      <w:color w:val="000000"/>
                      <w:kern w:val="0"/>
                      <w:sz w:val="22"/>
                      <w:szCs w:val="22"/>
                      <w:u w:val="single"/>
                      <w:lang w:val="en-US" w:eastAsia="zh-CN" w:bidi="ar"/>
                    </w:rPr>
                    <w:t>1025</w:t>
                  </w:r>
                </w:p>
              </w:tc>
              <w:tc>
                <w:tcPr>
                  <w:tcW w:w="1125" w:type="dxa"/>
                  <w:noWrap/>
                  <w:vAlign w:val="center"/>
                </w:tcPr>
                <w:p>
                  <w:pPr>
                    <w:keepNext w:val="0"/>
                    <w:keepLines w:val="0"/>
                    <w:widowControl/>
                    <w:suppressLineNumbers w:val="0"/>
                    <w:jc w:val="center"/>
                    <w:textAlignment w:val="center"/>
                    <w:rPr>
                      <w:color w:val="000000" w:themeColor="text1"/>
                      <w:szCs w:val="21"/>
                      <w:u w:val="single"/>
                      <w14:textFill>
                        <w14:solidFill>
                          <w14:schemeClr w14:val="tx1"/>
                        </w14:solidFill>
                      </w14:textFill>
                    </w:rPr>
                  </w:pPr>
                  <w:r>
                    <w:rPr>
                      <w:rFonts w:hint="default" w:ascii="Times New Roman" w:hAnsi="Times New Roman" w:eastAsia="宋体" w:cs="Times New Roman"/>
                      <w:i w:val="0"/>
                      <w:iCs w:val="0"/>
                      <w:color w:val="000000"/>
                      <w:kern w:val="0"/>
                      <w:sz w:val="22"/>
                      <w:szCs w:val="22"/>
                      <w:u w:val="single"/>
                      <w:lang w:val="en-US" w:eastAsia="zh-CN" w:bidi="ar"/>
                    </w:rPr>
                    <w:t>45</w:t>
                  </w:r>
                  <w:r>
                    <w:rPr>
                      <w:rFonts w:hint="eastAsia" w:cs="Times New Roman"/>
                      <w:i w:val="0"/>
                      <w:iCs w:val="0"/>
                      <w:color w:val="000000"/>
                      <w:kern w:val="0"/>
                      <w:sz w:val="22"/>
                      <w:szCs w:val="22"/>
                      <w:u w:val="single"/>
                      <w:lang w:val="en-US" w:eastAsia="zh-CN" w:bidi="ar"/>
                    </w:rPr>
                    <w:t>.</w:t>
                  </w:r>
                  <w:r>
                    <w:rPr>
                      <w:rFonts w:hint="default" w:ascii="Times New Roman" w:hAnsi="Times New Roman" w:eastAsia="宋体" w:cs="Times New Roman"/>
                      <w:i w:val="0"/>
                      <w:iCs w:val="0"/>
                      <w:color w:val="000000"/>
                      <w:kern w:val="0"/>
                      <w:sz w:val="22"/>
                      <w:szCs w:val="22"/>
                      <w:u w:val="single"/>
                      <w:lang w:val="en-US" w:eastAsia="zh-CN" w:bidi="ar"/>
                    </w:rPr>
                    <w:t>75</w:t>
                  </w:r>
                </w:p>
              </w:tc>
              <w:tc>
                <w:tcPr>
                  <w:tcW w:w="1245" w:type="dxa"/>
                  <w:noWrap/>
                  <w:vAlign w:val="center"/>
                </w:tcPr>
                <w:p>
                  <w:pPr>
                    <w:keepNext w:val="0"/>
                    <w:keepLines w:val="0"/>
                    <w:widowControl/>
                    <w:suppressLineNumbers w:val="0"/>
                    <w:jc w:val="center"/>
                    <w:textAlignment w:val="center"/>
                    <w:rPr>
                      <w:rFonts w:hint="default" w:eastAsia="宋体"/>
                      <w:color w:val="000000" w:themeColor="text1"/>
                      <w:szCs w:val="21"/>
                      <w:u w:val="singl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single"/>
                      <w:lang w:val="en-US" w:eastAsia="zh-CN" w:bidi="ar"/>
                    </w:rPr>
                    <w:t>0.6</w:t>
                  </w:r>
                </w:p>
              </w:tc>
              <w:tc>
                <w:tcPr>
                  <w:tcW w:w="1626" w:type="dxa"/>
                  <w:noWrap/>
                  <w:vAlign w:val="center"/>
                </w:tcPr>
                <w:p>
                  <w:pPr>
                    <w:keepNext w:val="0"/>
                    <w:keepLines w:val="0"/>
                    <w:widowControl/>
                    <w:suppressLineNumbers w:val="0"/>
                    <w:jc w:val="center"/>
                    <w:textAlignment w:val="center"/>
                    <w:rPr>
                      <w:rFonts w:hint="default" w:eastAsia="宋体"/>
                      <w:color w:val="000000" w:themeColor="text1"/>
                      <w:szCs w:val="21"/>
                      <w:u w:val="singl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1.344 </w:t>
                  </w:r>
                </w:p>
              </w:tc>
            </w:tr>
          </w:tbl>
          <w:p>
            <w:pPr>
              <w:pStyle w:val="168"/>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表2-5  油性漆各油漆成分用量</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910"/>
              <w:gridCol w:w="764"/>
              <w:gridCol w:w="943"/>
              <w:gridCol w:w="883"/>
              <w:gridCol w:w="1015"/>
              <w:gridCol w:w="1250"/>
              <w:gridCol w:w="1041"/>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28" w:type="dxa"/>
                  <w:gridSpan w:val="2"/>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rFonts w:hint="eastAsia"/>
                      <w:color w:val="000000" w:themeColor="text1"/>
                      <w:kern w:val="0"/>
                      <w:szCs w:val="21"/>
                      <w:u w:val="single"/>
                      <w:lang w:bidi="ar"/>
                      <w14:textFill>
                        <w14:solidFill>
                          <w14:schemeClr w14:val="tx1"/>
                        </w14:solidFill>
                      </w14:textFill>
                    </w:rPr>
                    <w:t>名称</w:t>
                  </w:r>
                </w:p>
              </w:tc>
              <w:tc>
                <w:tcPr>
                  <w:tcW w:w="764"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用量t</w:t>
                  </w:r>
                </w:p>
              </w:tc>
              <w:tc>
                <w:tcPr>
                  <w:tcW w:w="943"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VOCs百分比</w:t>
                  </w:r>
                </w:p>
              </w:tc>
              <w:tc>
                <w:tcPr>
                  <w:tcW w:w="883"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VOCs含量</w:t>
                  </w:r>
                  <w:r>
                    <w:rPr>
                      <w:rFonts w:hint="eastAsia"/>
                      <w:color w:val="000000" w:themeColor="text1"/>
                      <w:kern w:val="0"/>
                      <w:szCs w:val="21"/>
                      <w:u w:val="single"/>
                      <w:lang w:bidi="ar"/>
                      <w14:textFill>
                        <w14:solidFill>
                          <w14:schemeClr w14:val="tx1"/>
                        </w14:solidFill>
                      </w14:textFill>
                    </w:rPr>
                    <w:t>t</w:t>
                  </w:r>
                </w:p>
              </w:tc>
              <w:tc>
                <w:tcPr>
                  <w:tcW w:w="1015"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rFonts w:hint="eastAsia"/>
                      <w:color w:val="000000" w:themeColor="text1"/>
                      <w:kern w:val="0"/>
                      <w:szCs w:val="21"/>
                      <w:u w:val="single"/>
                      <w:lang w:bidi="ar"/>
                      <w14:textFill>
                        <w14:solidFill>
                          <w14:schemeClr w14:val="tx1"/>
                        </w14:solidFill>
                      </w14:textFill>
                    </w:rPr>
                    <w:t>苯系物</w:t>
                  </w:r>
                  <w:r>
                    <w:rPr>
                      <w:color w:val="000000" w:themeColor="text1"/>
                      <w:kern w:val="0"/>
                      <w:szCs w:val="21"/>
                      <w:u w:val="single"/>
                      <w:lang w:bidi="ar"/>
                      <w14:textFill>
                        <w14:solidFill>
                          <w14:schemeClr w14:val="tx1"/>
                        </w14:solidFill>
                      </w14:textFill>
                    </w:rPr>
                    <w:t>百分比</w:t>
                  </w:r>
                </w:p>
              </w:tc>
              <w:tc>
                <w:tcPr>
                  <w:tcW w:w="1250"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rFonts w:hint="eastAsia"/>
                      <w:color w:val="000000" w:themeColor="text1"/>
                      <w:kern w:val="0"/>
                      <w:szCs w:val="21"/>
                      <w:u w:val="single"/>
                      <w:lang w:bidi="ar"/>
                      <w14:textFill>
                        <w14:solidFill>
                          <w14:schemeClr w14:val="tx1"/>
                        </w14:solidFill>
                      </w14:textFill>
                    </w:rPr>
                    <w:t>苯系物</w:t>
                  </w:r>
                  <w:r>
                    <w:rPr>
                      <w:color w:val="000000" w:themeColor="text1"/>
                      <w:kern w:val="0"/>
                      <w:szCs w:val="21"/>
                      <w:u w:val="single"/>
                      <w:lang w:bidi="ar"/>
                      <w14:textFill>
                        <w14:solidFill>
                          <w14:schemeClr w14:val="tx1"/>
                        </w14:solidFill>
                      </w14:textFill>
                    </w:rPr>
                    <w:t>含量</w:t>
                  </w:r>
                  <w:r>
                    <w:rPr>
                      <w:rFonts w:hint="eastAsia"/>
                      <w:color w:val="000000" w:themeColor="text1"/>
                      <w:kern w:val="0"/>
                      <w:szCs w:val="21"/>
                      <w:u w:val="single"/>
                      <w:lang w:bidi="ar"/>
                      <w14:textFill>
                        <w14:solidFill>
                          <w14:schemeClr w14:val="tx1"/>
                        </w14:solidFill>
                      </w14:textFill>
                    </w:rPr>
                    <w:t>t</w:t>
                  </w:r>
                </w:p>
              </w:tc>
              <w:tc>
                <w:tcPr>
                  <w:tcW w:w="1041"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固体份百分比</w:t>
                  </w:r>
                </w:p>
              </w:tc>
              <w:tc>
                <w:tcPr>
                  <w:tcW w:w="866"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固体含量</w:t>
                  </w:r>
                  <w:r>
                    <w:rPr>
                      <w:rFonts w:hint="eastAsia"/>
                      <w:color w:val="000000" w:themeColor="text1"/>
                      <w:kern w:val="0"/>
                      <w:szCs w:val="21"/>
                      <w:u w:val="single"/>
                      <w:lang w:bidi="ar"/>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8" w:type="dxa"/>
                  <w:vMerge w:val="restart"/>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底漆</w:t>
                  </w:r>
                </w:p>
              </w:tc>
              <w:tc>
                <w:tcPr>
                  <w:tcW w:w="910"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底漆</w:t>
                  </w:r>
                </w:p>
              </w:tc>
              <w:tc>
                <w:tcPr>
                  <w:tcW w:w="764"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0.483 </w:t>
                  </w:r>
                </w:p>
              </w:tc>
              <w:tc>
                <w:tcPr>
                  <w:tcW w:w="94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0.535 </w:t>
                  </w:r>
                </w:p>
              </w:tc>
              <w:tc>
                <w:tcPr>
                  <w:tcW w:w="88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0.258 </w:t>
                  </w:r>
                </w:p>
              </w:tc>
              <w:tc>
                <w:tcPr>
                  <w:tcW w:w="1015"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0.102 </w:t>
                  </w:r>
                </w:p>
              </w:tc>
              <w:tc>
                <w:tcPr>
                  <w:tcW w:w="1250"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0.049 </w:t>
                  </w:r>
                </w:p>
              </w:tc>
              <w:tc>
                <w:tcPr>
                  <w:tcW w:w="1041"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0.465 </w:t>
                  </w:r>
                </w:p>
              </w:tc>
              <w:tc>
                <w:tcPr>
                  <w:tcW w:w="866" w:type="dxa"/>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0.225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8" w:type="dxa"/>
                  <w:vMerge w:val="continue"/>
                  <w:noWrap/>
                  <w:vAlign w:val="center"/>
                </w:tcPr>
                <w:p>
                  <w:pPr>
                    <w:widowControl/>
                    <w:jc w:val="center"/>
                    <w:textAlignment w:val="center"/>
                    <w:rPr>
                      <w:color w:val="000000" w:themeColor="text1"/>
                      <w:kern w:val="0"/>
                      <w:szCs w:val="21"/>
                      <w:u w:val="single"/>
                      <w:lang w:bidi="ar"/>
                      <w14:textFill>
                        <w14:solidFill>
                          <w14:schemeClr w14:val="tx1"/>
                        </w14:solidFill>
                      </w14:textFill>
                    </w:rPr>
                  </w:pPr>
                </w:p>
              </w:tc>
              <w:tc>
                <w:tcPr>
                  <w:tcW w:w="910"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稀释剂</w:t>
                  </w:r>
                </w:p>
              </w:tc>
              <w:tc>
                <w:tcPr>
                  <w:tcW w:w="764"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0.242 </w:t>
                  </w:r>
                </w:p>
              </w:tc>
              <w:tc>
                <w:tcPr>
                  <w:tcW w:w="94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1.000 </w:t>
                  </w:r>
                </w:p>
              </w:tc>
              <w:tc>
                <w:tcPr>
                  <w:tcW w:w="88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0.242 </w:t>
                  </w:r>
                </w:p>
              </w:tc>
              <w:tc>
                <w:tcPr>
                  <w:tcW w:w="1015"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0.300 </w:t>
                  </w:r>
                </w:p>
              </w:tc>
              <w:tc>
                <w:tcPr>
                  <w:tcW w:w="1250"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0.072 </w:t>
                  </w:r>
                </w:p>
              </w:tc>
              <w:tc>
                <w:tcPr>
                  <w:tcW w:w="1041"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eastAsia" w:cs="Times New Roman"/>
                      <w:i w:val="0"/>
                      <w:iCs w:val="0"/>
                      <w:color w:val="000000"/>
                      <w:kern w:val="0"/>
                      <w:sz w:val="21"/>
                      <w:szCs w:val="21"/>
                      <w:u w:val="single"/>
                      <w:lang w:val="en-US" w:eastAsia="zh-CN" w:bidi="ar"/>
                    </w:rPr>
                    <w:t>/</w:t>
                  </w:r>
                </w:p>
              </w:tc>
              <w:tc>
                <w:tcPr>
                  <w:tcW w:w="866" w:type="dxa"/>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eastAsia" w:cs="Times New Roman"/>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8" w:type="dxa"/>
                  <w:vMerge w:val="continue"/>
                  <w:noWrap/>
                  <w:vAlign w:val="center"/>
                </w:tcPr>
                <w:p>
                  <w:pPr>
                    <w:widowControl/>
                    <w:jc w:val="center"/>
                    <w:textAlignment w:val="center"/>
                    <w:rPr>
                      <w:color w:val="000000" w:themeColor="text1"/>
                      <w:kern w:val="0"/>
                      <w:szCs w:val="21"/>
                      <w:u w:val="single"/>
                      <w:lang w:bidi="ar"/>
                      <w14:textFill>
                        <w14:solidFill>
                          <w14:schemeClr w14:val="tx1"/>
                        </w14:solidFill>
                      </w14:textFill>
                    </w:rPr>
                  </w:pPr>
                </w:p>
              </w:tc>
              <w:tc>
                <w:tcPr>
                  <w:tcW w:w="910"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固化剂</w:t>
                  </w:r>
                </w:p>
              </w:tc>
              <w:tc>
                <w:tcPr>
                  <w:tcW w:w="764"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0.242 </w:t>
                  </w:r>
                </w:p>
              </w:tc>
              <w:tc>
                <w:tcPr>
                  <w:tcW w:w="94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0.300 </w:t>
                  </w:r>
                </w:p>
              </w:tc>
              <w:tc>
                <w:tcPr>
                  <w:tcW w:w="88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0.072 </w:t>
                  </w:r>
                </w:p>
              </w:tc>
              <w:tc>
                <w:tcPr>
                  <w:tcW w:w="1015"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eastAsia" w:cs="Times New Roman"/>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 xml:space="preserve"> </w:t>
                  </w:r>
                </w:p>
              </w:tc>
              <w:tc>
                <w:tcPr>
                  <w:tcW w:w="1250"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0.000 </w:t>
                  </w:r>
                </w:p>
              </w:tc>
              <w:tc>
                <w:tcPr>
                  <w:tcW w:w="1041"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0.700 </w:t>
                  </w:r>
                </w:p>
              </w:tc>
              <w:tc>
                <w:tcPr>
                  <w:tcW w:w="866" w:type="dxa"/>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0.169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8" w:type="dxa"/>
                  <w:vMerge w:val="restart"/>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面漆</w:t>
                  </w:r>
                </w:p>
              </w:tc>
              <w:tc>
                <w:tcPr>
                  <w:tcW w:w="910"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面漆</w:t>
                  </w:r>
                </w:p>
              </w:tc>
              <w:tc>
                <w:tcPr>
                  <w:tcW w:w="764"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0.672 </w:t>
                  </w:r>
                </w:p>
              </w:tc>
              <w:tc>
                <w:tcPr>
                  <w:tcW w:w="94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0.435 </w:t>
                  </w:r>
                </w:p>
              </w:tc>
              <w:tc>
                <w:tcPr>
                  <w:tcW w:w="88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0.292 </w:t>
                  </w:r>
                </w:p>
              </w:tc>
              <w:tc>
                <w:tcPr>
                  <w:tcW w:w="1015"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0.186 </w:t>
                  </w:r>
                </w:p>
              </w:tc>
              <w:tc>
                <w:tcPr>
                  <w:tcW w:w="1250"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0.125 </w:t>
                  </w:r>
                </w:p>
              </w:tc>
              <w:tc>
                <w:tcPr>
                  <w:tcW w:w="1041"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0.565 </w:t>
                  </w:r>
                </w:p>
              </w:tc>
              <w:tc>
                <w:tcPr>
                  <w:tcW w:w="866" w:type="dxa"/>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8" w:type="dxa"/>
                  <w:vMerge w:val="continue"/>
                  <w:noWrap/>
                  <w:vAlign w:val="center"/>
                </w:tcPr>
                <w:p>
                  <w:pPr>
                    <w:widowControl/>
                    <w:jc w:val="center"/>
                    <w:textAlignment w:val="center"/>
                    <w:rPr>
                      <w:color w:val="000000" w:themeColor="text1"/>
                      <w:kern w:val="0"/>
                      <w:szCs w:val="21"/>
                      <w:u w:val="single"/>
                      <w:lang w:bidi="ar"/>
                      <w14:textFill>
                        <w14:solidFill>
                          <w14:schemeClr w14:val="tx1"/>
                        </w14:solidFill>
                      </w14:textFill>
                    </w:rPr>
                  </w:pPr>
                </w:p>
              </w:tc>
              <w:tc>
                <w:tcPr>
                  <w:tcW w:w="910"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稀释剂</w:t>
                  </w:r>
                </w:p>
              </w:tc>
              <w:tc>
                <w:tcPr>
                  <w:tcW w:w="764"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0.336 </w:t>
                  </w:r>
                </w:p>
              </w:tc>
              <w:tc>
                <w:tcPr>
                  <w:tcW w:w="94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1.000 </w:t>
                  </w:r>
                </w:p>
              </w:tc>
              <w:tc>
                <w:tcPr>
                  <w:tcW w:w="88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0.336 </w:t>
                  </w:r>
                </w:p>
              </w:tc>
              <w:tc>
                <w:tcPr>
                  <w:tcW w:w="1015"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0.300 </w:t>
                  </w:r>
                </w:p>
              </w:tc>
              <w:tc>
                <w:tcPr>
                  <w:tcW w:w="1250"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0.101 </w:t>
                  </w:r>
                </w:p>
              </w:tc>
              <w:tc>
                <w:tcPr>
                  <w:tcW w:w="1041"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eastAsia" w:cs="Times New Roman"/>
                      <w:i w:val="0"/>
                      <w:iCs w:val="0"/>
                      <w:color w:val="000000"/>
                      <w:kern w:val="0"/>
                      <w:sz w:val="21"/>
                      <w:szCs w:val="21"/>
                      <w:u w:val="single"/>
                      <w:lang w:val="en-US" w:eastAsia="zh-CN" w:bidi="ar"/>
                    </w:rPr>
                    <w:t>/</w:t>
                  </w:r>
                </w:p>
              </w:tc>
              <w:tc>
                <w:tcPr>
                  <w:tcW w:w="866" w:type="dxa"/>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eastAsia" w:cs="Times New Roman"/>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8" w:type="dxa"/>
                  <w:vMerge w:val="continue"/>
                  <w:noWrap/>
                  <w:vAlign w:val="center"/>
                </w:tcPr>
                <w:p>
                  <w:pPr>
                    <w:widowControl/>
                    <w:jc w:val="center"/>
                    <w:textAlignment w:val="center"/>
                    <w:rPr>
                      <w:color w:val="000000" w:themeColor="text1"/>
                      <w:kern w:val="0"/>
                      <w:szCs w:val="21"/>
                      <w:u w:val="single"/>
                      <w:lang w:bidi="ar"/>
                      <w14:textFill>
                        <w14:solidFill>
                          <w14:schemeClr w14:val="tx1"/>
                        </w14:solidFill>
                      </w14:textFill>
                    </w:rPr>
                  </w:pPr>
                </w:p>
              </w:tc>
              <w:tc>
                <w:tcPr>
                  <w:tcW w:w="910"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固化剂</w:t>
                  </w:r>
                </w:p>
              </w:tc>
              <w:tc>
                <w:tcPr>
                  <w:tcW w:w="764"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0.336 </w:t>
                  </w:r>
                </w:p>
              </w:tc>
              <w:tc>
                <w:tcPr>
                  <w:tcW w:w="94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0.300 </w:t>
                  </w:r>
                </w:p>
              </w:tc>
              <w:tc>
                <w:tcPr>
                  <w:tcW w:w="88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0.101 </w:t>
                  </w:r>
                </w:p>
              </w:tc>
              <w:tc>
                <w:tcPr>
                  <w:tcW w:w="1015"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eastAsia" w:cs="Times New Roman"/>
                      <w:i w:val="0"/>
                      <w:iCs w:val="0"/>
                      <w:color w:val="000000"/>
                      <w:kern w:val="0"/>
                      <w:sz w:val="21"/>
                      <w:szCs w:val="21"/>
                      <w:u w:val="single"/>
                      <w:lang w:val="en-US" w:eastAsia="zh-CN" w:bidi="ar"/>
                    </w:rPr>
                    <w:t>/</w:t>
                  </w:r>
                </w:p>
              </w:tc>
              <w:tc>
                <w:tcPr>
                  <w:tcW w:w="1250"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0.000 </w:t>
                  </w:r>
                </w:p>
              </w:tc>
              <w:tc>
                <w:tcPr>
                  <w:tcW w:w="1041"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0.700 </w:t>
                  </w:r>
                </w:p>
              </w:tc>
              <w:tc>
                <w:tcPr>
                  <w:tcW w:w="866" w:type="dxa"/>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0.235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8" w:type="dxa"/>
                  <w:gridSpan w:val="2"/>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rFonts w:hint="eastAsia"/>
                      <w:color w:val="000000" w:themeColor="text1"/>
                      <w:kern w:val="0"/>
                      <w:szCs w:val="21"/>
                      <w:u w:val="single"/>
                      <w:lang w:bidi="ar"/>
                      <w14:textFill>
                        <w14:solidFill>
                          <w14:schemeClr w14:val="tx1"/>
                        </w14:solidFill>
                      </w14:textFill>
                    </w:rPr>
                    <w:t>合计</w:t>
                  </w:r>
                </w:p>
              </w:tc>
              <w:tc>
                <w:tcPr>
                  <w:tcW w:w="764"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2.311 </w:t>
                  </w:r>
                </w:p>
              </w:tc>
              <w:tc>
                <w:tcPr>
                  <w:tcW w:w="943" w:type="dxa"/>
                  <w:noWrap/>
                  <w:vAlign w:val="center"/>
                </w:tcPr>
                <w:p>
                  <w:pPr>
                    <w:keepNext w:val="0"/>
                    <w:keepLines w:val="0"/>
                    <w:widowControl/>
                    <w:suppressLineNumbers w:val="0"/>
                    <w:jc w:val="center"/>
                    <w:textAlignment w:val="center"/>
                    <w:rPr>
                      <w:rFonts w:hint="eastAsia" w:eastAsia="宋体"/>
                      <w:color w:val="000000" w:themeColor="text1"/>
                      <w:kern w:val="0"/>
                      <w:szCs w:val="21"/>
                      <w:u w:val="singl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w:t>
                  </w:r>
                </w:p>
              </w:tc>
              <w:tc>
                <w:tcPr>
                  <w:tcW w:w="88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1.302 </w:t>
                  </w:r>
                </w:p>
              </w:tc>
              <w:tc>
                <w:tcPr>
                  <w:tcW w:w="1015" w:type="dxa"/>
                  <w:noWrap/>
                  <w:vAlign w:val="center"/>
                </w:tcPr>
                <w:p>
                  <w:pPr>
                    <w:keepNext w:val="0"/>
                    <w:keepLines w:val="0"/>
                    <w:widowControl/>
                    <w:suppressLineNumbers w:val="0"/>
                    <w:jc w:val="center"/>
                    <w:textAlignment w:val="center"/>
                    <w:rPr>
                      <w:rFonts w:hint="eastAsia" w:eastAsia="宋体"/>
                      <w:color w:val="000000" w:themeColor="text1"/>
                      <w:kern w:val="0"/>
                      <w:szCs w:val="21"/>
                      <w:u w:val="singl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w:t>
                  </w:r>
                </w:p>
              </w:tc>
              <w:tc>
                <w:tcPr>
                  <w:tcW w:w="1250"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0.348 </w:t>
                  </w:r>
                </w:p>
              </w:tc>
              <w:tc>
                <w:tcPr>
                  <w:tcW w:w="1041" w:type="dxa"/>
                  <w:noWrap/>
                  <w:vAlign w:val="center"/>
                </w:tcPr>
                <w:p>
                  <w:pPr>
                    <w:keepNext w:val="0"/>
                    <w:keepLines w:val="0"/>
                    <w:widowControl/>
                    <w:suppressLineNumbers w:val="0"/>
                    <w:jc w:val="center"/>
                    <w:textAlignment w:val="center"/>
                    <w:rPr>
                      <w:rFonts w:hint="eastAsia" w:eastAsia="宋体"/>
                      <w:color w:val="000000" w:themeColor="text1"/>
                      <w:kern w:val="0"/>
                      <w:szCs w:val="21"/>
                      <w:u w:val="singl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w:t>
                  </w:r>
                </w:p>
              </w:tc>
              <w:tc>
                <w:tcPr>
                  <w:tcW w:w="866" w:type="dxa"/>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1.009 </w:t>
                  </w:r>
                </w:p>
              </w:tc>
            </w:tr>
          </w:tbl>
          <w:p>
            <w:pPr>
              <w:autoSpaceDE w:val="0"/>
              <w:autoSpaceDN w:val="0"/>
              <w:spacing w:line="360" w:lineRule="auto"/>
              <w:ind w:firstLine="480" w:firstLineChars="200"/>
              <w:jc w:val="left"/>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水性喷涂底漆厚度约50</w:t>
            </w:r>
            <w:r>
              <w:rPr>
                <w:color w:val="000000" w:themeColor="text1"/>
                <w:sz w:val="24"/>
                <w:u w:val="single"/>
                <w14:textFill>
                  <w14:solidFill>
                    <w14:schemeClr w14:val="tx1"/>
                  </w14:solidFill>
                </w14:textFill>
              </w:rPr>
              <w:t>μm</w:t>
            </w:r>
            <w:r>
              <w:rPr>
                <w:rFonts w:hint="eastAsia"/>
                <w:color w:val="000000" w:themeColor="text1"/>
                <w:sz w:val="24"/>
                <w:u w:val="single"/>
                <w14:textFill>
                  <w14:solidFill>
                    <w14:schemeClr w14:val="tx1"/>
                  </w14:solidFill>
                </w14:textFill>
              </w:rPr>
              <w:t>，面漆喷涂厚度约80</w:t>
            </w:r>
            <w:r>
              <w:rPr>
                <w:color w:val="000000" w:themeColor="text1"/>
                <w:sz w:val="24"/>
                <w:u w:val="single"/>
                <w14:textFill>
                  <w14:solidFill>
                    <w14:schemeClr w14:val="tx1"/>
                  </w14:solidFill>
                </w14:textFill>
              </w:rPr>
              <w:t>μm</w:t>
            </w:r>
            <w:r>
              <w:rPr>
                <w:rFonts w:hint="eastAsia"/>
                <w:color w:val="000000" w:themeColor="text1"/>
                <w:sz w:val="24"/>
                <w:u w:val="single"/>
                <w14:textFill>
                  <w14:solidFill>
                    <w14:schemeClr w14:val="tx1"/>
                  </w14:solidFill>
                </w14:textFill>
              </w:rPr>
              <w:t>，固含量根据成分分析表以及配比计算得出，底漆固含量为69.4%，面漆固含量为56.7%。</w:t>
            </w:r>
          </w:p>
          <w:p>
            <w:pPr>
              <w:pStyle w:val="168"/>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表2-6    水性漆用量核算表</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380"/>
              <w:gridCol w:w="1362"/>
              <w:gridCol w:w="1246"/>
              <w:gridCol w:w="1253"/>
              <w:gridCol w:w="1022"/>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名称</w:t>
                  </w:r>
                </w:p>
              </w:tc>
              <w:tc>
                <w:tcPr>
                  <w:tcW w:w="1380"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喷涂面积m</w:t>
                  </w:r>
                  <w:r>
                    <w:rPr>
                      <w:color w:val="000000" w:themeColor="text1"/>
                      <w:kern w:val="0"/>
                      <w:szCs w:val="21"/>
                      <w:u w:val="single"/>
                      <w:vertAlign w:val="superscript"/>
                      <w:lang w:bidi="ar"/>
                      <w14:textFill>
                        <w14:solidFill>
                          <w14:schemeClr w14:val="tx1"/>
                        </w14:solidFill>
                      </w14:textFill>
                    </w:rPr>
                    <w:t>2</w:t>
                  </w:r>
                </w:p>
              </w:tc>
              <w:tc>
                <w:tcPr>
                  <w:tcW w:w="1362"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喷涂厚度m</w:t>
                  </w:r>
                </w:p>
              </w:tc>
              <w:tc>
                <w:tcPr>
                  <w:tcW w:w="1246"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密度kg/m</w:t>
                  </w:r>
                  <w:r>
                    <w:rPr>
                      <w:color w:val="000000" w:themeColor="text1"/>
                      <w:kern w:val="0"/>
                      <w:szCs w:val="21"/>
                      <w:u w:val="single"/>
                      <w:vertAlign w:val="superscript"/>
                      <w:lang w:bidi="ar"/>
                      <w14:textFill>
                        <w14:solidFill>
                          <w14:schemeClr w14:val="tx1"/>
                        </w14:solidFill>
                      </w14:textFill>
                    </w:rPr>
                    <w:t>3</w:t>
                  </w:r>
                </w:p>
              </w:tc>
              <w:tc>
                <w:tcPr>
                  <w:tcW w:w="1253"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固含量</w:t>
                  </w:r>
                </w:p>
              </w:tc>
              <w:tc>
                <w:tcPr>
                  <w:tcW w:w="1022"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附着率</w:t>
                  </w:r>
                </w:p>
              </w:tc>
              <w:tc>
                <w:tcPr>
                  <w:tcW w:w="1355"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用量（</w:t>
                  </w:r>
                  <w:r>
                    <w:rPr>
                      <w:rFonts w:hint="eastAsia"/>
                      <w:color w:val="000000" w:themeColor="text1"/>
                      <w:kern w:val="0"/>
                      <w:szCs w:val="21"/>
                      <w:u w:val="single"/>
                      <w:lang w:bidi="ar"/>
                      <w14:textFill>
                        <w14:solidFill>
                          <w14:schemeClr w14:val="tx1"/>
                        </w14:solidFill>
                      </w14:textFill>
                    </w:rPr>
                    <w:t>t/a</w:t>
                  </w:r>
                  <w:r>
                    <w:rPr>
                      <w:color w:val="000000" w:themeColor="text1"/>
                      <w:kern w:val="0"/>
                      <w:szCs w:val="21"/>
                      <w:u w:val="singl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底漆</w:t>
                  </w:r>
                </w:p>
              </w:tc>
              <w:tc>
                <w:tcPr>
                  <w:tcW w:w="1380"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40500</w:t>
                  </w:r>
                </w:p>
              </w:tc>
              <w:tc>
                <w:tcPr>
                  <w:tcW w:w="1362"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0.00005</w:t>
                  </w:r>
                </w:p>
              </w:tc>
              <w:tc>
                <w:tcPr>
                  <w:tcW w:w="1246"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1000</w:t>
                  </w:r>
                </w:p>
              </w:tc>
              <w:tc>
                <w:tcPr>
                  <w:tcW w:w="125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0.694</w:t>
                  </w:r>
                </w:p>
              </w:tc>
              <w:tc>
                <w:tcPr>
                  <w:tcW w:w="1022" w:type="dxa"/>
                  <w:noWrap/>
                  <w:vAlign w:val="center"/>
                </w:tcPr>
                <w:p>
                  <w:pPr>
                    <w:keepNext w:val="0"/>
                    <w:keepLines w:val="0"/>
                    <w:widowControl/>
                    <w:suppressLineNumbers w:val="0"/>
                    <w:jc w:val="center"/>
                    <w:textAlignment w:val="center"/>
                    <w:rPr>
                      <w:rFonts w:hint="default" w:eastAsia="宋体"/>
                      <w:color w:val="000000" w:themeColor="text1"/>
                      <w:kern w:val="0"/>
                      <w:szCs w:val="21"/>
                      <w:u w:val="singl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0.55</w:t>
                  </w:r>
                </w:p>
              </w:tc>
              <w:tc>
                <w:tcPr>
                  <w:tcW w:w="1355"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5.305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72"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面漆</w:t>
                  </w:r>
                </w:p>
              </w:tc>
              <w:tc>
                <w:tcPr>
                  <w:tcW w:w="1380"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40500</w:t>
                  </w:r>
                </w:p>
              </w:tc>
              <w:tc>
                <w:tcPr>
                  <w:tcW w:w="1362"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0.00008</w:t>
                  </w:r>
                </w:p>
              </w:tc>
              <w:tc>
                <w:tcPr>
                  <w:tcW w:w="1246"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1000</w:t>
                  </w:r>
                </w:p>
              </w:tc>
              <w:tc>
                <w:tcPr>
                  <w:tcW w:w="1253" w:type="dxa"/>
                  <w:noWrap/>
                  <w:vAlign w:val="center"/>
                </w:tcPr>
                <w:p>
                  <w:pPr>
                    <w:keepNext w:val="0"/>
                    <w:keepLines w:val="0"/>
                    <w:widowControl/>
                    <w:suppressLineNumbers w:val="0"/>
                    <w:jc w:val="center"/>
                    <w:textAlignment w:val="center"/>
                    <w:rPr>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0.567</w:t>
                  </w:r>
                </w:p>
              </w:tc>
              <w:tc>
                <w:tcPr>
                  <w:tcW w:w="1022" w:type="dxa"/>
                  <w:noWrap/>
                  <w:vAlign w:val="center"/>
                </w:tcPr>
                <w:p>
                  <w:pPr>
                    <w:keepNext w:val="0"/>
                    <w:keepLines w:val="0"/>
                    <w:widowControl/>
                    <w:suppressLineNumbers w:val="0"/>
                    <w:jc w:val="center"/>
                    <w:textAlignment w:val="center"/>
                    <w:rPr>
                      <w:rFonts w:hint="default" w:eastAsia="宋体"/>
                      <w:color w:val="000000" w:themeColor="text1"/>
                      <w:kern w:val="0"/>
                      <w:szCs w:val="21"/>
                      <w:u w:val="singl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0.55</w:t>
                  </w:r>
                </w:p>
              </w:tc>
              <w:tc>
                <w:tcPr>
                  <w:tcW w:w="1355" w:type="dxa"/>
                  <w:noWrap/>
                  <w:vAlign w:val="center"/>
                </w:tcPr>
                <w:p>
                  <w:pPr>
                    <w:keepNext w:val="0"/>
                    <w:keepLines w:val="0"/>
                    <w:widowControl/>
                    <w:suppressLineNumbers w:val="0"/>
                    <w:jc w:val="center"/>
                    <w:textAlignment w:val="center"/>
                    <w:rPr>
                      <w:rFonts w:hint="default" w:eastAsia="宋体"/>
                      <w:color w:val="000000" w:themeColor="text1"/>
                      <w:kern w:val="0"/>
                      <w:szCs w:val="21"/>
                      <w:u w:val="singl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10.390 </w:t>
                  </w:r>
                </w:p>
              </w:tc>
            </w:tr>
          </w:tbl>
          <w:p>
            <w:pPr>
              <w:pStyle w:val="168"/>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表2-7  水性漆各油漆成分用量</w:t>
            </w:r>
          </w:p>
          <w:tbl>
            <w:tblPr>
              <w:tblStyle w:val="32"/>
              <w:tblW w:w="8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972"/>
              <w:gridCol w:w="1664"/>
              <w:gridCol w:w="1602"/>
              <w:gridCol w:w="1658"/>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32"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rFonts w:hint="eastAsia"/>
                      <w:color w:val="000000" w:themeColor="text1"/>
                      <w:kern w:val="0"/>
                      <w:szCs w:val="21"/>
                      <w:u w:val="single"/>
                      <w:lang w:bidi="ar"/>
                      <w14:textFill>
                        <w14:solidFill>
                          <w14:schemeClr w14:val="tx1"/>
                        </w14:solidFill>
                      </w14:textFill>
                    </w:rPr>
                    <w:t>名称</w:t>
                  </w:r>
                </w:p>
              </w:tc>
              <w:tc>
                <w:tcPr>
                  <w:tcW w:w="972"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用量t</w:t>
                  </w:r>
                </w:p>
              </w:tc>
              <w:tc>
                <w:tcPr>
                  <w:tcW w:w="1664"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VOCs百分比</w:t>
                  </w:r>
                </w:p>
              </w:tc>
              <w:tc>
                <w:tcPr>
                  <w:tcW w:w="1602" w:type="dxa"/>
                  <w:noWrap/>
                  <w:vAlign w:val="center"/>
                </w:tcPr>
                <w:p>
                  <w:pPr>
                    <w:widowControl/>
                    <w:jc w:val="center"/>
                    <w:textAlignment w:val="center"/>
                    <w:rPr>
                      <w:u w:val="single"/>
                    </w:rPr>
                  </w:pPr>
                  <w:r>
                    <w:rPr>
                      <w:color w:val="000000" w:themeColor="text1"/>
                      <w:kern w:val="0"/>
                      <w:szCs w:val="21"/>
                      <w:u w:val="single"/>
                      <w:lang w:bidi="ar"/>
                      <w14:textFill>
                        <w14:solidFill>
                          <w14:schemeClr w14:val="tx1"/>
                        </w14:solidFill>
                      </w14:textFill>
                    </w:rPr>
                    <w:t>VOCs含量</w:t>
                  </w:r>
                  <w:r>
                    <w:rPr>
                      <w:rFonts w:hint="eastAsia"/>
                      <w:color w:val="000000" w:themeColor="text1"/>
                      <w:kern w:val="0"/>
                      <w:szCs w:val="21"/>
                      <w:u w:val="single"/>
                      <w:lang w:bidi="ar"/>
                      <w14:textFill>
                        <w14:solidFill>
                          <w14:schemeClr w14:val="tx1"/>
                        </w14:solidFill>
                      </w14:textFill>
                    </w:rPr>
                    <w:t>t</w:t>
                  </w:r>
                </w:p>
              </w:tc>
              <w:tc>
                <w:tcPr>
                  <w:tcW w:w="1658"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固体份百分比</w:t>
                  </w:r>
                </w:p>
              </w:tc>
              <w:tc>
                <w:tcPr>
                  <w:tcW w:w="1447"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固体含量</w:t>
                  </w:r>
                  <w:r>
                    <w:rPr>
                      <w:rFonts w:hint="eastAsia"/>
                      <w:color w:val="000000" w:themeColor="text1"/>
                      <w:kern w:val="0"/>
                      <w:szCs w:val="21"/>
                      <w:u w:val="single"/>
                      <w:lang w:bidi="ar"/>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2"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底漆（4）</w:t>
                  </w:r>
                </w:p>
              </w:tc>
              <w:tc>
                <w:tcPr>
                  <w:tcW w:w="972"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4.244 </w:t>
                  </w:r>
                </w:p>
              </w:tc>
              <w:tc>
                <w:tcPr>
                  <w:tcW w:w="1664"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0.007 </w:t>
                  </w:r>
                </w:p>
              </w:tc>
              <w:tc>
                <w:tcPr>
                  <w:tcW w:w="1602"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0.030 </w:t>
                  </w:r>
                </w:p>
              </w:tc>
              <w:tc>
                <w:tcPr>
                  <w:tcW w:w="1658"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0.680 </w:t>
                  </w:r>
                </w:p>
              </w:tc>
              <w:tc>
                <w:tcPr>
                  <w:tcW w:w="1447"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2.886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32"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固化剂（1）</w:t>
                  </w:r>
                </w:p>
              </w:tc>
              <w:tc>
                <w:tcPr>
                  <w:tcW w:w="972"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1.061 </w:t>
                  </w:r>
                </w:p>
              </w:tc>
              <w:tc>
                <w:tcPr>
                  <w:tcW w:w="1664"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0.250 </w:t>
                  </w:r>
                </w:p>
              </w:tc>
              <w:tc>
                <w:tcPr>
                  <w:tcW w:w="1602"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0.265 </w:t>
                  </w:r>
                </w:p>
              </w:tc>
              <w:tc>
                <w:tcPr>
                  <w:tcW w:w="1658"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0.750 </w:t>
                  </w:r>
                </w:p>
              </w:tc>
              <w:tc>
                <w:tcPr>
                  <w:tcW w:w="1447"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0.796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32"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面漆（3）</w:t>
                  </w:r>
                </w:p>
              </w:tc>
              <w:tc>
                <w:tcPr>
                  <w:tcW w:w="972"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7.792 </w:t>
                  </w:r>
                </w:p>
              </w:tc>
              <w:tc>
                <w:tcPr>
                  <w:tcW w:w="1664"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0.072 </w:t>
                  </w:r>
                </w:p>
              </w:tc>
              <w:tc>
                <w:tcPr>
                  <w:tcW w:w="1602"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0.561 </w:t>
                  </w:r>
                </w:p>
              </w:tc>
              <w:tc>
                <w:tcPr>
                  <w:tcW w:w="1658"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0.506 </w:t>
                  </w:r>
                </w:p>
              </w:tc>
              <w:tc>
                <w:tcPr>
                  <w:tcW w:w="1447"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3.943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32" w:type="dxa"/>
                  <w:noWrap/>
                  <w:vAlign w:val="center"/>
                </w:tcPr>
                <w:p>
                  <w:pPr>
                    <w:widowControl/>
                    <w:jc w:val="center"/>
                    <w:textAlignment w:val="center"/>
                    <w:rPr>
                      <w:color w:val="000000" w:themeColor="text1"/>
                      <w:kern w:val="0"/>
                      <w:szCs w:val="21"/>
                      <w:u w:val="single"/>
                      <w:lang w:bidi="ar"/>
                      <w14:textFill>
                        <w14:solidFill>
                          <w14:schemeClr w14:val="tx1"/>
                        </w14:solidFill>
                      </w14:textFill>
                    </w:rPr>
                  </w:pPr>
                  <w:r>
                    <w:rPr>
                      <w:color w:val="000000" w:themeColor="text1"/>
                      <w:kern w:val="0"/>
                      <w:szCs w:val="21"/>
                      <w:u w:val="single"/>
                      <w:lang w:bidi="ar"/>
                      <w14:textFill>
                        <w14:solidFill>
                          <w14:schemeClr w14:val="tx1"/>
                        </w14:solidFill>
                      </w14:textFill>
                    </w:rPr>
                    <w:t>固化剂（1）</w:t>
                  </w:r>
                </w:p>
              </w:tc>
              <w:tc>
                <w:tcPr>
                  <w:tcW w:w="972"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2.597 </w:t>
                  </w:r>
                </w:p>
              </w:tc>
              <w:tc>
                <w:tcPr>
                  <w:tcW w:w="1664"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0.250 </w:t>
                  </w:r>
                </w:p>
              </w:tc>
              <w:tc>
                <w:tcPr>
                  <w:tcW w:w="1602"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0.649 </w:t>
                  </w:r>
                </w:p>
              </w:tc>
              <w:tc>
                <w:tcPr>
                  <w:tcW w:w="1658"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0.750 </w:t>
                  </w:r>
                </w:p>
              </w:tc>
              <w:tc>
                <w:tcPr>
                  <w:tcW w:w="1447" w:type="dxa"/>
                  <w:noWrap/>
                  <w:vAlign w:val="center"/>
                </w:tcPr>
                <w:p>
                  <w:pPr>
                    <w:keepNext w:val="0"/>
                    <w:keepLines w:val="0"/>
                    <w:widowControl/>
                    <w:suppressLineNumbers w:val="0"/>
                    <w:jc w:val="center"/>
                    <w:textAlignment w:val="center"/>
                    <w:rPr>
                      <w:rFonts w:hint="eastAsia"/>
                      <w:color w:val="000000" w:themeColor="text1"/>
                      <w:kern w:val="0"/>
                      <w:szCs w:val="21"/>
                      <w:u w:val="singl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 xml:space="preserve">1.948 </w:t>
                  </w:r>
                </w:p>
              </w:tc>
            </w:tr>
          </w:tbl>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、项目水平衡分析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给排水</w:t>
            </w:r>
            <w:r>
              <w:rPr>
                <w:color w:val="000000" w:themeColor="text1"/>
                <w:sz w:val="24"/>
                <w14:textFill>
                  <w14:solidFill>
                    <w14:schemeClr w14:val="tx1"/>
                  </w14:solidFill>
                </w14:textFill>
              </w:rPr>
              <w:t>情况分析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采用“雨污分流”，雨水经过厂房四周的污水沟收集后，通过市政雨水管网进入洋沙湖。生活污水通过生活污水排放口进入园区的市政管网，然后进入湘阴县第二污水处理厂，达到《城镇污水处理厂污染物排放标准》一级A标准后排入湘江。</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①生活污水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劳动定员400名员工，厂内包食宿，根据</w:t>
            </w:r>
            <w:r>
              <w:rPr>
                <w:sz w:val="24"/>
                <w:szCs w:val="20"/>
              </w:rPr>
              <w:t>《用水定额</w:t>
            </w:r>
            <w:r>
              <w:rPr>
                <w:rFonts w:hint="eastAsia"/>
                <w:sz w:val="24"/>
                <w:szCs w:val="20"/>
                <w:lang w:val="en-US" w:eastAsia="zh-CN"/>
              </w:rPr>
              <w:t xml:space="preserve"> 第3部分 生活、服务业及建筑业</w:t>
            </w:r>
            <w:r>
              <w:rPr>
                <w:sz w:val="24"/>
                <w:szCs w:val="20"/>
              </w:rPr>
              <w:t>》（DB43/T 388</w:t>
            </w:r>
            <w:r>
              <w:rPr>
                <w:rFonts w:hint="eastAsia"/>
                <w:sz w:val="24"/>
                <w:szCs w:val="20"/>
                <w:lang w:val="en-US" w:eastAsia="zh-CN"/>
              </w:rPr>
              <w:t>.3</w:t>
            </w:r>
            <w:r>
              <w:rPr>
                <w:sz w:val="24"/>
                <w:szCs w:val="20"/>
              </w:rPr>
              <w:t>-</w:t>
            </w:r>
            <w:r>
              <w:rPr>
                <w:rFonts w:hint="eastAsia"/>
                <w:sz w:val="24"/>
                <w:szCs w:val="20"/>
              </w:rPr>
              <w:t>202</w:t>
            </w:r>
            <w:r>
              <w:rPr>
                <w:rFonts w:hint="eastAsia"/>
                <w:sz w:val="24"/>
                <w:szCs w:val="20"/>
                <w:lang w:val="en-US" w:eastAsia="zh-CN"/>
              </w:rPr>
              <w:t>5</w:t>
            </w:r>
            <w:r>
              <w:rPr>
                <w:sz w:val="24"/>
                <w:szCs w:val="20"/>
              </w:rPr>
              <w:t>）</w:t>
            </w:r>
            <w:r>
              <w:rPr>
                <w:rFonts w:hint="eastAsia"/>
                <w:sz w:val="24"/>
                <w:szCs w:val="20"/>
                <w:lang w:val="en-US" w:eastAsia="zh-CN"/>
              </w:rPr>
              <w:t>表1</w:t>
            </w:r>
            <w:r>
              <w:rPr>
                <w:rFonts w:hint="eastAsia"/>
                <w:color w:val="000000" w:themeColor="text1"/>
                <w:sz w:val="24"/>
                <w14:textFill>
                  <w14:solidFill>
                    <w14:schemeClr w14:val="tx1"/>
                  </w14:solidFill>
                </w14:textFill>
              </w:rPr>
              <w:t>，按145L/人.d计算用水量，新增用水17400m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/a。根据《排放源统计调查产排污核算方法和系数手册生活源产排污核算方法和系数手册》 五区系数进行核算（湖南地区属于五区）产污系数取0.89，因此扩建项目生活污水产生量为15486m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/a，新建三级化粪池进行预处理后</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食堂污水先经隔油池处理</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排入市政管网进入湘阴县第二污水处理厂深度处理。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②生产废水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根据分析，项目水帘新鲜补充用水为360m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/a，平常循环使用不外排，每年定期更换，每次更换量为6m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p>
          <w:p>
            <w:pPr>
              <w:pStyle w:val="27"/>
              <w:ind w:left="0" w:left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00145" cy="1423670"/>
                  <wp:effectExtent l="0" t="0" r="0" b="0"/>
                  <wp:docPr id="14" name="ECB019B1-382A-4266-B25C-5B523AA43C14-1" descr="C:/Users/Administrator/AppData/Local/Temp/wps.jWrZP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C:/Users/Administrator/AppData/Local/Temp/wps.jWrZPAwps"/>
                          <pic:cNvPicPr>
                            <a:picLocks noChangeAspect="1"/>
                          </pic:cNvPicPr>
                        </pic:nvPicPr>
                        <pic:blipFill>
                          <a:blip r:embed="rId9"/>
                          <a:stretch>
                            <a:fillRect/>
                          </a:stretch>
                        </pic:blipFill>
                        <pic:spPr>
                          <a:xfrm>
                            <a:off x="0" y="0"/>
                            <a:ext cx="3700145" cy="1423670"/>
                          </a:xfrm>
                          <a:prstGeom prst="rect">
                            <a:avLst/>
                          </a:prstGeom>
                        </pic:spPr>
                      </pic:pic>
                    </a:graphicData>
                  </a:graphic>
                </wp:inline>
              </w:drawing>
            </w:r>
          </w:p>
          <w:p>
            <w:pPr>
              <w:ind w:firstLine="422" w:firstLineChars="2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图2-1    项目水平衡图（m3/a）</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w:t>
            </w:r>
            <w:r>
              <w:rPr>
                <w:b/>
                <w:bCs/>
                <w:color w:val="000000" w:themeColor="text1"/>
                <w:sz w:val="24"/>
                <w14:textFill>
                  <w14:solidFill>
                    <w14:schemeClr w14:val="tx1"/>
                  </w14:solidFill>
                </w14:textFill>
              </w:rPr>
              <w:t>、项目劳动定员及工作制度</w:t>
            </w:r>
          </w:p>
          <w:p>
            <w:pPr>
              <w:pStyle w:val="12"/>
              <w:snapToGrid/>
              <w:spacing w:before="0" w:after="0" w:line="360" w:lineRule="auto"/>
              <w:ind w:right="0" w:firstLine="480" w:firstLineChars="200"/>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（1）劳动定员：</w:t>
            </w:r>
            <w:r>
              <w:rPr>
                <w:rFonts w:hint="eastAsia"/>
                <w:color w:val="000000" w:themeColor="text1"/>
                <w:kern w:val="2"/>
                <w:sz w:val="24"/>
                <w:szCs w:val="24"/>
                <w14:textFill>
                  <w14:solidFill>
                    <w14:schemeClr w14:val="tx1"/>
                  </w14:solidFill>
                </w14:textFill>
              </w:rPr>
              <w:t>400人</w:t>
            </w:r>
            <w:r>
              <w:rPr>
                <w:color w:val="000000" w:themeColor="text1"/>
                <w:kern w:val="2"/>
                <w:sz w:val="24"/>
                <w:szCs w:val="24"/>
                <w14:textFill>
                  <w14:solidFill>
                    <w14:schemeClr w14:val="tx1"/>
                  </w14:solidFill>
                </w14:textFill>
              </w:rPr>
              <w:t>。</w:t>
            </w:r>
          </w:p>
          <w:p>
            <w:pPr>
              <w:spacing w:line="360" w:lineRule="auto"/>
              <w:ind w:firstLine="480" w:firstLineChars="200"/>
              <w:rPr>
                <w:color w:val="0000FF"/>
                <w:sz w:val="24"/>
              </w:rPr>
            </w:pPr>
            <w:r>
              <w:rPr>
                <w:color w:val="000000" w:themeColor="text1"/>
                <w:sz w:val="24"/>
                <w14:textFill>
                  <w14:solidFill>
                    <w14:schemeClr w14:val="tx1"/>
                  </w14:solidFill>
                </w14:textFill>
              </w:rPr>
              <w:t>（2）生产制度：</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班制，每班</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小时，年工作</w:t>
            </w:r>
            <w:r>
              <w:rPr>
                <w:rFonts w:hint="eastAsia"/>
                <w:color w:val="000000" w:themeColor="text1"/>
                <w:sz w:val="24"/>
                <w14:textFill>
                  <w14:solidFill>
                    <w14:schemeClr w14:val="tx1"/>
                  </w14:solidFill>
                </w14:textFill>
              </w:rPr>
              <w:t>300</w:t>
            </w:r>
            <w:r>
              <w:rPr>
                <w:color w:val="000000" w:themeColor="text1"/>
                <w:sz w:val="24"/>
                <w14:textFill>
                  <w14:solidFill>
                    <w14:schemeClr w14:val="tx1"/>
                  </w14:solidFill>
                </w14:textFill>
              </w:rPr>
              <w:t>天</w:t>
            </w:r>
            <w:r>
              <w:rPr>
                <w:rFonts w:hint="eastAsia"/>
                <w:color w:val="000000" w:themeColor="text1"/>
                <w:sz w:val="24"/>
                <w14:textFill>
                  <w14:solidFill>
                    <w14:schemeClr w14:val="tx1"/>
                  </w14:solidFill>
                </w14:textFill>
              </w:rPr>
              <w:t>。</w:t>
            </w:r>
          </w:p>
        </w:tc>
      </w:tr>
    </w:tbl>
    <w:p>
      <w:pPr>
        <w:pStyle w:val="28"/>
        <w:adjustRightInd w:val="0"/>
        <w:snapToGrid w:val="0"/>
        <w:spacing w:before="0" w:beforeAutospacing="0" w:after="0" w:afterAutospacing="0"/>
        <w:jc w:val="both"/>
        <w:rPr>
          <w:rFonts w:ascii="Times New Roman" w:hAnsi="Times New Roman"/>
          <w:sz w:val="10"/>
          <w:szCs w:val="10"/>
        </w:rPr>
        <w:sectPr>
          <w:pgSz w:w="11906" w:h="16838"/>
          <w:pgMar w:top="1701" w:right="1531" w:bottom="1701" w:left="1531" w:header="851" w:footer="851" w:gutter="0"/>
          <w:cols w:space="720" w:num="1"/>
          <w:docGrid w:linePitch="312" w:charSpace="0"/>
        </w:sectPr>
      </w:pP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83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vAlign w:val="center"/>
          </w:tcPr>
          <w:p>
            <w:pPr>
              <w:pStyle w:val="28"/>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工艺流程和产排污环节</w:t>
            </w:r>
          </w:p>
        </w:tc>
        <w:tc>
          <w:tcPr>
            <w:tcW w:w="8373" w:type="dxa"/>
          </w:tcPr>
          <w:p>
            <w:pPr>
              <w:spacing w:before="120" w:beforeLines="50" w:line="360" w:lineRule="auto"/>
              <w:jc w:val="left"/>
              <w:rPr>
                <w:b/>
                <w:bCs/>
                <w:sz w:val="24"/>
              </w:rPr>
            </w:pPr>
            <w:r>
              <w:rPr>
                <w:b/>
                <w:bCs/>
                <w:sz w:val="24"/>
              </w:rPr>
              <w:t>1、施工期工艺流程</w:t>
            </w:r>
            <w:r>
              <w:rPr>
                <w:rFonts w:hint="eastAsia"/>
                <w:b/>
                <w:bCs/>
                <w:sz w:val="24"/>
              </w:rPr>
              <w:t>简述</w:t>
            </w:r>
          </w:p>
          <w:p>
            <w:pPr>
              <w:spacing w:line="360" w:lineRule="auto"/>
              <w:ind w:firstLine="480" w:firstLineChars="200"/>
              <w:rPr>
                <w:sz w:val="24"/>
              </w:rPr>
            </w:pPr>
            <w:r>
              <w:rPr>
                <w:rFonts w:hint="eastAsia"/>
                <w:sz w:val="24"/>
              </w:rPr>
              <w:t>本项目施工期主要为厂房、办公楼、宿舍楼的建设以及设备的安装。工程内容简单，工程量小，施工期较短。</w:t>
            </w:r>
          </w:p>
          <w:p>
            <w:pPr>
              <w:pStyle w:val="4"/>
              <w:spacing w:line="240" w:lineRule="auto"/>
              <w:ind w:left="0"/>
              <w:jc w:val="center"/>
              <w:rPr>
                <w:szCs w:val="21"/>
              </w:rPr>
            </w:pPr>
            <w:r>
              <w:rPr>
                <w:rFonts w:hint="eastAsia"/>
                <w:szCs w:val="21"/>
              </w:rPr>
              <w:drawing>
                <wp:inline distT="0" distB="0" distL="114300" distR="114300">
                  <wp:extent cx="4765040" cy="748030"/>
                  <wp:effectExtent l="0" t="0" r="0" b="0"/>
                  <wp:docPr id="4" name="ECB019B1-382A-4266-B25C-5B523AA43C14-2" descr="C:/Users/2022/AppData/Local/Temp/wps.QnJiE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C:/Users/2022/AppData/Local/Temp/wps.QnJiEiwps"/>
                          <pic:cNvPicPr>
                            <a:picLocks noChangeAspect="1"/>
                          </pic:cNvPicPr>
                        </pic:nvPicPr>
                        <pic:blipFill>
                          <a:blip r:embed="rId10"/>
                          <a:stretch>
                            <a:fillRect/>
                          </a:stretch>
                        </pic:blipFill>
                        <pic:spPr>
                          <a:xfrm>
                            <a:off x="0" y="0"/>
                            <a:ext cx="4765040" cy="748030"/>
                          </a:xfrm>
                          <a:prstGeom prst="rect">
                            <a:avLst/>
                          </a:prstGeom>
                        </pic:spPr>
                      </pic:pic>
                    </a:graphicData>
                  </a:graphic>
                </wp:inline>
              </w:drawing>
            </w:r>
          </w:p>
          <w:p>
            <w:pPr>
              <w:ind w:firstLine="422" w:firstLineChars="2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图2-1   施工期工艺流程图</w:t>
            </w:r>
          </w:p>
          <w:p>
            <w:pPr>
              <w:spacing w:line="360" w:lineRule="auto"/>
              <w:ind w:firstLine="480" w:firstLineChars="200"/>
              <w:rPr>
                <w:sz w:val="24"/>
              </w:rPr>
            </w:pPr>
            <w:r>
              <w:rPr>
                <w:rFonts w:hint="eastAsia"/>
                <w:sz w:val="24"/>
              </w:rPr>
              <w:t>1）基础工程施工</w:t>
            </w:r>
          </w:p>
          <w:p>
            <w:pPr>
              <w:spacing w:line="360" w:lineRule="auto"/>
              <w:ind w:firstLine="480" w:firstLineChars="200"/>
              <w:rPr>
                <w:sz w:val="24"/>
              </w:rPr>
            </w:pPr>
            <w:r>
              <w:rPr>
                <w:rFonts w:hint="eastAsia"/>
                <w:sz w:val="24"/>
              </w:rPr>
              <w:t>基础开挖。施工过程中挖土机等运行时将主要产生施工噪声、施工扬尘、水土流失。</w:t>
            </w:r>
          </w:p>
          <w:p>
            <w:pPr>
              <w:spacing w:line="360" w:lineRule="auto"/>
              <w:ind w:firstLine="480" w:firstLineChars="200"/>
              <w:rPr>
                <w:sz w:val="24"/>
              </w:rPr>
            </w:pPr>
            <w:r>
              <w:rPr>
                <w:rFonts w:hint="eastAsia"/>
                <w:sz w:val="24"/>
              </w:rPr>
              <w:t>2）主体工程施工</w:t>
            </w:r>
          </w:p>
          <w:p>
            <w:pPr>
              <w:spacing w:line="360" w:lineRule="auto"/>
              <w:ind w:firstLine="480" w:firstLineChars="200"/>
              <w:rPr>
                <w:sz w:val="24"/>
              </w:rPr>
            </w:pPr>
            <w:r>
              <w:rPr>
                <w:rFonts w:hint="eastAsia"/>
                <w:sz w:val="24"/>
              </w:rPr>
              <w:t>主体工程施工为厂房、办公楼及员工宿舍楼的建设，主要产生施工的废水、固废、噪声等。</w:t>
            </w:r>
          </w:p>
          <w:p>
            <w:pPr>
              <w:spacing w:line="360" w:lineRule="auto"/>
              <w:ind w:firstLine="480" w:firstLineChars="200"/>
              <w:rPr>
                <w:sz w:val="24"/>
              </w:rPr>
            </w:pPr>
            <w:r>
              <w:rPr>
                <w:rFonts w:hint="eastAsia"/>
                <w:sz w:val="24"/>
              </w:rPr>
              <w:t>3）安装工程施工</w:t>
            </w:r>
          </w:p>
          <w:p>
            <w:pPr>
              <w:spacing w:line="360" w:lineRule="auto"/>
              <w:ind w:firstLine="480" w:firstLineChars="200"/>
              <w:rPr>
                <w:sz w:val="24"/>
              </w:rPr>
            </w:pPr>
            <w:r>
              <w:rPr>
                <w:rFonts w:hint="eastAsia"/>
                <w:sz w:val="24"/>
              </w:rPr>
              <w:t>设备安装主要为生产设备的安装。</w:t>
            </w:r>
          </w:p>
          <w:p>
            <w:pPr>
              <w:spacing w:line="360" w:lineRule="auto"/>
              <w:ind w:firstLine="480" w:firstLineChars="200"/>
              <w:rPr>
                <w:sz w:val="24"/>
              </w:rPr>
            </w:pPr>
            <w:r>
              <w:rPr>
                <w:rFonts w:hint="eastAsia"/>
                <w:sz w:val="24"/>
              </w:rPr>
              <w:t>从上述污染工序分析可知，施工期环境污染问题主要是：施工期的扬尘和废气、施工噪声、水土流失、施工人员生活污水和工程养护废水、施工垃圾等，这些污染几乎发生于整个施工过程，但不同污染因子在不同施工段污染强度不同。</w:t>
            </w:r>
          </w:p>
          <w:p>
            <w:pPr>
              <w:spacing w:line="360" w:lineRule="auto"/>
              <w:rPr>
                <w:sz w:val="24"/>
              </w:rPr>
            </w:pPr>
            <w:r>
              <w:rPr>
                <w:b/>
                <w:bCs/>
                <w:sz w:val="24"/>
              </w:rPr>
              <w:t>2、运营期工艺流程和产污环节分析</w:t>
            </w:r>
          </w:p>
          <w:p>
            <w:pPr>
              <w:spacing w:line="360" w:lineRule="auto"/>
              <w:rPr>
                <w:b/>
                <w:bCs/>
                <w:sz w:val="24"/>
              </w:rPr>
            </w:pPr>
            <w:r>
              <w:rPr>
                <w:rFonts w:hint="eastAsia"/>
                <w:b/>
                <w:bCs/>
                <w:sz w:val="24"/>
              </w:rPr>
              <w:t>2.1、</w:t>
            </w:r>
            <w:r>
              <w:rPr>
                <w:b/>
                <w:bCs/>
                <w:sz w:val="24"/>
              </w:rPr>
              <w:t>工艺流程图</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1、木门生产工艺</w:t>
            </w:r>
            <w:r>
              <w:rPr>
                <w:b/>
                <w:bCs/>
                <w:color w:val="000000" w:themeColor="text1"/>
                <w:sz w:val="24"/>
                <w14:textFill>
                  <w14:solidFill>
                    <w14:schemeClr w14:val="tx1"/>
                  </w14:solidFill>
                </w14:textFill>
              </w:rPr>
              <w:t>如下：</w:t>
            </w:r>
          </w:p>
          <w:p>
            <w:pPr>
              <w:spacing w:line="360" w:lineRule="auto"/>
              <w:jc w:val="center"/>
              <w:rPr>
                <w:sz w:val="24"/>
              </w:rPr>
            </w:pPr>
            <w:r>
              <w:rPr>
                <w:sz w:val="24"/>
              </w:rPr>
              <w:drawing>
                <wp:inline distT="0" distB="0" distL="114300" distR="114300">
                  <wp:extent cx="3469005" cy="6420485"/>
                  <wp:effectExtent l="0" t="0" r="0" b="0"/>
                  <wp:docPr id="3" name="ECB019B1-382A-4266-B25C-5B523AA43C14-3" descr="C:/Users/Administrator/AppData/Local/Temp/wps.HtdnE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Administrator/AppData/Local/Temp/wps.HtdnElwps"/>
                          <pic:cNvPicPr>
                            <a:picLocks noChangeAspect="1"/>
                          </pic:cNvPicPr>
                        </pic:nvPicPr>
                        <pic:blipFill>
                          <a:blip r:embed="rId11"/>
                          <a:stretch>
                            <a:fillRect/>
                          </a:stretch>
                        </pic:blipFill>
                        <pic:spPr>
                          <a:xfrm>
                            <a:off x="0" y="0"/>
                            <a:ext cx="3469005" cy="6420485"/>
                          </a:xfrm>
                          <a:prstGeom prst="rect">
                            <a:avLst/>
                          </a:prstGeom>
                        </pic:spPr>
                      </pic:pic>
                    </a:graphicData>
                  </a:graphic>
                </wp:inline>
              </w:drawing>
            </w:r>
          </w:p>
          <w:p>
            <w:pPr>
              <w:spacing w:line="360" w:lineRule="auto"/>
              <w:jc w:val="center"/>
              <w:rPr>
                <w:b/>
                <w:bCs/>
                <w:szCs w:val="21"/>
                <w:u w:val="single"/>
              </w:rPr>
            </w:pPr>
            <w:r>
              <w:rPr>
                <w:rFonts w:hint="eastAsia"/>
                <w:b/>
                <w:bCs/>
                <w:szCs w:val="21"/>
                <w:u w:val="single"/>
              </w:rPr>
              <w:t>图2-2    喷漆门生产工艺及产排污流程图</w:t>
            </w:r>
          </w:p>
          <w:p>
            <w:pPr>
              <w:spacing w:line="360" w:lineRule="auto"/>
              <w:rPr>
                <w:b/>
                <w:bCs/>
                <w:sz w:val="24"/>
              </w:rPr>
            </w:pPr>
            <w:r>
              <w:rPr>
                <w:rFonts w:hint="eastAsia"/>
                <w:b/>
                <w:bCs/>
                <w:sz w:val="24"/>
              </w:rPr>
              <w:t>工艺流程简介</w:t>
            </w:r>
          </w:p>
          <w:p>
            <w:pPr>
              <w:numPr>
                <w:ilvl w:val="0"/>
                <w:numId w:val="3"/>
              </w:numPr>
              <w:spacing w:line="360" w:lineRule="auto"/>
              <w:ind w:firstLine="480" w:firstLineChars="200"/>
              <w:rPr>
                <w:sz w:val="24"/>
              </w:rPr>
            </w:pPr>
            <w:r>
              <w:rPr>
                <w:rFonts w:hint="eastAsia"/>
                <w:sz w:val="24"/>
              </w:rPr>
              <w:t>购买面板和填充料，根据市场及客户需求进行开料。</w:t>
            </w:r>
          </w:p>
          <w:p>
            <w:pPr>
              <w:numPr>
                <w:ilvl w:val="0"/>
                <w:numId w:val="3"/>
              </w:numPr>
              <w:spacing w:line="360" w:lineRule="auto"/>
              <w:ind w:firstLine="480" w:firstLineChars="200"/>
              <w:rPr>
                <w:sz w:val="24"/>
              </w:rPr>
            </w:pPr>
            <w:r>
              <w:rPr>
                <w:rFonts w:hint="eastAsia"/>
                <w:sz w:val="24"/>
              </w:rPr>
              <w:t>填充料主要为夹板、集成材等，首先需要在填充料上进行涂胶，涂抹水基胶，然后经冷压机，压力约20MPa，压制1-2h，压缩成型；</w:t>
            </w:r>
          </w:p>
          <w:p>
            <w:pPr>
              <w:numPr>
                <w:ilvl w:val="0"/>
                <w:numId w:val="3"/>
              </w:numPr>
              <w:spacing w:line="360" w:lineRule="auto"/>
              <w:ind w:firstLine="480" w:firstLineChars="200"/>
              <w:rPr>
                <w:sz w:val="24"/>
              </w:rPr>
            </w:pPr>
            <w:r>
              <w:rPr>
                <w:rFonts w:hint="eastAsia"/>
                <w:sz w:val="24"/>
              </w:rPr>
              <w:t>砂光定厚：主要用于提升压光板材的饰面材料贴合性。该工艺采用砂光轮、砂带等工具对基材进行表面处理，通过控制磨削量使板材厚度更均匀且表面平整度达到粘贴要求，此工序会产生砂光粉尘，设备自带粉尘收集装置，采用布袋除尘工艺。</w:t>
            </w:r>
          </w:p>
          <w:p>
            <w:pPr>
              <w:numPr>
                <w:ilvl w:val="0"/>
                <w:numId w:val="3"/>
              </w:numPr>
              <w:spacing w:line="360" w:lineRule="auto"/>
              <w:ind w:firstLine="480" w:firstLineChars="200"/>
              <w:rPr>
                <w:sz w:val="24"/>
              </w:rPr>
            </w:pPr>
            <w:r>
              <w:rPr>
                <w:rFonts w:hint="eastAsia"/>
                <w:sz w:val="24"/>
              </w:rPr>
              <w:t>热压：将面板与填充料进行热压贴面，热压温度为100~120℃，压制时间8分钟，此工序将会产生挥发性有机物，项目采用的水基胶属于低挥发性有机物，VOCs含量为0.8%（详细成分分析报告见附件7），经计算，产生速率低于2kg/h，因此车间内无组织排放。</w:t>
            </w:r>
          </w:p>
          <w:p>
            <w:pPr>
              <w:numPr>
                <w:ilvl w:val="0"/>
                <w:numId w:val="3"/>
              </w:numPr>
              <w:spacing w:line="360" w:lineRule="auto"/>
              <w:ind w:firstLine="480" w:firstLineChars="200"/>
              <w:rPr>
                <w:sz w:val="24"/>
              </w:rPr>
            </w:pPr>
            <w:r>
              <w:rPr>
                <w:rFonts w:hint="eastAsia"/>
                <w:sz w:val="24"/>
              </w:rPr>
              <w:t>机加工：经过热压贴面的门已</w:t>
            </w:r>
            <w:r>
              <w:rPr>
                <w:rFonts w:hint="eastAsia"/>
                <w:sz w:val="24"/>
                <w:lang w:eastAsia="zh-CN"/>
              </w:rPr>
              <w:t>初步成形</w:t>
            </w:r>
            <w:r>
              <w:rPr>
                <w:rFonts w:hint="eastAsia"/>
                <w:sz w:val="24"/>
              </w:rPr>
              <w:t>，使用铣床等机械设备加工出需要的门合页所需安装的槽位以及打孔，此工序会产生颗粒物。</w:t>
            </w:r>
          </w:p>
          <w:p>
            <w:pPr>
              <w:numPr>
                <w:ilvl w:val="0"/>
                <w:numId w:val="3"/>
              </w:numPr>
              <w:spacing w:line="360" w:lineRule="auto"/>
              <w:ind w:firstLine="480" w:firstLineChars="200"/>
              <w:rPr>
                <w:sz w:val="24"/>
              </w:rPr>
            </w:pPr>
            <w:r>
              <w:rPr>
                <w:rFonts w:hint="eastAsia"/>
                <w:sz w:val="24"/>
              </w:rPr>
              <w:t>涂腻子粉：在打磨房内进行腻子粉的涂抹，并将其打磨平整，此工序还会产生打磨颗粒物。</w:t>
            </w:r>
          </w:p>
          <w:p>
            <w:pPr>
              <w:numPr>
                <w:ilvl w:val="0"/>
                <w:numId w:val="3"/>
              </w:numPr>
              <w:spacing w:line="360" w:lineRule="auto"/>
              <w:ind w:firstLine="480" w:firstLineChars="200"/>
              <w:rPr>
                <w:sz w:val="24"/>
              </w:rPr>
            </w:pPr>
            <w:r>
              <w:rPr>
                <w:rFonts w:hint="eastAsia"/>
                <w:sz w:val="24"/>
              </w:rPr>
              <w:t>喷漆：喷漆总共有喷两遍，分别为底漆和面漆，首先人工在喷漆房内进行调漆，现调现用，人工使用喷枪对门板、门框等进行底漆的喷涂</w:t>
            </w:r>
            <w:r>
              <w:rPr>
                <w:rFonts w:hint="eastAsia"/>
                <w:sz w:val="24"/>
                <w:lang w:eastAsia="zh-CN"/>
              </w:rPr>
              <w:t>，</w:t>
            </w:r>
            <w:r>
              <w:rPr>
                <w:rFonts w:hint="eastAsia"/>
                <w:sz w:val="24"/>
              </w:rPr>
              <w:t>然后进行底漆的晾干或者紫外照射固化，将产品移动至晾干房内进行自然晾干，一般为12小时，晾干后再次在面漆喷漆房内进行二次喷涂，喷涂完的产品放在晾干房内进行晾干，有机废气通过水帘柜+过滤棉+旋转式分子筛吸附+脱附+催化燃烧处理后通过15m高排气筒排放。</w:t>
            </w:r>
          </w:p>
          <w:p>
            <w:pPr>
              <w:numPr>
                <w:ilvl w:val="0"/>
                <w:numId w:val="3"/>
              </w:numPr>
              <w:spacing w:line="360" w:lineRule="auto"/>
              <w:ind w:firstLine="480" w:firstLineChars="200"/>
              <w:rPr>
                <w:sz w:val="24"/>
              </w:rPr>
            </w:pPr>
            <w:r>
              <w:rPr>
                <w:rFonts w:hint="eastAsia"/>
                <w:sz w:val="24"/>
              </w:rPr>
              <w:t>晾干后门板和门框安装门合页，最后包装入库。</w:t>
            </w:r>
          </w:p>
          <w:p>
            <w:pPr>
              <w:spacing w:line="360" w:lineRule="auto"/>
              <w:rPr>
                <w:b/>
                <w:bCs/>
                <w:sz w:val="24"/>
              </w:rPr>
            </w:pPr>
            <w:r>
              <w:rPr>
                <w:rFonts w:hint="eastAsia"/>
                <w:b/>
                <w:bCs/>
                <w:sz w:val="24"/>
              </w:rPr>
              <w:t>2、PVC免漆门生产工艺</w:t>
            </w:r>
            <w:r>
              <w:rPr>
                <w:b/>
                <w:bCs/>
                <w:sz w:val="24"/>
              </w:rPr>
              <w:t>如下：</w:t>
            </w:r>
          </w:p>
          <w:p>
            <w:pPr>
              <w:spacing w:line="360" w:lineRule="auto"/>
              <w:ind w:firstLine="480" w:firstLineChars="200"/>
              <w:jc w:val="center"/>
              <w:rPr>
                <w:sz w:val="24"/>
              </w:rPr>
            </w:pPr>
            <w:r>
              <w:rPr>
                <w:rFonts w:hint="eastAsia"/>
                <w:sz w:val="24"/>
              </w:rPr>
              <w:drawing>
                <wp:inline distT="0" distB="0" distL="114300" distR="114300">
                  <wp:extent cx="3820795" cy="3917950"/>
                  <wp:effectExtent l="0" t="0" r="0" b="0"/>
                  <wp:docPr id="10" name="ECB019B1-382A-4266-B25C-5B523AA43C14-4" descr="C:/Users/Administrator/AppData/Local/Temp/wps.rFMxo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4" descr="C:/Users/Administrator/AppData/Local/Temp/wps.rFMxohwps"/>
                          <pic:cNvPicPr>
                            <a:picLocks noChangeAspect="1"/>
                          </pic:cNvPicPr>
                        </pic:nvPicPr>
                        <pic:blipFill>
                          <a:blip r:embed="rId12"/>
                          <a:stretch>
                            <a:fillRect/>
                          </a:stretch>
                        </pic:blipFill>
                        <pic:spPr>
                          <a:xfrm>
                            <a:off x="0" y="0"/>
                            <a:ext cx="3820795" cy="3917950"/>
                          </a:xfrm>
                          <a:prstGeom prst="rect">
                            <a:avLst/>
                          </a:prstGeom>
                        </pic:spPr>
                      </pic:pic>
                    </a:graphicData>
                  </a:graphic>
                </wp:inline>
              </w:drawing>
            </w:r>
          </w:p>
          <w:p>
            <w:pPr>
              <w:pStyle w:val="39"/>
              <w:ind w:firstLine="422"/>
              <w:jc w:val="center"/>
              <w:rPr>
                <w:rFonts w:hint="default"/>
                <w:b/>
                <w:bCs/>
                <w:sz w:val="21"/>
                <w:szCs w:val="21"/>
              </w:rPr>
            </w:pPr>
            <w:r>
              <w:rPr>
                <w:rFonts w:hint="default" w:eastAsia="宋体"/>
                <w:b/>
                <w:bCs/>
                <w:color w:val="auto"/>
                <w:sz w:val="21"/>
                <w:szCs w:val="21"/>
              </w:rPr>
              <w:t>图2-3   PVC免漆门生产工艺及产排污流程图</w:t>
            </w:r>
          </w:p>
          <w:p>
            <w:pPr>
              <w:spacing w:line="360" w:lineRule="auto"/>
              <w:rPr>
                <w:b/>
                <w:bCs/>
                <w:sz w:val="24"/>
              </w:rPr>
            </w:pPr>
            <w:r>
              <w:rPr>
                <w:rFonts w:hint="eastAsia"/>
                <w:b/>
                <w:bCs/>
                <w:sz w:val="24"/>
              </w:rPr>
              <w:t>工艺流程简介</w:t>
            </w:r>
          </w:p>
          <w:p>
            <w:pPr>
              <w:numPr>
                <w:ilvl w:val="0"/>
                <w:numId w:val="4"/>
              </w:numPr>
              <w:spacing w:line="360" w:lineRule="auto"/>
              <w:ind w:firstLine="480" w:firstLineChars="200"/>
              <w:rPr>
                <w:sz w:val="24"/>
              </w:rPr>
            </w:pPr>
            <w:bookmarkStart w:id="6" w:name="_Hlk6843198"/>
            <w:r>
              <w:rPr>
                <w:rFonts w:hint="eastAsia"/>
                <w:sz w:val="24"/>
              </w:rPr>
              <w:t>购买PVC面板和填充料，根据市场及客户需求进行开料。</w:t>
            </w:r>
          </w:p>
          <w:p>
            <w:pPr>
              <w:numPr>
                <w:ilvl w:val="0"/>
                <w:numId w:val="4"/>
              </w:numPr>
              <w:spacing w:line="360" w:lineRule="auto"/>
              <w:ind w:firstLine="480" w:firstLineChars="200"/>
              <w:rPr>
                <w:sz w:val="24"/>
              </w:rPr>
            </w:pPr>
            <w:r>
              <w:rPr>
                <w:rFonts w:hint="eastAsia"/>
                <w:sz w:val="24"/>
              </w:rPr>
              <w:t>填充料主要为夹板、集成材等，首先需要在填充料上进行涂胶，涂抹水基胶，然后经冷压机，压力约20MPa，压制1-2h，压缩成型；</w:t>
            </w:r>
          </w:p>
          <w:p>
            <w:pPr>
              <w:numPr>
                <w:ilvl w:val="0"/>
                <w:numId w:val="4"/>
              </w:numPr>
              <w:spacing w:line="360" w:lineRule="auto"/>
              <w:ind w:firstLine="480" w:firstLineChars="200"/>
              <w:rPr>
                <w:sz w:val="24"/>
              </w:rPr>
            </w:pPr>
            <w:r>
              <w:rPr>
                <w:rFonts w:hint="eastAsia"/>
                <w:sz w:val="24"/>
              </w:rPr>
              <w:t>砂光定厚：主要用于提升压光板材的饰面材料贴合性。该工艺采用砂光轮、砂带等工具对基材进行表面处理，通过控制磨削量使板材厚度更均匀且表面平整度达到粘贴要求，此工序会产生砂光粉尘，设备自带粉尘收集装置，采用布袋除尘工艺。</w:t>
            </w:r>
          </w:p>
          <w:p>
            <w:pPr>
              <w:numPr>
                <w:ilvl w:val="0"/>
                <w:numId w:val="4"/>
              </w:numPr>
              <w:spacing w:line="360" w:lineRule="auto"/>
              <w:ind w:firstLine="480" w:firstLineChars="200"/>
              <w:rPr>
                <w:sz w:val="24"/>
              </w:rPr>
            </w:pPr>
            <w:r>
              <w:rPr>
                <w:rFonts w:hint="eastAsia"/>
                <w:sz w:val="24"/>
              </w:rPr>
              <w:t>热压：将PVC面板与填充料进行热压贴面，热压温度为100~120℃，压制时间8分钟，此工序将会产生挥发性有机物，项目采用的水基胶属于低挥发性有机物，VOCs含量为0.8%（详细成分分析报告见附件7），经计算，产生速率低于2kg/h，因此车间内无组织排放。</w:t>
            </w:r>
          </w:p>
          <w:p>
            <w:pPr>
              <w:numPr>
                <w:ilvl w:val="0"/>
                <w:numId w:val="4"/>
              </w:numPr>
              <w:spacing w:line="360" w:lineRule="auto"/>
              <w:ind w:firstLine="480" w:firstLineChars="200"/>
              <w:rPr>
                <w:sz w:val="24"/>
              </w:rPr>
            </w:pPr>
            <w:r>
              <w:rPr>
                <w:rFonts w:hint="eastAsia"/>
                <w:sz w:val="24"/>
              </w:rPr>
              <w:t>机加工：经过热压贴面的门已</w:t>
            </w:r>
            <w:r>
              <w:rPr>
                <w:rFonts w:hint="eastAsia"/>
                <w:sz w:val="24"/>
                <w:lang w:eastAsia="zh-CN"/>
              </w:rPr>
              <w:t>初步成形</w:t>
            </w:r>
            <w:r>
              <w:rPr>
                <w:rFonts w:hint="eastAsia"/>
                <w:sz w:val="24"/>
              </w:rPr>
              <w:t>，使用铣床等机械设备加工出需要的门合页所需安装的槽位以及打孔，此工序会产生颗粒物。</w:t>
            </w:r>
          </w:p>
          <w:p>
            <w:pPr>
              <w:numPr>
                <w:ilvl w:val="0"/>
                <w:numId w:val="5"/>
              </w:numPr>
              <w:spacing w:line="360" w:lineRule="auto"/>
              <w:rPr>
                <w:b/>
                <w:bCs/>
                <w:sz w:val="24"/>
              </w:rPr>
            </w:pPr>
            <w:r>
              <w:rPr>
                <w:rFonts w:hint="eastAsia"/>
                <w:b/>
                <w:bCs/>
                <w:sz w:val="24"/>
              </w:rPr>
              <w:t>金属门</w:t>
            </w:r>
          </w:p>
          <w:p>
            <w:pPr>
              <w:pStyle w:val="41"/>
              <w:ind w:firstLine="480" w:firstLineChars="200"/>
            </w:pPr>
            <w:r>
              <w:rPr>
                <w:rFonts w:hint="eastAsia"/>
              </w:rPr>
              <w:t>金属门生产工艺如下图所示：</w:t>
            </w:r>
          </w:p>
          <w:p>
            <w:pPr>
              <w:pStyle w:val="41"/>
              <w:jc w:val="center"/>
            </w:pPr>
            <w:r>
              <w:drawing>
                <wp:inline distT="0" distB="0" distL="114300" distR="114300">
                  <wp:extent cx="2225040" cy="3513455"/>
                  <wp:effectExtent l="0" t="0" r="0" b="0"/>
                  <wp:docPr id="9" name="ECB019B1-382A-4266-B25C-5B523AA43C14-5" descr="C:/Users/Administrator/AppData/Local/Temp/wps.MTpyz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5" descr="C:/Users/Administrator/AppData/Local/Temp/wps.MTpyzgwps"/>
                          <pic:cNvPicPr>
                            <a:picLocks noChangeAspect="1"/>
                          </pic:cNvPicPr>
                        </pic:nvPicPr>
                        <pic:blipFill>
                          <a:blip r:embed="rId13"/>
                          <a:stretch>
                            <a:fillRect/>
                          </a:stretch>
                        </pic:blipFill>
                        <pic:spPr>
                          <a:xfrm>
                            <a:off x="0" y="0"/>
                            <a:ext cx="2225040" cy="3513455"/>
                          </a:xfrm>
                          <a:prstGeom prst="rect">
                            <a:avLst/>
                          </a:prstGeom>
                        </pic:spPr>
                      </pic:pic>
                    </a:graphicData>
                  </a:graphic>
                </wp:inline>
              </w:drawing>
            </w:r>
          </w:p>
          <w:p>
            <w:pPr>
              <w:widowControl/>
              <w:jc w:val="center"/>
              <w:rPr>
                <w:b/>
                <w:bCs/>
              </w:rPr>
            </w:pPr>
            <w:r>
              <w:rPr>
                <w:rFonts w:hint="eastAsia"/>
                <w:b/>
                <w:bCs/>
              </w:rPr>
              <w:t>图2-3   金属门生产工艺流程图</w:t>
            </w:r>
          </w:p>
          <w:p>
            <w:pPr>
              <w:spacing w:line="360" w:lineRule="auto"/>
              <w:ind w:left="420" w:leftChars="200"/>
              <w:rPr>
                <w:b/>
                <w:bCs/>
                <w:sz w:val="24"/>
              </w:rPr>
            </w:pPr>
            <w:r>
              <w:rPr>
                <w:rFonts w:hint="eastAsia"/>
                <w:b/>
                <w:bCs/>
                <w:sz w:val="24"/>
              </w:rPr>
              <w:t>工艺简介：</w:t>
            </w:r>
          </w:p>
          <w:p>
            <w:pPr>
              <w:spacing w:line="360" w:lineRule="auto"/>
              <w:ind w:left="420" w:leftChars="200"/>
              <w:rPr>
                <w:sz w:val="24"/>
              </w:rPr>
            </w:pPr>
            <w:r>
              <w:rPr>
                <w:rFonts w:hint="eastAsia"/>
                <w:sz w:val="24"/>
              </w:rPr>
              <w:t>金属门机加工及表面处理均委外，厂内仅进行组装，组装过程会产生噪声。</w:t>
            </w:r>
          </w:p>
          <w:p>
            <w:pPr>
              <w:widowControl/>
              <w:jc w:val="center"/>
              <w:rPr>
                <w:b/>
                <w:bCs/>
              </w:rPr>
            </w:pPr>
            <w:r>
              <w:rPr>
                <w:b/>
                <w:bCs/>
              </w:rPr>
              <w:t>表</w:t>
            </w:r>
            <w:r>
              <w:rPr>
                <w:rFonts w:hint="eastAsia"/>
                <w:b/>
                <w:bCs/>
              </w:rPr>
              <w:t>2</w:t>
            </w:r>
            <w:r>
              <w:rPr>
                <w:b/>
                <w:bCs/>
              </w:rPr>
              <w:t>-</w:t>
            </w:r>
            <w:r>
              <w:rPr>
                <w:rFonts w:hint="eastAsia"/>
                <w:b/>
                <w:bCs/>
              </w:rPr>
              <w:t>6    项目</w:t>
            </w:r>
            <w:r>
              <w:rPr>
                <w:b/>
                <w:bCs/>
              </w:rPr>
              <w:t>产排污节点分析</w:t>
            </w:r>
            <w:r>
              <w:rPr>
                <w:rFonts w:hint="eastAsia"/>
                <w:b/>
                <w:bCs/>
              </w:rPr>
              <w:t>一览表</w:t>
            </w:r>
          </w:p>
          <w:tbl>
            <w:tblPr>
              <w:tblStyle w:val="9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2"/>
              <w:gridCol w:w="1497"/>
              <w:gridCol w:w="1556"/>
              <w:gridCol w:w="1822"/>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6" w:type="pct"/>
                  <w:tcBorders>
                    <w:tl2br w:val="nil"/>
                    <w:tr2bl w:val="nil"/>
                  </w:tcBorders>
                  <w:vAlign w:val="center"/>
                </w:tcPr>
                <w:p>
                  <w:pPr>
                    <w:jc w:val="center"/>
                    <w:rPr>
                      <w:szCs w:val="21"/>
                    </w:rPr>
                  </w:pPr>
                  <w:r>
                    <w:rPr>
                      <w:szCs w:val="21"/>
                    </w:rPr>
                    <w:t>污染类 别</w:t>
                  </w:r>
                </w:p>
              </w:tc>
              <w:tc>
                <w:tcPr>
                  <w:tcW w:w="919" w:type="pct"/>
                  <w:tcBorders>
                    <w:tl2br w:val="nil"/>
                    <w:tr2bl w:val="nil"/>
                  </w:tcBorders>
                  <w:vAlign w:val="center"/>
                </w:tcPr>
                <w:p>
                  <w:pPr>
                    <w:jc w:val="center"/>
                    <w:rPr>
                      <w:szCs w:val="21"/>
                    </w:rPr>
                  </w:pPr>
                  <w:r>
                    <w:rPr>
                      <w:szCs w:val="21"/>
                    </w:rPr>
                    <w:t>污染源名称</w:t>
                  </w:r>
                </w:p>
              </w:tc>
              <w:tc>
                <w:tcPr>
                  <w:tcW w:w="955" w:type="pct"/>
                  <w:tcBorders>
                    <w:tl2br w:val="nil"/>
                    <w:tr2bl w:val="nil"/>
                  </w:tcBorders>
                  <w:vAlign w:val="center"/>
                </w:tcPr>
                <w:p>
                  <w:pPr>
                    <w:jc w:val="center"/>
                    <w:rPr>
                      <w:szCs w:val="21"/>
                    </w:rPr>
                  </w:pPr>
                  <w:r>
                    <w:rPr>
                      <w:rFonts w:hint="eastAsia"/>
                      <w:szCs w:val="21"/>
                    </w:rPr>
                    <w:t>产污工序</w:t>
                  </w:r>
                </w:p>
              </w:tc>
              <w:tc>
                <w:tcPr>
                  <w:tcW w:w="1118" w:type="pct"/>
                  <w:tcBorders>
                    <w:tl2br w:val="nil"/>
                    <w:tr2bl w:val="nil"/>
                  </w:tcBorders>
                  <w:vAlign w:val="center"/>
                </w:tcPr>
                <w:p>
                  <w:pPr>
                    <w:jc w:val="center"/>
                    <w:rPr>
                      <w:szCs w:val="21"/>
                    </w:rPr>
                  </w:pPr>
                  <w:r>
                    <w:rPr>
                      <w:szCs w:val="21"/>
                    </w:rPr>
                    <w:t>主要污染因子</w:t>
                  </w:r>
                </w:p>
              </w:tc>
              <w:tc>
                <w:tcPr>
                  <w:tcW w:w="1520" w:type="pct"/>
                  <w:tcBorders>
                    <w:tl2br w:val="nil"/>
                    <w:tr2bl w:val="nil"/>
                  </w:tcBorders>
                  <w:vAlign w:val="center"/>
                </w:tcPr>
                <w:p>
                  <w:pPr>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6" w:type="pct"/>
                  <w:vMerge w:val="restart"/>
                  <w:tcBorders>
                    <w:tl2br w:val="nil"/>
                    <w:tr2bl w:val="nil"/>
                  </w:tcBorders>
                  <w:vAlign w:val="center"/>
                </w:tcPr>
                <w:p>
                  <w:pPr>
                    <w:jc w:val="center"/>
                    <w:rPr>
                      <w:szCs w:val="21"/>
                    </w:rPr>
                  </w:pPr>
                  <w:r>
                    <w:rPr>
                      <w:szCs w:val="21"/>
                    </w:rPr>
                    <w:t>废气</w:t>
                  </w:r>
                </w:p>
              </w:tc>
              <w:tc>
                <w:tcPr>
                  <w:tcW w:w="919" w:type="pct"/>
                  <w:tcBorders>
                    <w:tl2br w:val="nil"/>
                    <w:tr2bl w:val="nil"/>
                  </w:tcBorders>
                  <w:vAlign w:val="center"/>
                </w:tcPr>
                <w:p>
                  <w:pPr>
                    <w:jc w:val="center"/>
                    <w:rPr>
                      <w:szCs w:val="21"/>
                    </w:rPr>
                  </w:pPr>
                  <w:r>
                    <w:rPr>
                      <w:rFonts w:hint="eastAsia"/>
                      <w:szCs w:val="21"/>
                    </w:rPr>
                    <w:t>下料粉尘</w:t>
                  </w:r>
                </w:p>
              </w:tc>
              <w:tc>
                <w:tcPr>
                  <w:tcW w:w="955" w:type="pct"/>
                  <w:tcBorders>
                    <w:tl2br w:val="nil"/>
                    <w:tr2bl w:val="nil"/>
                  </w:tcBorders>
                  <w:vAlign w:val="center"/>
                </w:tcPr>
                <w:p>
                  <w:pPr>
                    <w:jc w:val="center"/>
                    <w:rPr>
                      <w:szCs w:val="21"/>
                    </w:rPr>
                  </w:pPr>
                  <w:r>
                    <w:rPr>
                      <w:rFonts w:hint="eastAsia"/>
                      <w:szCs w:val="21"/>
                    </w:rPr>
                    <w:t>下料工序</w:t>
                  </w:r>
                </w:p>
              </w:tc>
              <w:tc>
                <w:tcPr>
                  <w:tcW w:w="1118" w:type="pct"/>
                  <w:tcBorders>
                    <w:tl2br w:val="nil"/>
                    <w:tr2bl w:val="nil"/>
                  </w:tcBorders>
                  <w:vAlign w:val="center"/>
                </w:tcPr>
                <w:p>
                  <w:pPr>
                    <w:jc w:val="center"/>
                    <w:rPr>
                      <w:szCs w:val="21"/>
                    </w:rPr>
                  </w:pPr>
                  <w:r>
                    <w:rPr>
                      <w:rFonts w:hint="eastAsia"/>
                      <w:szCs w:val="21"/>
                    </w:rPr>
                    <w:t>颗粒物</w:t>
                  </w:r>
                </w:p>
              </w:tc>
              <w:tc>
                <w:tcPr>
                  <w:tcW w:w="1520" w:type="pct"/>
                  <w:tcBorders>
                    <w:tl2br w:val="nil"/>
                    <w:tr2bl w:val="nil"/>
                  </w:tcBorders>
                  <w:vAlign w:val="center"/>
                </w:tcPr>
                <w:p>
                  <w:pPr>
                    <w:jc w:val="center"/>
                    <w:rPr>
                      <w:szCs w:val="21"/>
                    </w:rPr>
                  </w:pPr>
                  <w:r>
                    <w:rPr>
                      <w:rFonts w:hint="eastAsia"/>
                      <w:szCs w:val="21"/>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6" w:type="pct"/>
                  <w:vMerge w:val="continue"/>
                  <w:tcBorders>
                    <w:tl2br w:val="nil"/>
                    <w:tr2bl w:val="nil"/>
                  </w:tcBorders>
                  <w:vAlign w:val="center"/>
                </w:tcPr>
                <w:p>
                  <w:pPr>
                    <w:jc w:val="center"/>
                    <w:rPr>
                      <w:szCs w:val="21"/>
                    </w:rPr>
                  </w:pPr>
                </w:p>
              </w:tc>
              <w:tc>
                <w:tcPr>
                  <w:tcW w:w="919" w:type="pct"/>
                  <w:tcBorders>
                    <w:tl2br w:val="nil"/>
                    <w:tr2bl w:val="nil"/>
                  </w:tcBorders>
                  <w:vAlign w:val="center"/>
                </w:tcPr>
                <w:p>
                  <w:pPr>
                    <w:jc w:val="center"/>
                    <w:rPr>
                      <w:szCs w:val="21"/>
                    </w:rPr>
                  </w:pPr>
                  <w:r>
                    <w:rPr>
                      <w:rFonts w:hint="eastAsia"/>
                      <w:szCs w:val="21"/>
                    </w:rPr>
                    <w:t>砂光粉尘</w:t>
                  </w:r>
                </w:p>
              </w:tc>
              <w:tc>
                <w:tcPr>
                  <w:tcW w:w="955" w:type="pct"/>
                  <w:tcBorders>
                    <w:tl2br w:val="nil"/>
                    <w:tr2bl w:val="nil"/>
                  </w:tcBorders>
                  <w:vAlign w:val="center"/>
                </w:tcPr>
                <w:p>
                  <w:pPr>
                    <w:jc w:val="center"/>
                    <w:rPr>
                      <w:szCs w:val="21"/>
                    </w:rPr>
                  </w:pPr>
                  <w:r>
                    <w:rPr>
                      <w:rFonts w:hint="eastAsia"/>
                      <w:szCs w:val="21"/>
                    </w:rPr>
                    <w:t>砂光工序</w:t>
                  </w:r>
                </w:p>
              </w:tc>
              <w:tc>
                <w:tcPr>
                  <w:tcW w:w="1118" w:type="pct"/>
                  <w:tcBorders>
                    <w:tl2br w:val="nil"/>
                    <w:tr2bl w:val="nil"/>
                  </w:tcBorders>
                  <w:vAlign w:val="center"/>
                </w:tcPr>
                <w:p>
                  <w:pPr>
                    <w:jc w:val="center"/>
                    <w:rPr>
                      <w:szCs w:val="21"/>
                    </w:rPr>
                  </w:pPr>
                  <w:r>
                    <w:rPr>
                      <w:rFonts w:hint="eastAsia"/>
                      <w:szCs w:val="21"/>
                    </w:rPr>
                    <w:t>颗粒物</w:t>
                  </w:r>
                </w:p>
              </w:tc>
              <w:tc>
                <w:tcPr>
                  <w:tcW w:w="1520" w:type="pct"/>
                  <w:tcBorders>
                    <w:tl2br w:val="nil"/>
                    <w:tr2bl w:val="nil"/>
                  </w:tcBorders>
                  <w:vAlign w:val="center"/>
                </w:tcPr>
                <w:p>
                  <w:pPr>
                    <w:jc w:val="center"/>
                    <w:rPr>
                      <w:szCs w:val="21"/>
                    </w:rPr>
                  </w:pPr>
                  <w:r>
                    <w:rPr>
                      <w:rFonts w:hint="eastAsia"/>
                      <w:szCs w:val="21"/>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6" w:type="pct"/>
                  <w:vMerge w:val="continue"/>
                  <w:tcBorders>
                    <w:tl2br w:val="nil"/>
                    <w:tr2bl w:val="nil"/>
                  </w:tcBorders>
                  <w:vAlign w:val="center"/>
                </w:tcPr>
                <w:p>
                  <w:pPr>
                    <w:jc w:val="center"/>
                    <w:rPr>
                      <w:szCs w:val="21"/>
                    </w:rPr>
                  </w:pPr>
                </w:p>
              </w:tc>
              <w:tc>
                <w:tcPr>
                  <w:tcW w:w="919" w:type="pct"/>
                  <w:tcBorders>
                    <w:tl2br w:val="nil"/>
                    <w:tr2bl w:val="nil"/>
                  </w:tcBorders>
                  <w:vAlign w:val="center"/>
                </w:tcPr>
                <w:p>
                  <w:pPr>
                    <w:jc w:val="center"/>
                    <w:rPr>
                      <w:szCs w:val="21"/>
                      <w:u w:val="single"/>
                    </w:rPr>
                  </w:pPr>
                  <w:r>
                    <w:rPr>
                      <w:rFonts w:hint="eastAsia"/>
                      <w:szCs w:val="21"/>
                      <w:u w:val="single"/>
                    </w:rPr>
                    <w:t>热压废气</w:t>
                  </w:r>
                </w:p>
              </w:tc>
              <w:tc>
                <w:tcPr>
                  <w:tcW w:w="955" w:type="pct"/>
                  <w:tcBorders>
                    <w:tl2br w:val="nil"/>
                    <w:tr2bl w:val="nil"/>
                  </w:tcBorders>
                  <w:vAlign w:val="center"/>
                </w:tcPr>
                <w:p>
                  <w:pPr>
                    <w:jc w:val="center"/>
                    <w:rPr>
                      <w:szCs w:val="21"/>
                      <w:u w:val="single"/>
                    </w:rPr>
                  </w:pPr>
                  <w:r>
                    <w:rPr>
                      <w:rFonts w:hint="eastAsia"/>
                      <w:szCs w:val="21"/>
                      <w:u w:val="single"/>
                    </w:rPr>
                    <w:t>热压工序</w:t>
                  </w:r>
                </w:p>
              </w:tc>
              <w:tc>
                <w:tcPr>
                  <w:tcW w:w="1118" w:type="pct"/>
                  <w:tcBorders>
                    <w:tl2br w:val="nil"/>
                    <w:tr2bl w:val="nil"/>
                  </w:tcBorders>
                  <w:vAlign w:val="center"/>
                </w:tcPr>
                <w:p>
                  <w:pPr>
                    <w:jc w:val="center"/>
                    <w:rPr>
                      <w:szCs w:val="21"/>
                      <w:u w:val="single"/>
                    </w:rPr>
                  </w:pPr>
                  <w:r>
                    <w:rPr>
                      <w:rFonts w:hint="eastAsia"/>
                      <w:szCs w:val="21"/>
                      <w:u w:val="single"/>
                    </w:rPr>
                    <w:t>NMHC</w:t>
                  </w:r>
                </w:p>
              </w:tc>
              <w:tc>
                <w:tcPr>
                  <w:tcW w:w="1520" w:type="pct"/>
                  <w:tcBorders>
                    <w:tl2br w:val="nil"/>
                    <w:tr2bl w:val="nil"/>
                  </w:tcBorders>
                  <w:vAlign w:val="center"/>
                </w:tcPr>
                <w:p>
                  <w:pPr>
                    <w:jc w:val="center"/>
                    <w:rPr>
                      <w:szCs w:val="21"/>
                      <w:u w:val="single"/>
                    </w:rPr>
                  </w:pPr>
                  <w:r>
                    <w:rPr>
                      <w:rFonts w:hint="eastAsia"/>
                      <w:szCs w:val="21"/>
                      <w:u w:val="single"/>
                      <w:lang w:val="en-US" w:eastAsia="zh-CN"/>
                    </w:rPr>
                    <w:t>无</w:t>
                  </w:r>
                  <w:r>
                    <w:rPr>
                      <w:rFonts w:hint="eastAsia"/>
                      <w:szCs w:val="21"/>
                      <w:u w:val="single"/>
                    </w:rPr>
                    <w:t>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6" w:type="pct"/>
                  <w:vMerge w:val="continue"/>
                  <w:tcBorders>
                    <w:tl2br w:val="nil"/>
                    <w:tr2bl w:val="nil"/>
                  </w:tcBorders>
                  <w:vAlign w:val="center"/>
                </w:tcPr>
                <w:p>
                  <w:pPr>
                    <w:jc w:val="center"/>
                    <w:rPr>
                      <w:szCs w:val="21"/>
                    </w:rPr>
                  </w:pPr>
                </w:p>
              </w:tc>
              <w:tc>
                <w:tcPr>
                  <w:tcW w:w="919" w:type="pct"/>
                  <w:tcBorders>
                    <w:tl2br w:val="nil"/>
                    <w:tr2bl w:val="nil"/>
                  </w:tcBorders>
                  <w:vAlign w:val="center"/>
                </w:tcPr>
                <w:p>
                  <w:pPr>
                    <w:jc w:val="center"/>
                    <w:rPr>
                      <w:szCs w:val="21"/>
                    </w:rPr>
                  </w:pPr>
                  <w:r>
                    <w:rPr>
                      <w:rFonts w:hint="eastAsia"/>
                      <w:szCs w:val="21"/>
                    </w:rPr>
                    <w:t>机加工粉尘</w:t>
                  </w:r>
                </w:p>
              </w:tc>
              <w:tc>
                <w:tcPr>
                  <w:tcW w:w="955" w:type="pct"/>
                  <w:tcBorders>
                    <w:tl2br w:val="nil"/>
                    <w:tr2bl w:val="nil"/>
                  </w:tcBorders>
                  <w:vAlign w:val="center"/>
                </w:tcPr>
                <w:p>
                  <w:pPr>
                    <w:jc w:val="center"/>
                    <w:rPr>
                      <w:szCs w:val="21"/>
                    </w:rPr>
                  </w:pPr>
                  <w:r>
                    <w:rPr>
                      <w:rFonts w:hint="eastAsia"/>
                      <w:szCs w:val="21"/>
                    </w:rPr>
                    <w:t>机加工工序</w:t>
                  </w:r>
                </w:p>
              </w:tc>
              <w:tc>
                <w:tcPr>
                  <w:tcW w:w="1118" w:type="pct"/>
                  <w:tcBorders>
                    <w:tl2br w:val="nil"/>
                    <w:tr2bl w:val="nil"/>
                  </w:tcBorders>
                  <w:vAlign w:val="center"/>
                </w:tcPr>
                <w:p>
                  <w:pPr>
                    <w:jc w:val="center"/>
                    <w:rPr>
                      <w:szCs w:val="21"/>
                    </w:rPr>
                  </w:pPr>
                  <w:r>
                    <w:rPr>
                      <w:rFonts w:hint="eastAsia"/>
                      <w:szCs w:val="21"/>
                    </w:rPr>
                    <w:t>颗粒物</w:t>
                  </w:r>
                </w:p>
              </w:tc>
              <w:tc>
                <w:tcPr>
                  <w:tcW w:w="1520" w:type="pct"/>
                  <w:tcBorders>
                    <w:tl2br w:val="nil"/>
                    <w:tr2bl w:val="nil"/>
                  </w:tcBorders>
                  <w:vAlign w:val="center"/>
                </w:tcPr>
                <w:p>
                  <w:pPr>
                    <w:jc w:val="center"/>
                    <w:rPr>
                      <w:szCs w:val="21"/>
                    </w:rPr>
                  </w:pPr>
                  <w:r>
                    <w:rPr>
                      <w:rFonts w:hint="eastAsia"/>
                      <w:szCs w:val="21"/>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6" w:type="pct"/>
                  <w:vMerge w:val="continue"/>
                  <w:tcBorders>
                    <w:tl2br w:val="nil"/>
                    <w:tr2bl w:val="nil"/>
                  </w:tcBorders>
                  <w:vAlign w:val="center"/>
                </w:tcPr>
                <w:p>
                  <w:pPr>
                    <w:jc w:val="center"/>
                    <w:rPr>
                      <w:szCs w:val="21"/>
                    </w:rPr>
                  </w:pPr>
                </w:p>
              </w:tc>
              <w:tc>
                <w:tcPr>
                  <w:tcW w:w="919" w:type="pct"/>
                  <w:tcBorders>
                    <w:tl2br w:val="nil"/>
                    <w:tr2bl w:val="nil"/>
                  </w:tcBorders>
                  <w:vAlign w:val="center"/>
                </w:tcPr>
                <w:p>
                  <w:pPr>
                    <w:jc w:val="center"/>
                    <w:rPr>
                      <w:szCs w:val="21"/>
                    </w:rPr>
                  </w:pPr>
                  <w:r>
                    <w:rPr>
                      <w:rFonts w:hint="eastAsia"/>
                      <w:szCs w:val="21"/>
                    </w:rPr>
                    <w:t>腻子粉打磨粉尘</w:t>
                  </w:r>
                </w:p>
              </w:tc>
              <w:tc>
                <w:tcPr>
                  <w:tcW w:w="955" w:type="pct"/>
                  <w:tcBorders>
                    <w:tl2br w:val="nil"/>
                    <w:tr2bl w:val="nil"/>
                  </w:tcBorders>
                  <w:vAlign w:val="center"/>
                </w:tcPr>
                <w:p>
                  <w:pPr>
                    <w:jc w:val="center"/>
                    <w:rPr>
                      <w:szCs w:val="21"/>
                    </w:rPr>
                  </w:pPr>
                  <w:r>
                    <w:rPr>
                      <w:rFonts w:hint="eastAsia"/>
                      <w:szCs w:val="21"/>
                    </w:rPr>
                    <w:t>腻子粉打磨工序</w:t>
                  </w:r>
                </w:p>
              </w:tc>
              <w:tc>
                <w:tcPr>
                  <w:tcW w:w="1118" w:type="pct"/>
                  <w:tcBorders>
                    <w:tl2br w:val="nil"/>
                    <w:tr2bl w:val="nil"/>
                  </w:tcBorders>
                  <w:vAlign w:val="center"/>
                </w:tcPr>
                <w:p>
                  <w:pPr>
                    <w:jc w:val="center"/>
                    <w:rPr>
                      <w:szCs w:val="21"/>
                    </w:rPr>
                  </w:pPr>
                  <w:r>
                    <w:rPr>
                      <w:rFonts w:hint="eastAsia"/>
                      <w:szCs w:val="21"/>
                    </w:rPr>
                    <w:t>颗粒物</w:t>
                  </w:r>
                </w:p>
              </w:tc>
              <w:tc>
                <w:tcPr>
                  <w:tcW w:w="1520" w:type="pct"/>
                  <w:tcBorders>
                    <w:tl2br w:val="nil"/>
                    <w:tr2bl w:val="nil"/>
                  </w:tcBorders>
                  <w:vAlign w:val="center"/>
                </w:tcPr>
                <w:p>
                  <w:pPr>
                    <w:jc w:val="center"/>
                    <w:rPr>
                      <w:szCs w:val="21"/>
                    </w:rPr>
                  </w:pPr>
                  <w:r>
                    <w:rPr>
                      <w:rFonts w:hint="eastAsia"/>
                      <w:szCs w:val="21"/>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6" w:type="pct"/>
                  <w:vMerge w:val="continue"/>
                  <w:tcBorders>
                    <w:tl2br w:val="nil"/>
                    <w:tr2bl w:val="nil"/>
                  </w:tcBorders>
                  <w:vAlign w:val="center"/>
                </w:tcPr>
                <w:p>
                  <w:pPr>
                    <w:jc w:val="center"/>
                    <w:rPr>
                      <w:szCs w:val="21"/>
                    </w:rPr>
                  </w:pPr>
                </w:p>
              </w:tc>
              <w:tc>
                <w:tcPr>
                  <w:tcW w:w="919" w:type="pct"/>
                  <w:tcBorders>
                    <w:tl2br w:val="nil"/>
                    <w:tr2bl w:val="nil"/>
                  </w:tcBorders>
                  <w:vAlign w:val="center"/>
                </w:tcPr>
                <w:p>
                  <w:pPr>
                    <w:jc w:val="center"/>
                    <w:rPr>
                      <w:szCs w:val="21"/>
                    </w:rPr>
                  </w:pPr>
                  <w:r>
                    <w:rPr>
                      <w:rFonts w:hint="eastAsia"/>
                      <w:szCs w:val="21"/>
                    </w:rPr>
                    <w:t>喷漆、晾干废气</w:t>
                  </w:r>
                </w:p>
              </w:tc>
              <w:tc>
                <w:tcPr>
                  <w:tcW w:w="955" w:type="pct"/>
                  <w:tcBorders>
                    <w:tl2br w:val="nil"/>
                    <w:tr2bl w:val="nil"/>
                  </w:tcBorders>
                  <w:vAlign w:val="center"/>
                </w:tcPr>
                <w:p>
                  <w:pPr>
                    <w:jc w:val="center"/>
                    <w:rPr>
                      <w:szCs w:val="21"/>
                    </w:rPr>
                  </w:pPr>
                  <w:r>
                    <w:rPr>
                      <w:rFonts w:hint="eastAsia"/>
                      <w:szCs w:val="21"/>
                    </w:rPr>
                    <w:t>喷漆、晾干工序</w:t>
                  </w:r>
                </w:p>
              </w:tc>
              <w:tc>
                <w:tcPr>
                  <w:tcW w:w="1118" w:type="pct"/>
                  <w:tcBorders>
                    <w:tl2br w:val="nil"/>
                    <w:tr2bl w:val="nil"/>
                  </w:tcBorders>
                  <w:vAlign w:val="center"/>
                </w:tcPr>
                <w:p>
                  <w:pPr>
                    <w:jc w:val="center"/>
                    <w:rPr>
                      <w:szCs w:val="21"/>
                    </w:rPr>
                  </w:pPr>
                  <w:r>
                    <w:rPr>
                      <w:rFonts w:hint="eastAsia"/>
                      <w:szCs w:val="21"/>
                    </w:rPr>
                    <w:t>NMHC、苯系物、颗粒物</w:t>
                  </w:r>
                </w:p>
              </w:tc>
              <w:tc>
                <w:tcPr>
                  <w:tcW w:w="1520" w:type="pct"/>
                  <w:tcBorders>
                    <w:tl2br w:val="nil"/>
                    <w:tr2bl w:val="nil"/>
                  </w:tcBorders>
                  <w:vAlign w:val="center"/>
                </w:tcPr>
                <w:p>
                  <w:pPr>
                    <w:jc w:val="center"/>
                    <w:rPr>
                      <w:szCs w:val="21"/>
                    </w:rPr>
                  </w:pPr>
                  <w:r>
                    <w:rPr>
                      <w:rFonts w:hint="eastAsia"/>
                      <w:szCs w:val="21"/>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6" w:type="pct"/>
                  <w:tcBorders>
                    <w:tl2br w:val="nil"/>
                    <w:tr2bl w:val="nil"/>
                  </w:tcBorders>
                  <w:vAlign w:val="center"/>
                </w:tcPr>
                <w:p>
                  <w:pPr>
                    <w:jc w:val="center"/>
                    <w:rPr>
                      <w:szCs w:val="21"/>
                    </w:rPr>
                  </w:pPr>
                  <w:r>
                    <w:rPr>
                      <w:rFonts w:hint="eastAsia"/>
                      <w:szCs w:val="21"/>
                    </w:rPr>
                    <w:t>废水</w:t>
                  </w:r>
                </w:p>
              </w:tc>
              <w:tc>
                <w:tcPr>
                  <w:tcW w:w="919" w:type="pct"/>
                  <w:tcBorders>
                    <w:tl2br w:val="nil"/>
                    <w:tr2bl w:val="nil"/>
                  </w:tcBorders>
                  <w:vAlign w:val="center"/>
                </w:tcPr>
                <w:p>
                  <w:pPr>
                    <w:jc w:val="center"/>
                    <w:rPr>
                      <w:szCs w:val="21"/>
                    </w:rPr>
                  </w:pPr>
                  <w:r>
                    <w:rPr>
                      <w:rFonts w:hint="eastAsia"/>
                      <w:szCs w:val="21"/>
                    </w:rPr>
                    <w:t>生活污水</w:t>
                  </w:r>
                </w:p>
              </w:tc>
              <w:tc>
                <w:tcPr>
                  <w:tcW w:w="955" w:type="pct"/>
                  <w:tcBorders>
                    <w:tl2br w:val="nil"/>
                    <w:tr2bl w:val="nil"/>
                  </w:tcBorders>
                  <w:vAlign w:val="center"/>
                </w:tcPr>
                <w:p>
                  <w:pPr>
                    <w:jc w:val="center"/>
                    <w:rPr>
                      <w:szCs w:val="21"/>
                    </w:rPr>
                  </w:pPr>
                  <w:r>
                    <w:rPr>
                      <w:rFonts w:hint="eastAsia"/>
                      <w:szCs w:val="21"/>
                    </w:rPr>
                    <w:t>员工办公</w:t>
                  </w:r>
                </w:p>
              </w:tc>
              <w:tc>
                <w:tcPr>
                  <w:tcW w:w="1118" w:type="pct"/>
                  <w:tcBorders>
                    <w:tl2br w:val="nil"/>
                    <w:tr2bl w:val="nil"/>
                  </w:tcBorders>
                  <w:vAlign w:val="center"/>
                </w:tcPr>
                <w:p>
                  <w:pPr>
                    <w:jc w:val="center"/>
                    <w:rPr>
                      <w:szCs w:val="21"/>
                    </w:rPr>
                  </w:pPr>
                  <w:r>
                    <w:rPr>
                      <w:szCs w:val="21"/>
                    </w:rPr>
                    <w:t>COD</w:t>
                  </w:r>
                  <w:r>
                    <w:rPr>
                      <w:rFonts w:hint="eastAsia"/>
                      <w:szCs w:val="21"/>
                    </w:rPr>
                    <w:t>、氨氮、SS、TN、TP、动植物油等</w:t>
                  </w:r>
                </w:p>
              </w:tc>
              <w:tc>
                <w:tcPr>
                  <w:tcW w:w="1520" w:type="pct"/>
                  <w:tcBorders>
                    <w:tl2br w:val="nil"/>
                    <w:tr2bl w:val="nil"/>
                  </w:tcBorders>
                  <w:vAlign w:val="center"/>
                </w:tcPr>
                <w:p>
                  <w:pPr>
                    <w:jc w:val="center"/>
                    <w:rPr>
                      <w:szCs w:val="21"/>
                    </w:rPr>
                  </w:pPr>
                  <w:r>
                    <w:rPr>
                      <w:szCs w:val="21"/>
                    </w:rPr>
                    <w:t>经</w:t>
                  </w:r>
                  <w:r>
                    <w:rPr>
                      <w:rFonts w:hint="eastAsia"/>
                      <w:szCs w:val="21"/>
                    </w:rPr>
                    <w:t>化粪池</w:t>
                  </w:r>
                  <w:r>
                    <w:rPr>
                      <w:szCs w:val="21"/>
                    </w:rPr>
                    <w:t>处理后</w:t>
                  </w:r>
                  <w:r>
                    <w:rPr>
                      <w:rFonts w:hint="eastAsia"/>
                      <w:lang w:eastAsia="zh-CN"/>
                    </w:rPr>
                    <w:t>（</w:t>
                  </w:r>
                  <w:r>
                    <w:rPr>
                      <w:rFonts w:hint="eastAsia"/>
                      <w:lang w:val="en-US" w:eastAsia="zh-CN"/>
                    </w:rPr>
                    <w:t>食堂污水先经隔油池处理</w:t>
                  </w:r>
                  <w:r>
                    <w:rPr>
                      <w:rFonts w:hint="eastAsia"/>
                      <w:lang w:eastAsia="zh-CN"/>
                    </w:rPr>
                    <w:t>）</w:t>
                  </w:r>
                  <w:r>
                    <w:rPr>
                      <w:szCs w:val="21"/>
                    </w:rPr>
                    <w:t>进入</w:t>
                  </w:r>
                  <w:r>
                    <w:rPr>
                      <w:rFonts w:hint="eastAsia"/>
                      <w:szCs w:val="21"/>
                    </w:rPr>
                    <w:t>湘阴县第二污水处理厂</w:t>
                  </w:r>
                  <w:r>
                    <w:rPr>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6" w:type="pct"/>
                  <w:tcBorders>
                    <w:tl2br w:val="nil"/>
                    <w:tr2bl w:val="nil"/>
                  </w:tcBorders>
                  <w:vAlign w:val="center"/>
                </w:tcPr>
                <w:p>
                  <w:pPr>
                    <w:jc w:val="center"/>
                    <w:rPr>
                      <w:szCs w:val="21"/>
                    </w:rPr>
                  </w:pPr>
                </w:p>
              </w:tc>
              <w:tc>
                <w:tcPr>
                  <w:tcW w:w="919" w:type="pct"/>
                  <w:tcBorders>
                    <w:tl2br w:val="nil"/>
                    <w:tr2bl w:val="nil"/>
                  </w:tcBorders>
                  <w:vAlign w:val="center"/>
                </w:tcPr>
                <w:p>
                  <w:pPr>
                    <w:jc w:val="center"/>
                    <w:rPr>
                      <w:szCs w:val="21"/>
                    </w:rPr>
                  </w:pPr>
                  <w:r>
                    <w:rPr>
                      <w:rFonts w:hint="eastAsia"/>
                      <w:szCs w:val="21"/>
                    </w:rPr>
                    <w:t>生产废水</w:t>
                  </w:r>
                </w:p>
              </w:tc>
              <w:tc>
                <w:tcPr>
                  <w:tcW w:w="955" w:type="pct"/>
                  <w:tcBorders>
                    <w:tl2br w:val="nil"/>
                    <w:tr2bl w:val="nil"/>
                  </w:tcBorders>
                  <w:vAlign w:val="center"/>
                </w:tcPr>
                <w:p>
                  <w:pPr>
                    <w:jc w:val="center"/>
                    <w:rPr>
                      <w:szCs w:val="21"/>
                    </w:rPr>
                  </w:pPr>
                  <w:r>
                    <w:rPr>
                      <w:rFonts w:hint="eastAsia"/>
                      <w:szCs w:val="21"/>
                    </w:rPr>
                    <w:t>水帘柜用水</w:t>
                  </w:r>
                </w:p>
              </w:tc>
              <w:tc>
                <w:tcPr>
                  <w:tcW w:w="1118" w:type="pct"/>
                  <w:tcBorders>
                    <w:tl2br w:val="nil"/>
                    <w:tr2bl w:val="nil"/>
                  </w:tcBorders>
                  <w:vAlign w:val="center"/>
                </w:tcPr>
                <w:p>
                  <w:pPr>
                    <w:jc w:val="center"/>
                    <w:rPr>
                      <w:szCs w:val="21"/>
                    </w:rPr>
                  </w:pPr>
                  <w:r>
                    <w:rPr>
                      <w:rFonts w:hint="eastAsia"/>
                      <w:szCs w:val="21"/>
                    </w:rPr>
                    <w:t>COD、SS</w:t>
                  </w:r>
                </w:p>
              </w:tc>
              <w:tc>
                <w:tcPr>
                  <w:tcW w:w="1520" w:type="pct"/>
                  <w:tcBorders>
                    <w:tl2br w:val="nil"/>
                    <w:tr2bl w:val="nil"/>
                  </w:tcBorders>
                  <w:vAlign w:val="center"/>
                </w:tcPr>
                <w:p>
                  <w:pPr>
                    <w:jc w:val="center"/>
                    <w:rPr>
                      <w:szCs w:val="21"/>
                    </w:rPr>
                  </w:pPr>
                  <w:r>
                    <w:rPr>
                      <w:rFonts w:hint="eastAsia"/>
                      <w:szCs w:val="21"/>
                    </w:rPr>
                    <w:t>沉淀后循环使用</w:t>
                  </w:r>
                </w:p>
              </w:tc>
            </w:tr>
            <w:bookmarkEnd w:id="6"/>
          </w:tbl>
          <w:p>
            <w:pPr>
              <w:pStyle w:val="115"/>
              <w:ind w:firstLine="0" w:firstLineChars="0"/>
              <w:rPr>
                <w:rFonts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87" w:type="dxa"/>
            <w:vAlign w:val="center"/>
          </w:tcPr>
          <w:p>
            <w:pPr>
              <w:pStyle w:val="28"/>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t>与项目有关的原有环境污染问题</w:t>
            </w:r>
          </w:p>
        </w:tc>
        <w:tc>
          <w:tcPr>
            <w:tcW w:w="8373" w:type="dxa"/>
          </w:tcPr>
          <w:p>
            <w:pPr>
              <w:spacing w:line="360" w:lineRule="auto"/>
              <w:ind w:firstLine="480" w:firstLineChars="200"/>
              <w:rPr>
                <w:sz w:val="24"/>
              </w:rPr>
            </w:pPr>
            <w:r>
              <w:rPr>
                <w:sz w:val="24"/>
              </w:rPr>
              <w:t>与项目有关的原有环境污染问题</w:t>
            </w:r>
          </w:p>
          <w:p>
            <w:pPr>
              <w:spacing w:line="360" w:lineRule="auto"/>
              <w:ind w:firstLine="480" w:firstLineChars="200"/>
              <w:rPr>
                <w:bCs/>
                <w:szCs w:val="21"/>
              </w:rPr>
            </w:pPr>
            <w:r>
              <w:rPr>
                <w:rFonts w:hint="eastAsia"/>
                <w:sz w:val="24"/>
              </w:rPr>
              <w:t>本项目为新建项目，不存在现有环境污染问题。</w:t>
            </w:r>
          </w:p>
        </w:tc>
      </w:tr>
    </w:tbl>
    <w:p>
      <w:pPr>
        <w:pStyle w:val="28"/>
        <w:spacing w:before="0" w:beforeAutospacing="0" w:after="0" w:afterAutospacing="0"/>
        <w:jc w:val="both"/>
        <w:rPr>
          <w:rFonts w:ascii="Times New Roman" w:hAnsi="Times New Roman" w:eastAsia="黑体"/>
          <w:snapToGrid w:val="0"/>
          <w:sz w:val="21"/>
          <w:szCs w:val="21"/>
        </w:rPr>
        <w:sectPr>
          <w:pgSz w:w="11906" w:h="16838"/>
          <w:pgMar w:top="1701" w:right="1531" w:bottom="1701" w:left="1531" w:header="851" w:footer="851" w:gutter="0"/>
          <w:cols w:space="720" w:num="1"/>
          <w:docGrid w:linePitch="312" w:charSpace="0"/>
        </w:sectPr>
      </w:pPr>
    </w:p>
    <w:p>
      <w:pPr>
        <w:pStyle w:val="28"/>
        <w:spacing w:before="120" w:beforeLines="50" w:beforeAutospacing="0" w:after="120" w:afterLines="50" w:afterAutospacing="0"/>
        <w:jc w:val="center"/>
        <w:outlineLvl w:val="0"/>
        <w:rPr>
          <w:rFonts w:ascii="Times New Roman" w:hAnsi="Times New Roman" w:eastAsia="黑体"/>
          <w:snapToGrid w:val="0"/>
          <w:sz w:val="30"/>
          <w:szCs w:val="30"/>
        </w:rPr>
      </w:pPr>
      <w:bookmarkStart w:id="7" w:name="_Toc2071"/>
      <w:r>
        <w:rPr>
          <w:rFonts w:ascii="Times New Roman" w:hAnsi="Times New Roman" w:eastAsia="黑体"/>
          <w:snapToGrid w:val="0"/>
          <w:sz w:val="30"/>
          <w:szCs w:val="30"/>
        </w:rPr>
        <w:t>三、区域环境质量现状、环境保护目标及评价标准</w:t>
      </w:r>
      <w:bookmarkEnd w:id="7"/>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3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723" w:type="dxa"/>
            <w:vAlign w:val="center"/>
          </w:tcPr>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color w:val="0000FF"/>
                <w:kern w:val="0"/>
                <w:szCs w:val="21"/>
              </w:rPr>
            </w:pPr>
            <w:r>
              <w:rPr>
                <w:kern w:val="0"/>
                <w:szCs w:val="21"/>
              </w:rPr>
              <w:t>现状</w:t>
            </w:r>
          </w:p>
        </w:tc>
        <w:tc>
          <w:tcPr>
            <w:tcW w:w="8338" w:type="dxa"/>
            <w:vAlign w:val="center"/>
          </w:tcPr>
          <w:p>
            <w:pPr>
              <w:spacing w:line="360" w:lineRule="auto"/>
              <w:jc w:val="left"/>
              <w:rPr>
                <w:b/>
                <w:bCs/>
                <w:sz w:val="24"/>
              </w:rPr>
            </w:pPr>
            <w:r>
              <w:rPr>
                <w:b/>
                <w:bCs/>
                <w:sz w:val="24"/>
              </w:rPr>
              <w:t>1、大气环境</w:t>
            </w:r>
          </w:p>
          <w:p>
            <w:pPr>
              <w:pStyle w:val="4"/>
              <w:keepNext w:val="0"/>
              <w:keepLines w:val="0"/>
              <w:widowControl w:val="0"/>
              <w:overflowPunct/>
              <w:spacing w:before="0" w:after="0"/>
              <w:ind w:left="0"/>
              <w:rPr>
                <w:color w:val="auto"/>
              </w:rPr>
            </w:pPr>
            <w:r>
              <w:rPr>
                <w:color w:val="auto"/>
              </w:rPr>
              <w:t>1.1</w:t>
            </w:r>
            <w:r>
              <w:rPr>
                <w:rFonts w:hint="eastAsia"/>
                <w:color w:val="auto"/>
              </w:rPr>
              <w:t>、</w:t>
            </w:r>
            <w:r>
              <w:rPr>
                <w:color w:val="auto"/>
              </w:rPr>
              <w:t>基本污染物</w:t>
            </w:r>
          </w:p>
          <w:p>
            <w:pPr>
              <w:adjustRightInd w:val="0"/>
              <w:snapToGrid w:val="0"/>
              <w:spacing w:line="360" w:lineRule="auto"/>
              <w:ind w:firstLine="482"/>
              <w:rPr>
                <w:sz w:val="24"/>
              </w:rPr>
            </w:pPr>
            <w:r>
              <w:rPr>
                <w:sz w:val="24"/>
              </w:rPr>
              <w:t>根据《环境影响评价技术导则—大气环境》（HJ2.2-2018），项目所在区域达标情况判定优先采用国家或地方生态环境主管部门公开发布的环境质量公告或环境质量报告中的数据或结论。</w:t>
            </w:r>
          </w:p>
          <w:p>
            <w:pPr>
              <w:adjustRightInd w:val="0"/>
              <w:snapToGrid w:val="0"/>
              <w:spacing w:line="360" w:lineRule="auto"/>
              <w:ind w:firstLine="482"/>
              <w:rPr>
                <w:sz w:val="24"/>
              </w:rPr>
            </w:pPr>
            <w:r>
              <w:rPr>
                <w:rFonts w:hint="eastAsia"/>
                <w:sz w:val="24"/>
              </w:rPr>
              <w:t>本项目所在区域达标判定数据来源于岳阳市生态环境局发布的《</w:t>
            </w:r>
            <w:r>
              <w:rPr>
                <w:rFonts w:ascii="宋体" w:hAnsi="宋体" w:cs="宋体"/>
                <w:sz w:val="24"/>
              </w:rPr>
              <w:t>岳阳</w:t>
            </w:r>
            <w:r>
              <w:rPr>
                <w:sz w:val="24"/>
              </w:rPr>
              <w:t>市202</w:t>
            </w:r>
            <w:r>
              <w:rPr>
                <w:rFonts w:hint="eastAsia"/>
                <w:sz w:val="24"/>
              </w:rPr>
              <w:t>4</w:t>
            </w:r>
            <w:r>
              <w:rPr>
                <w:sz w:val="24"/>
              </w:rPr>
              <w:t>年度生</w:t>
            </w:r>
            <w:r>
              <w:rPr>
                <w:rFonts w:ascii="宋体" w:hAnsi="宋体" w:cs="宋体"/>
                <w:sz w:val="24"/>
              </w:rPr>
              <w:t>态环境质量公报</w:t>
            </w:r>
            <w:r>
              <w:rPr>
                <w:rFonts w:hint="eastAsia"/>
                <w:sz w:val="24"/>
              </w:rPr>
              <w:t>》中关于湘阴县的环境空气质量现状数据，具体数据分析见下表：</w:t>
            </w:r>
          </w:p>
          <w:p>
            <w:pPr>
              <w:jc w:val="center"/>
              <w:rPr>
                <w:b/>
                <w:szCs w:val="21"/>
              </w:rPr>
            </w:pPr>
            <w:r>
              <w:rPr>
                <w:b/>
                <w:szCs w:val="21"/>
              </w:rPr>
              <w:t>表</w:t>
            </w:r>
            <w:r>
              <w:rPr>
                <w:rFonts w:hint="eastAsia"/>
                <w:b/>
                <w:szCs w:val="21"/>
              </w:rPr>
              <w:t xml:space="preserve">3-1 </w:t>
            </w:r>
            <w:r>
              <w:rPr>
                <w:b/>
                <w:szCs w:val="21"/>
              </w:rPr>
              <w:t xml:space="preserve">  </w:t>
            </w:r>
            <w:r>
              <w:rPr>
                <w:rFonts w:hint="eastAsia"/>
                <w:b/>
                <w:szCs w:val="21"/>
              </w:rPr>
              <w:t>2024年湘阴县</w:t>
            </w:r>
            <w:r>
              <w:rPr>
                <w:b/>
                <w:szCs w:val="21"/>
              </w:rPr>
              <w:t>空气质量现状评价表</w:t>
            </w:r>
          </w:p>
          <w:tbl>
            <w:tblPr>
              <w:tblStyle w:val="33"/>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2205"/>
              <w:gridCol w:w="1155"/>
              <w:gridCol w:w="990"/>
              <w:gridCol w:w="118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vAlign w:val="center"/>
                </w:tcPr>
                <w:p>
                  <w:pPr>
                    <w:spacing w:before="24" w:beforeLines="10" w:after="24" w:afterLines="10"/>
                    <w:jc w:val="center"/>
                    <w:rPr>
                      <w:b/>
                      <w:bCs/>
                      <w:szCs w:val="21"/>
                    </w:rPr>
                  </w:pPr>
                  <w:r>
                    <w:rPr>
                      <w:b/>
                      <w:bCs/>
                      <w:szCs w:val="21"/>
                    </w:rPr>
                    <w:t>污染物</w:t>
                  </w:r>
                </w:p>
              </w:tc>
              <w:tc>
                <w:tcPr>
                  <w:tcW w:w="2205" w:type="dxa"/>
                  <w:tcBorders>
                    <w:tl2br w:val="nil"/>
                    <w:tr2bl w:val="nil"/>
                  </w:tcBorders>
                  <w:vAlign w:val="center"/>
                </w:tcPr>
                <w:p>
                  <w:pPr>
                    <w:spacing w:before="24" w:beforeLines="10" w:after="24" w:afterLines="10"/>
                    <w:jc w:val="center"/>
                    <w:rPr>
                      <w:b/>
                      <w:bCs/>
                      <w:szCs w:val="21"/>
                    </w:rPr>
                  </w:pPr>
                  <w:r>
                    <w:rPr>
                      <w:b/>
                      <w:bCs/>
                      <w:szCs w:val="21"/>
                    </w:rPr>
                    <w:t>年评价指标</w:t>
                  </w:r>
                </w:p>
              </w:tc>
              <w:tc>
                <w:tcPr>
                  <w:tcW w:w="1155" w:type="dxa"/>
                  <w:tcBorders>
                    <w:tl2br w:val="nil"/>
                    <w:tr2bl w:val="nil"/>
                  </w:tcBorders>
                  <w:vAlign w:val="center"/>
                </w:tcPr>
                <w:p>
                  <w:pPr>
                    <w:spacing w:before="24" w:beforeLines="10" w:after="24" w:afterLines="10"/>
                    <w:jc w:val="center"/>
                    <w:rPr>
                      <w:b/>
                      <w:bCs/>
                      <w:szCs w:val="21"/>
                    </w:rPr>
                  </w:pPr>
                  <w:r>
                    <w:rPr>
                      <w:b/>
                      <w:bCs/>
                      <w:szCs w:val="21"/>
                    </w:rPr>
                    <w:t>现状浓度</w:t>
                  </w:r>
                </w:p>
              </w:tc>
              <w:tc>
                <w:tcPr>
                  <w:tcW w:w="990" w:type="dxa"/>
                  <w:tcBorders>
                    <w:tl2br w:val="nil"/>
                    <w:tr2bl w:val="nil"/>
                  </w:tcBorders>
                  <w:vAlign w:val="center"/>
                </w:tcPr>
                <w:p>
                  <w:pPr>
                    <w:spacing w:before="24" w:beforeLines="10" w:after="24" w:afterLines="10"/>
                    <w:jc w:val="center"/>
                    <w:rPr>
                      <w:b/>
                      <w:bCs/>
                      <w:szCs w:val="21"/>
                    </w:rPr>
                  </w:pPr>
                  <w:r>
                    <w:rPr>
                      <w:b/>
                      <w:bCs/>
                      <w:szCs w:val="21"/>
                    </w:rPr>
                    <w:t>标准值</w:t>
                  </w:r>
                </w:p>
              </w:tc>
              <w:tc>
                <w:tcPr>
                  <w:tcW w:w="1185" w:type="dxa"/>
                  <w:tcBorders>
                    <w:tl2br w:val="nil"/>
                    <w:tr2bl w:val="nil"/>
                  </w:tcBorders>
                  <w:vAlign w:val="center"/>
                </w:tcPr>
                <w:p>
                  <w:pPr>
                    <w:spacing w:before="24" w:beforeLines="10" w:after="24" w:afterLines="10"/>
                    <w:jc w:val="center"/>
                    <w:rPr>
                      <w:b/>
                      <w:bCs/>
                      <w:szCs w:val="21"/>
                    </w:rPr>
                  </w:pPr>
                  <w:r>
                    <w:rPr>
                      <w:b/>
                      <w:bCs/>
                      <w:szCs w:val="21"/>
                    </w:rPr>
                    <w:t>占标率%</w:t>
                  </w:r>
                </w:p>
              </w:tc>
              <w:tc>
                <w:tcPr>
                  <w:tcW w:w="1105" w:type="dxa"/>
                  <w:tcBorders>
                    <w:tl2br w:val="nil"/>
                    <w:tr2bl w:val="nil"/>
                  </w:tcBorders>
                  <w:vAlign w:val="center"/>
                </w:tcPr>
                <w:p>
                  <w:pPr>
                    <w:spacing w:before="24" w:beforeLines="10" w:after="24" w:afterLines="10"/>
                    <w:jc w:val="center"/>
                    <w:rPr>
                      <w:b/>
                      <w:bCs/>
                      <w:szCs w:val="21"/>
                    </w:rPr>
                  </w:pPr>
                  <w:r>
                    <w:rPr>
                      <w:b/>
                      <w:bCs/>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vAlign w:val="center"/>
                </w:tcPr>
                <w:p>
                  <w:pPr>
                    <w:spacing w:before="24" w:beforeLines="10" w:after="24" w:afterLines="10"/>
                    <w:jc w:val="center"/>
                    <w:rPr>
                      <w:szCs w:val="21"/>
                    </w:rPr>
                  </w:pPr>
                  <w:r>
                    <w:rPr>
                      <w:szCs w:val="21"/>
                    </w:rPr>
                    <w:t>SO</w:t>
                  </w:r>
                  <w:r>
                    <w:rPr>
                      <w:szCs w:val="21"/>
                      <w:vertAlign w:val="subscript"/>
                    </w:rPr>
                    <w:t>2</w:t>
                  </w:r>
                  <w:r>
                    <w:rPr>
                      <w:szCs w:val="21"/>
                    </w:rPr>
                    <w:t>（μg/m</w:t>
                  </w:r>
                  <w:r>
                    <w:rPr>
                      <w:szCs w:val="21"/>
                      <w:vertAlign w:val="superscript"/>
                    </w:rPr>
                    <w:t>3</w:t>
                  </w:r>
                  <w:r>
                    <w:rPr>
                      <w:szCs w:val="21"/>
                    </w:rPr>
                    <w:t>）</w:t>
                  </w:r>
                </w:p>
              </w:tc>
              <w:tc>
                <w:tcPr>
                  <w:tcW w:w="2205" w:type="dxa"/>
                  <w:tcBorders>
                    <w:tl2br w:val="nil"/>
                    <w:tr2bl w:val="nil"/>
                  </w:tcBorders>
                  <w:vAlign w:val="center"/>
                </w:tcPr>
                <w:p>
                  <w:pPr>
                    <w:spacing w:before="24" w:beforeLines="10" w:after="24" w:afterLines="10"/>
                    <w:jc w:val="center"/>
                    <w:rPr>
                      <w:szCs w:val="21"/>
                    </w:rPr>
                  </w:pPr>
                  <w:r>
                    <w:rPr>
                      <w:szCs w:val="21"/>
                    </w:rPr>
                    <w:t>年平均质量浓度</w:t>
                  </w:r>
                </w:p>
              </w:tc>
              <w:tc>
                <w:tcPr>
                  <w:tcW w:w="1155" w:type="dxa"/>
                  <w:tcBorders>
                    <w:tl2br w:val="nil"/>
                    <w:tr2bl w:val="nil"/>
                  </w:tcBorders>
                  <w:vAlign w:val="center"/>
                </w:tcPr>
                <w:p>
                  <w:pPr>
                    <w:spacing w:before="24" w:beforeLines="10" w:after="24" w:afterLines="10"/>
                    <w:jc w:val="center"/>
                    <w:rPr>
                      <w:szCs w:val="21"/>
                    </w:rPr>
                  </w:pPr>
                  <w:r>
                    <w:rPr>
                      <w:rFonts w:hint="eastAsia"/>
                      <w:szCs w:val="21"/>
                    </w:rPr>
                    <w:t>6</w:t>
                  </w:r>
                </w:p>
              </w:tc>
              <w:tc>
                <w:tcPr>
                  <w:tcW w:w="990" w:type="dxa"/>
                  <w:tcBorders>
                    <w:tl2br w:val="nil"/>
                    <w:tr2bl w:val="nil"/>
                  </w:tcBorders>
                  <w:vAlign w:val="center"/>
                </w:tcPr>
                <w:p>
                  <w:pPr>
                    <w:spacing w:before="24" w:beforeLines="10" w:after="24" w:afterLines="10"/>
                    <w:jc w:val="center"/>
                    <w:rPr>
                      <w:szCs w:val="21"/>
                    </w:rPr>
                  </w:pPr>
                  <w:r>
                    <w:rPr>
                      <w:rFonts w:hint="eastAsia"/>
                      <w:szCs w:val="21"/>
                    </w:rPr>
                    <w:t>60</w:t>
                  </w:r>
                </w:p>
              </w:tc>
              <w:tc>
                <w:tcPr>
                  <w:tcW w:w="1185" w:type="dxa"/>
                  <w:tcBorders>
                    <w:tl2br w:val="nil"/>
                    <w:tr2bl w:val="nil"/>
                  </w:tcBorders>
                  <w:vAlign w:val="center"/>
                </w:tcPr>
                <w:p>
                  <w:pPr>
                    <w:spacing w:before="24" w:beforeLines="10" w:after="24" w:afterLines="10"/>
                    <w:jc w:val="center"/>
                    <w:rPr>
                      <w:szCs w:val="21"/>
                    </w:rPr>
                  </w:pPr>
                  <w:r>
                    <w:rPr>
                      <w:rFonts w:hint="eastAsia"/>
                      <w:szCs w:val="21"/>
                    </w:rPr>
                    <w:t>10</w:t>
                  </w:r>
                </w:p>
              </w:tc>
              <w:tc>
                <w:tcPr>
                  <w:tcW w:w="1105" w:type="dxa"/>
                  <w:tcBorders>
                    <w:tl2br w:val="nil"/>
                    <w:tr2bl w:val="nil"/>
                  </w:tcBorders>
                  <w:vAlign w:val="center"/>
                </w:tcPr>
                <w:p>
                  <w:pPr>
                    <w:spacing w:before="24" w:beforeLines="10" w:after="24" w:afterLines="1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vAlign w:val="center"/>
                </w:tcPr>
                <w:p>
                  <w:pPr>
                    <w:spacing w:before="24" w:beforeLines="10" w:after="24" w:afterLines="10"/>
                    <w:jc w:val="center"/>
                    <w:rPr>
                      <w:szCs w:val="21"/>
                    </w:rPr>
                  </w:pPr>
                  <w:r>
                    <w:rPr>
                      <w:szCs w:val="21"/>
                    </w:rPr>
                    <w:t>NO</w:t>
                  </w:r>
                  <w:r>
                    <w:rPr>
                      <w:szCs w:val="21"/>
                      <w:vertAlign w:val="subscript"/>
                    </w:rPr>
                    <w:t>2</w:t>
                  </w:r>
                  <w:r>
                    <w:rPr>
                      <w:szCs w:val="21"/>
                    </w:rPr>
                    <w:t>（μg/m</w:t>
                  </w:r>
                  <w:r>
                    <w:rPr>
                      <w:szCs w:val="21"/>
                      <w:vertAlign w:val="superscript"/>
                    </w:rPr>
                    <w:t>3</w:t>
                  </w:r>
                  <w:r>
                    <w:rPr>
                      <w:szCs w:val="21"/>
                    </w:rPr>
                    <w:t>）</w:t>
                  </w:r>
                </w:p>
              </w:tc>
              <w:tc>
                <w:tcPr>
                  <w:tcW w:w="2205" w:type="dxa"/>
                  <w:tcBorders>
                    <w:tl2br w:val="nil"/>
                    <w:tr2bl w:val="nil"/>
                  </w:tcBorders>
                  <w:vAlign w:val="center"/>
                </w:tcPr>
                <w:p>
                  <w:pPr>
                    <w:spacing w:before="24" w:beforeLines="10" w:after="24" w:afterLines="10"/>
                    <w:jc w:val="center"/>
                    <w:rPr>
                      <w:szCs w:val="21"/>
                    </w:rPr>
                  </w:pPr>
                  <w:r>
                    <w:rPr>
                      <w:szCs w:val="21"/>
                    </w:rPr>
                    <w:t>年平均质量浓度</w:t>
                  </w:r>
                </w:p>
              </w:tc>
              <w:tc>
                <w:tcPr>
                  <w:tcW w:w="1155" w:type="dxa"/>
                  <w:tcBorders>
                    <w:tl2br w:val="nil"/>
                    <w:tr2bl w:val="nil"/>
                  </w:tcBorders>
                  <w:vAlign w:val="center"/>
                </w:tcPr>
                <w:p>
                  <w:pPr>
                    <w:spacing w:before="24" w:beforeLines="10" w:after="24" w:afterLines="10"/>
                    <w:jc w:val="center"/>
                    <w:rPr>
                      <w:szCs w:val="21"/>
                    </w:rPr>
                  </w:pPr>
                  <w:r>
                    <w:rPr>
                      <w:rFonts w:hint="eastAsia"/>
                      <w:szCs w:val="21"/>
                    </w:rPr>
                    <w:t>14</w:t>
                  </w:r>
                </w:p>
              </w:tc>
              <w:tc>
                <w:tcPr>
                  <w:tcW w:w="990" w:type="dxa"/>
                  <w:tcBorders>
                    <w:tl2br w:val="nil"/>
                    <w:tr2bl w:val="nil"/>
                  </w:tcBorders>
                  <w:vAlign w:val="center"/>
                </w:tcPr>
                <w:p>
                  <w:pPr>
                    <w:spacing w:before="24" w:beforeLines="10" w:after="24" w:afterLines="10"/>
                    <w:jc w:val="center"/>
                    <w:rPr>
                      <w:szCs w:val="21"/>
                    </w:rPr>
                  </w:pPr>
                  <w:r>
                    <w:rPr>
                      <w:rFonts w:hint="eastAsia"/>
                      <w:szCs w:val="21"/>
                    </w:rPr>
                    <w:t>40</w:t>
                  </w:r>
                </w:p>
              </w:tc>
              <w:tc>
                <w:tcPr>
                  <w:tcW w:w="1185" w:type="dxa"/>
                  <w:tcBorders>
                    <w:tl2br w:val="nil"/>
                    <w:tr2bl w:val="nil"/>
                  </w:tcBorders>
                  <w:vAlign w:val="center"/>
                </w:tcPr>
                <w:p>
                  <w:pPr>
                    <w:spacing w:before="24" w:beforeLines="10" w:after="24" w:afterLines="10"/>
                    <w:jc w:val="center"/>
                    <w:rPr>
                      <w:szCs w:val="21"/>
                    </w:rPr>
                  </w:pPr>
                  <w:r>
                    <w:rPr>
                      <w:rFonts w:hint="eastAsia"/>
                      <w:szCs w:val="21"/>
                    </w:rPr>
                    <w:t>35</w:t>
                  </w:r>
                </w:p>
              </w:tc>
              <w:tc>
                <w:tcPr>
                  <w:tcW w:w="1105" w:type="dxa"/>
                  <w:tcBorders>
                    <w:tl2br w:val="nil"/>
                    <w:tr2bl w:val="nil"/>
                  </w:tcBorders>
                  <w:vAlign w:val="center"/>
                </w:tcPr>
                <w:p>
                  <w:pPr>
                    <w:spacing w:before="24" w:beforeLines="10" w:after="24" w:afterLines="1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vAlign w:val="center"/>
                </w:tcPr>
                <w:p>
                  <w:pPr>
                    <w:spacing w:before="24" w:beforeLines="10" w:after="24" w:afterLines="10"/>
                    <w:jc w:val="center"/>
                    <w:rPr>
                      <w:szCs w:val="21"/>
                    </w:rPr>
                  </w:pPr>
                  <w:r>
                    <w:rPr>
                      <w:szCs w:val="21"/>
                    </w:rPr>
                    <w:t>PM</w:t>
                  </w:r>
                  <w:r>
                    <w:rPr>
                      <w:szCs w:val="21"/>
                      <w:vertAlign w:val="subscript"/>
                    </w:rPr>
                    <w:t>10</w:t>
                  </w:r>
                  <w:r>
                    <w:rPr>
                      <w:szCs w:val="21"/>
                    </w:rPr>
                    <w:t>（μg/m</w:t>
                  </w:r>
                  <w:r>
                    <w:rPr>
                      <w:szCs w:val="21"/>
                      <w:vertAlign w:val="superscript"/>
                    </w:rPr>
                    <w:t>3</w:t>
                  </w:r>
                  <w:r>
                    <w:rPr>
                      <w:szCs w:val="21"/>
                    </w:rPr>
                    <w:t>）</w:t>
                  </w:r>
                </w:p>
              </w:tc>
              <w:tc>
                <w:tcPr>
                  <w:tcW w:w="2205" w:type="dxa"/>
                  <w:tcBorders>
                    <w:tl2br w:val="nil"/>
                    <w:tr2bl w:val="nil"/>
                  </w:tcBorders>
                  <w:vAlign w:val="center"/>
                </w:tcPr>
                <w:p>
                  <w:pPr>
                    <w:spacing w:before="24" w:beforeLines="10" w:after="24" w:afterLines="10"/>
                    <w:jc w:val="center"/>
                    <w:rPr>
                      <w:szCs w:val="21"/>
                    </w:rPr>
                  </w:pPr>
                  <w:r>
                    <w:rPr>
                      <w:szCs w:val="21"/>
                    </w:rPr>
                    <w:t>年平均质量浓度</w:t>
                  </w:r>
                </w:p>
              </w:tc>
              <w:tc>
                <w:tcPr>
                  <w:tcW w:w="1155" w:type="dxa"/>
                  <w:tcBorders>
                    <w:tl2br w:val="nil"/>
                    <w:tr2bl w:val="nil"/>
                  </w:tcBorders>
                  <w:vAlign w:val="center"/>
                </w:tcPr>
                <w:p>
                  <w:pPr>
                    <w:spacing w:before="24" w:beforeLines="10" w:after="24" w:afterLines="10"/>
                    <w:jc w:val="center"/>
                    <w:rPr>
                      <w:szCs w:val="21"/>
                    </w:rPr>
                  </w:pPr>
                  <w:r>
                    <w:rPr>
                      <w:rFonts w:hint="eastAsia"/>
                      <w:szCs w:val="21"/>
                    </w:rPr>
                    <w:t>43</w:t>
                  </w:r>
                </w:p>
              </w:tc>
              <w:tc>
                <w:tcPr>
                  <w:tcW w:w="990" w:type="dxa"/>
                  <w:tcBorders>
                    <w:tl2br w:val="nil"/>
                    <w:tr2bl w:val="nil"/>
                  </w:tcBorders>
                  <w:vAlign w:val="center"/>
                </w:tcPr>
                <w:p>
                  <w:pPr>
                    <w:spacing w:before="24" w:beforeLines="10" w:after="24" w:afterLines="10"/>
                    <w:jc w:val="center"/>
                    <w:rPr>
                      <w:szCs w:val="21"/>
                    </w:rPr>
                  </w:pPr>
                  <w:r>
                    <w:rPr>
                      <w:rFonts w:hint="eastAsia"/>
                      <w:szCs w:val="21"/>
                    </w:rPr>
                    <w:t>70</w:t>
                  </w:r>
                </w:p>
              </w:tc>
              <w:tc>
                <w:tcPr>
                  <w:tcW w:w="1185" w:type="dxa"/>
                  <w:tcBorders>
                    <w:tl2br w:val="nil"/>
                    <w:tr2bl w:val="nil"/>
                  </w:tcBorders>
                  <w:vAlign w:val="center"/>
                </w:tcPr>
                <w:p>
                  <w:pPr>
                    <w:spacing w:before="24" w:beforeLines="10" w:after="24" w:afterLines="10"/>
                    <w:jc w:val="center"/>
                    <w:rPr>
                      <w:szCs w:val="21"/>
                    </w:rPr>
                  </w:pPr>
                  <w:r>
                    <w:rPr>
                      <w:rFonts w:hint="eastAsia"/>
                      <w:szCs w:val="21"/>
                    </w:rPr>
                    <w:t>61.4</w:t>
                  </w:r>
                </w:p>
              </w:tc>
              <w:tc>
                <w:tcPr>
                  <w:tcW w:w="1105" w:type="dxa"/>
                  <w:tcBorders>
                    <w:tl2br w:val="nil"/>
                    <w:tr2bl w:val="nil"/>
                  </w:tcBorders>
                  <w:vAlign w:val="center"/>
                </w:tcPr>
                <w:p>
                  <w:pPr>
                    <w:spacing w:before="24" w:beforeLines="10" w:after="24" w:afterLines="1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vAlign w:val="center"/>
                </w:tcPr>
                <w:p>
                  <w:pPr>
                    <w:spacing w:before="24" w:beforeLines="10" w:after="24" w:afterLines="10"/>
                    <w:jc w:val="center"/>
                    <w:rPr>
                      <w:szCs w:val="21"/>
                    </w:rPr>
                  </w:pPr>
                  <w:r>
                    <w:rPr>
                      <w:szCs w:val="21"/>
                    </w:rPr>
                    <w:t>PM</w:t>
                  </w:r>
                  <w:r>
                    <w:rPr>
                      <w:szCs w:val="21"/>
                      <w:vertAlign w:val="subscript"/>
                    </w:rPr>
                    <w:t>2.5</w:t>
                  </w:r>
                  <w:r>
                    <w:rPr>
                      <w:szCs w:val="21"/>
                    </w:rPr>
                    <w:t>（μg/m</w:t>
                  </w:r>
                  <w:r>
                    <w:rPr>
                      <w:szCs w:val="21"/>
                      <w:vertAlign w:val="superscript"/>
                    </w:rPr>
                    <w:t>3</w:t>
                  </w:r>
                  <w:r>
                    <w:rPr>
                      <w:szCs w:val="21"/>
                    </w:rPr>
                    <w:t>）</w:t>
                  </w:r>
                </w:p>
              </w:tc>
              <w:tc>
                <w:tcPr>
                  <w:tcW w:w="2205" w:type="dxa"/>
                  <w:tcBorders>
                    <w:tl2br w:val="nil"/>
                    <w:tr2bl w:val="nil"/>
                  </w:tcBorders>
                  <w:vAlign w:val="center"/>
                </w:tcPr>
                <w:p>
                  <w:pPr>
                    <w:spacing w:before="24" w:beforeLines="10" w:after="24" w:afterLines="10"/>
                    <w:jc w:val="center"/>
                    <w:rPr>
                      <w:szCs w:val="21"/>
                    </w:rPr>
                  </w:pPr>
                  <w:r>
                    <w:rPr>
                      <w:szCs w:val="21"/>
                    </w:rPr>
                    <w:t>年平均质量浓度</w:t>
                  </w:r>
                </w:p>
              </w:tc>
              <w:tc>
                <w:tcPr>
                  <w:tcW w:w="1155" w:type="dxa"/>
                  <w:tcBorders>
                    <w:tl2br w:val="nil"/>
                    <w:tr2bl w:val="nil"/>
                  </w:tcBorders>
                  <w:vAlign w:val="center"/>
                </w:tcPr>
                <w:p>
                  <w:pPr>
                    <w:spacing w:before="24" w:beforeLines="10" w:after="24" w:afterLines="10"/>
                    <w:jc w:val="center"/>
                    <w:rPr>
                      <w:szCs w:val="21"/>
                    </w:rPr>
                  </w:pPr>
                  <w:r>
                    <w:rPr>
                      <w:rFonts w:hint="eastAsia"/>
                      <w:szCs w:val="21"/>
                    </w:rPr>
                    <w:t>34</w:t>
                  </w:r>
                </w:p>
              </w:tc>
              <w:tc>
                <w:tcPr>
                  <w:tcW w:w="990" w:type="dxa"/>
                  <w:tcBorders>
                    <w:tl2br w:val="nil"/>
                    <w:tr2bl w:val="nil"/>
                  </w:tcBorders>
                  <w:vAlign w:val="center"/>
                </w:tcPr>
                <w:p>
                  <w:pPr>
                    <w:spacing w:before="24" w:beforeLines="10" w:after="24" w:afterLines="10"/>
                    <w:jc w:val="center"/>
                    <w:rPr>
                      <w:szCs w:val="21"/>
                    </w:rPr>
                  </w:pPr>
                  <w:r>
                    <w:rPr>
                      <w:rFonts w:hint="eastAsia"/>
                      <w:szCs w:val="21"/>
                    </w:rPr>
                    <w:t>35</w:t>
                  </w:r>
                </w:p>
              </w:tc>
              <w:tc>
                <w:tcPr>
                  <w:tcW w:w="1185" w:type="dxa"/>
                  <w:tcBorders>
                    <w:tl2br w:val="nil"/>
                    <w:tr2bl w:val="nil"/>
                  </w:tcBorders>
                  <w:vAlign w:val="center"/>
                </w:tcPr>
                <w:p>
                  <w:pPr>
                    <w:spacing w:before="24" w:beforeLines="10" w:after="24" w:afterLines="10"/>
                    <w:jc w:val="center"/>
                    <w:rPr>
                      <w:szCs w:val="21"/>
                    </w:rPr>
                  </w:pPr>
                  <w:r>
                    <w:rPr>
                      <w:rFonts w:hint="eastAsia"/>
                      <w:szCs w:val="21"/>
                    </w:rPr>
                    <w:t>97.1</w:t>
                  </w:r>
                </w:p>
              </w:tc>
              <w:tc>
                <w:tcPr>
                  <w:tcW w:w="1105" w:type="dxa"/>
                  <w:tcBorders>
                    <w:tl2br w:val="nil"/>
                    <w:tr2bl w:val="nil"/>
                  </w:tcBorders>
                  <w:vAlign w:val="center"/>
                </w:tcPr>
                <w:p>
                  <w:pPr>
                    <w:spacing w:before="24" w:beforeLines="10" w:after="24" w:afterLines="1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vAlign w:val="center"/>
                </w:tcPr>
                <w:p>
                  <w:pPr>
                    <w:spacing w:before="24" w:beforeLines="10" w:after="24" w:afterLines="10"/>
                    <w:jc w:val="center"/>
                    <w:rPr>
                      <w:szCs w:val="21"/>
                    </w:rPr>
                  </w:pPr>
                  <w:r>
                    <w:rPr>
                      <w:szCs w:val="21"/>
                    </w:rPr>
                    <w:t>CO（</w:t>
                  </w:r>
                  <w:r>
                    <w:rPr>
                      <w:rFonts w:hint="eastAsia"/>
                      <w:szCs w:val="21"/>
                    </w:rPr>
                    <w:t>m</w:t>
                  </w:r>
                  <w:r>
                    <w:rPr>
                      <w:szCs w:val="21"/>
                    </w:rPr>
                    <w:t>g/m</w:t>
                  </w:r>
                  <w:r>
                    <w:rPr>
                      <w:szCs w:val="21"/>
                      <w:vertAlign w:val="superscript"/>
                    </w:rPr>
                    <w:t>3</w:t>
                  </w:r>
                  <w:r>
                    <w:rPr>
                      <w:szCs w:val="21"/>
                    </w:rPr>
                    <w:t>）</w:t>
                  </w:r>
                </w:p>
              </w:tc>
              <w:tc>
                <w:tcPr>
                  <w:tcW w:w="2205" w:type="dxa"/>
                  <w:tcBorders>
                    <w:tl2br w:val="nil"/>
                    <w:tr2bl w:val="nil"/>
                  </w:tcBorders>
                  <w:vAlign w:val="center"/>
                </w:tcPr>
                <w:p>
                  <w:pPr>
                    <w:spacing w:before="24" w:beforeLines="10" w:after="24" w:afterLines="10"/>
                    <w:jc w:val="center"/>
                    <w:rPr>
                      <w:szCs w:val="21"/>
                    </w:rPr>
                  </w:pPr>
                  <w:r>
                    <w:rPr>
                      <w:szCs w:val="21"/>
                    </w:rPr>
                    <w:t>95%日平均质量浓度</w:t>
                  </w:r>
                </w:p>
              </w:tc>
              <w:tc>
                <w:tcPr>
                  <w:tcW w:w="1155" w:type="dxa"/>
                  <w:tcBorders>
                    <w:tl2br w:val="nil"/>
                    <w:tr2bl w:val="nil"/>
                  </w:tcBorders>
                  <w:vAlign w:val="center"/>
                </w:tcPr>
                <w:p>
                  <w:pPr>
                    <w:spacing w:before="24" w:beforeLines="10" w:after="24" w:afterLines="10"/>
                    <w:jc w:val="center"/>
                    <w:rPr>
                      <w:szCs w:val="21"/>
                    </w:rPr>
                  </w:pPr>
                  <w:r>
                    <w:rPr>
                      <w:rFonts w:hint="eastAsia"/>
                      <w:szCs w:val="21"/>
                    </w:rPr>
                    <w:t>1.0</w:t>
                  </w:r>
                </w:p>
              </w:tc>
              <w:tc>
                <w:tcPr>
                  <w:tcW w:w="990" w:type="dxa"/>
                  <w:tcBorders>
                    <w:tl2br w:val="nil"/>
                    <w:tr2bl w:val="nil"/>
                  </w:tcBorders>
                  <w:vAlign w:val="center"/>
                </w:tcPr>
                <w:p>
                  <w:pPr>
                    <w:spacing w:before="24" w:beforeLines="10" w:after="24" w:afterLines="10"/>
                    <w:jc w:val="center"/>
                    <w:rPr>
                      <w:szCs w:val="21"/>
                    </w:rPr>
                  </w:pPr>
                  <w:r>
                    <w:rPr>
                      <w:rFonts w:hint="eastAsia"/>
                      <w:szCs w:val="21"/>
                    </w:rPr>
                    <w:t>4.0</w:t>
                  </w:r>
                </w:p>
              </w:tc>
              <w:tc>
                <w:tcPr>
                  <w:tcW w:w="1185" w:type="dxa"/>
                  <w:tcBorders>
                    <w:tl2br w:val="nil"/>
                    <w:tr2bl w:val="nil"/>
                  </w:tcBorders>
                  <w:vAlign w:val="center"/>
                </w:tcPr>
                <w:p>
                  <w:pPr>
                    <w:spacing w:before="24" w:beforeLines="10" w:after="24" w:afterLines="10"/>
                    <w:jc w:val="center"/>
                    <w:rPr>
                      <w:szCs w:val="21"/>
                    </w:rPr>
                  </w:pPr>
                  <w:r>
                    <w:rPr>
                      <w:rFonts w:hint="eastAsia"/>
                      <w:szCs w:val="21"/>
                    </w:rPr>
                    <w:t>25</w:t>
                  </w:r>
                </w:p>
              </w:tc>
              <w:tc>
                <w:tcPr>
                  <w:tcW w:w="1105" w:type="dxa"/>
                  <w:tcBorders>
                    <w:tl2br w:val="nil"/>
                    <w:tr2bl w:val="nil"/>
                  </w:tcBorders>
                  <w:vAlign w:val="center"/>
                </w:tcPr>
                <w:p>
                  <w:pPr>
                    <w:spacing w:before="24" w:beforeLines="10" w:after="24" w:afterLines="1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7" w:type="dxa"/>
                  <w:tcBorders>
                    <w:tl2br w:val="nil"/>
                    <w:tr2bl w:val="nil"/>
                  </w:tcBorders>
                  <w:vAlign w:val="center"/>
                </w:tcPr>
                <w:p>
                  <w:pPr>
                    <w:spacing w:before="24" w:beforeLines="10" w:after="24" w:afterLines="10"/>
                    <w:jc w:val="center"/>
                    <w:rPr>
                      <w:szCs w:val="21"/>
                    </w:rPr>
                  </w:pPr>
                  <w:r>
                    <w:rPr>
                      <w:szCs w:val="21"/>
                    </w:rPr>
                    <w:t>O</w:t>
                  </w:r>
                  <w:r>
                    <w:rPr>
                      <w:szCs w:val="21"/>
                      <w:vertAlign w:val="subscript"/>
                    </w:rPr>
                    <w:t>3</w:t>
                  </w:r>
                  <w:r>
                    <w:rPr>
                      <w:szCs w:val="21"/>
                    </w:rPr>
                    <w:t>（μg/m</w:t>
                  </w:r>
                  <w:r>
                    <w:rPr>
                      <w:szCs w:val="21"/>
                      <w:vertAlign w:val="superscript"/>
                    </w:rPr>
                    <w:t>3</w:t>
                  </w:r>
                  <w:r>
                    <w:rPr>
                      <w:szCs w:val="21"/>
                    </w:rPr>
                    <w:t>）</w:t>
                  </w:r>
                </w:p>
              </w:tc>
              <w:tc>
                <w:tcPr>
                  <w:tcW w:w="2205" w:type="dxa"/>
                  <w:tcBorders>
                    <w:tl2br w:val="nil"/>
                    <w:tr2bl w:val="nil"/>
                  </w:tcBorders>
                  <w:vAlign w:val="center"/>
                </w:tcPr>
                <w:p>
                  <w:pPr>
                    <w:spacing w:before="24" w:beforeLines="10" w:after="24" w:afterLines="10"/>
                    <w:jc w:val="center"/>
                    <w:rPr>
                      <w:szCs w:val="21"/>
                    </w:rPr>
                  </w:pPr>
                  <w:r>
                    <w:rPr>
                      <w:szCs w:val="21"/>
                    </w:rPr>
                    <w:t>90%8h平均质量浓度</w:t>
                  </w:r>
                </w:p>
              </w:tc>
              <w:tc>
                <w:tcPr>
                  <w:tcW w:w="1155" w:type="dxa"/>
                  <w:tcBorders>
                    <w:tl2br w:val="nil"/>
                    <w:tr2bl w:val="nil"/>
                  </w:tcBorders>
                  <w:vAlign w:val="center"/>
                </w:tcPr>
                <w:p>
                  <w:pPr>
                    <w:spacing w:before="24" w:beforeLines="10" w:after="24" w:afterLines="10"/>
                    <w:jc w:val="center"/>
                    <w:rPr>
                      <w:szCs w:val="21"/>
                    </w:rPr>
                  </w:pPr>
                  <w:r>
                    <w:rPr>
                      <w:rFonts w:hint="eastAsia"/>
                      <w:szCs w:val="21"/>
                    </w:rPr>
                    <w:t>146</w:t>
                  </w:r>
                </w:p>
              </w:tc>
              <w:tc>
                <w:tcPr>
                  <w:tcW w:w="990" w:type="dxa"/>
                  <w:tcBorders>
                    <w:tl2br w:val="nil"/>
                    <w:tr2bl w:val="nil"/>
                  </w:tcBorders>
                  <w:vAlign w:val="center"/>
                </w:tcPr>
                <w:p>
                  <w:pPr>
                    <w:spacing w:before="24" w:beforeLines="10" w:after="24" w:afterLines="10"/>
                    <w:jc w:val="center"/>
                    <w:rPr>
                      <w:szCs w:val="21"/>
                    </w:rPr>
                  </w:pPr>
                  <w:r>
                    <w:rPr>
                      <w:rFonts w:hint="eastAsia"/>
                      <w:szCs w:val="21"/>
                    </w:rPr>
                    <w:t>160</w:t>
                  </w:r>
                </w:p>
              </w:tc>
              <w:tc>
                <w:tcPr>
                  <w:tcW w:w="1185" w:type="dxa"/>
                  <w:tcBorders>
                    <w:tl2br w:val="nil"/>
                    <w:tr2bl w:val="nil"/>
                  </w:tcBorders>
                  <w:vAlign w:val="center"/>
                </w:tcPr>
                <w:p>
                  <w:pPr>
                    <w:spacing w:before="24" w:beforeLines="10" w:after="24" w:afterLines="10"/>
                    <w:jc w:val="center"/>
                    <w:rPr>
                      <w:szCs w:val="21"/>
                    </w:rPr>
                  </w:pPr>
                  <w:r>
                    <w:rPr>
                      <w:rFonts w:hint="eastAsia"/>
                      <w:szCs w:val="21"/>
                    </w:rPr>
                    <w:t>91.25</w:t>
                  </w:r>
                </w:p>
              </w:tc>
              <w:tc>
                <w:tcPr>
                  <w:tcW w:w="1105" w:type="dxa"/>
                  <w:tcBorders>
                    <w:tl2br w:val="nil"/>
                    <w:tr2bl w:val="nil"/>
                  </w:tcBorders>
                  <w:vAlign w:val="center"/>
                </w:tcPr>
                <w:p>
                  <w:pPr>
                    <w:spacing w:before="24" w:beforeLines="10" w:after="24" w:afterLines="10"/>
                    <w:jc w:val="center"/>
                    <w:rPr>
                      <w:szCs w:val="21"/>
                    </w:rPr>
                  </w:pPr>
                  <w:r>
                    <w:rPr>
                      <w:szCs w:val="21"/>
                    </w:rPr>
                    <w:t>达标</w:t>
                  </w:r>
                </w:p>
              </w:tc>
            </w:tr>
          </w:tbl>
          <w:p>
            <w:pPr>
              <w:adjustRightInd w:val="0"/>
              <w:snapToGrid w:val="0"/>
              <w:spacing w:line="360" w:lineRule="auto"/>
              <w:ind w:firstLine="482"/>
              <w:rPr>
                <w:sz w:val="24"/>
              </w:rPr>
            </w:pPr>
            <w:r>
              <w:rPr>
                <w:sz w:val="24"/>
              </w:rPr>
              <w:t>由上表数据分析，202</w:t>
            </w:r>
            <w:r>
              <w:rPr>
                <w:rFonts w:hint="eastAsia"/>
                <w:sz w:val="24"/>
              </w:rPr>
              <w:t>4</w:t>
            </w:r>
            <w:r>
              <w:rPr>
                <w:sz w:val="24"/>
              </w:rPr>
              <w:t>年湘阴县环境空气中SO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年均浓度、CO日均值（第95百分位浓度）、O</w:t>
            </w:r>
            <w:r>
              <w:rPr>
                <w:sz w:val="24"/>
                <w:vertAlign w:val="subscript"/>
              </w:rPr>
              <w:t>3</w:t>
            </w:r>
            <w:r>
              <w:rPr>
                <w:sz w:val="24"/>
              </w:rPr>
              <w:t>日最大8h平均值（第90百分位浓度）都符合《环境空气质量标准》（GB3095-2012）及修改单中的二级标准要求，故本项目所在区域为环境空气质量达标区。</w:t>
            </w:r>
          </w:p>
          <w:p>
            <w:pPr>
              <w:pStyle w:val="98"/>
              <w:adjustRightInd w:val="0"/>
              <w:snapToGrid w:val="0"/>
              <w:ind w:firstLine="0" w:firstLineChars="0"/>
              <w:rPr>
                <w:rFonts w:ascii="Times New Roman" w:hAnsi="Times New Roman" w:cs="Times New Roman"/>
                <w:b/>
                <w:bCs/>
                <w:color w:val="000000" w:themeColor="text1"/>
                <w:szCs w:val="24"/>
                <w14:textFill>
                  <w14:solidFill>
                    <w14:schemeClr w14:val="tx1"/>
                  </w14:solidFill>
                </w14:textFill>
              </w:rPr>
            </w:pPr>
            <w:r>
              <w:rPr>
                <w:rFonts w:ascii="Times New Roman" w:hAnsi="Times New Roman" w:cs="Times New Roman"/>
                <w:b/>
                <w:bCs/>
                <w:color w:val="000000" w:themeColor="text1"/>
                <w:szCs w:val="24"/>
                <w14:textFill>
                  <w14:solidFill>
                    <w14:schemeClr w14:val="tx1"/>
                  </w14:solidFill>
                </w14:textFill>
              </w:rPr>
              <w:t>1.2</w:t>
            </w:r>
            <w:r>
              <w:rPr>
                <w:rFonts w:hint="eastAsia" w:ascii="Times New Roman" w:hAnsi="Times New Roman" w:cs="Times New Roman"/>
                <w:b/>
                <w:bCs/>
                <w:color w:val="000000" w:themeColor="text1"/>
                <w:szCs w:val="24"/>
                <w14:textFill>
                  <w14:solidFill>
                    <w14:schemeClr w14:val="tx1"/>
                  </w14:solidFill>
                </w14:textFill>
              </w:rPr>
              <w:t>、其他</w:t>
            </w:r>
            <w:r>
              <w:rPr>
                <w:rFonts w:ascii="Times New Roman" w:hAnsi="Times New Roman" w:cs="Times New Roman"/>
                <w:b/>
                <w:bCs/>
                <w:color w:val="000000" w:themeColor="text1"/>
                <w:szCs w:val="24"/>
                <w14:textFill>
                  <w14:solidFill>
                    <w14:schemeClr w14:val="tx1"/>
                  </w14:solidFill>
                </w14:textFill>
              </w:rPr>
              <w:t>污染物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影响报告表编制技术指南》（污染影响类）（试行），排放国家、地方环境空气质量标准中有标准限值要求的特征污染物时，引用建设项目周边5千米范围内近三年的现有监测数据，无相关数据的选择当季主导风向下风向1个点位补充不少于3 的监测数据。</w:t>
            </w:r>
          </w:p>
          <w:p>
            <w:pPr>
              <w:spacing w:line="360" w:lineRule="auto"/>
              <w:ind w:firstLine="480" w:firstLineChars="200"/>
              <w:rPr>
                <w:color w:val="000000"/>
                <w:sz w:val="24"/>
              </w:rPr>
            </w:pPr>
            <w:r>
              <w:rPr>
                <w:rFonts w:hint="eastAsia" w:ascii="宋体" w:hAnsi="宋体" w:cs="宋体"/>
                <w:color w:val="000000"/>
                <w:sz w:val="24"/>
                <w:lang w:bidi="ar"/>
              </w:rPr>
              <w:t>本项目的特征污</w:t>
            </w:r>
            <w:r>
              <w:rPr>
                <w:rFonts w:hint="eastAsia"/>
                <w:color w:val="000000"/>
                <w:sz w:val="24"/>
                <w:lang w:bidi="ar"/>
              </w:rPr>
              <w:t>染物为TVOC、TSP，为了解</w:t>
            </w:r>
            <w:r>
              <w:rPr>
                <w:rFonts w:hint="eastAsia" w:ascii="宋体" w:hAnsi="宋体" w:cs="宋体"/>
                <w:color w:val="000000"/>
                <w:sz w:val="24"/>
                <w:lang w:bidi="ar"/>
              </w:rPr>
              <w:t>项目评价区域内</w:t>
            </w:r>
            <w:r>
              <w:rPr>
                <w:color w:val="000000"/>
                <w:sz w:val="24"/>
                <w:lang w:bidi="ar"/>
              </w:rPr>
              <w:t>TVOC</w:t>
            </w:r>
            <w:r>
              <w:rPr>
                <w:rFonts w:hint="eastAsia" w:ascii="宋体" w:hAnsi="宋体" w:cs="宋体"/>
                <w:color w:val="000000"/>
                <w:sz w:val="24"/>
                <w:lang w:bidi="ar"/>
              </w:rPr>
              <w:t>、</w:t>
            </w:r>
            <w:r>
              <w:rPr>
                <w:color w:val="000000"/>
                <w:sz w:val="24"/>
                <w:lang w:bidi="ar"/>
              </w:rPr>
              <w:t>TSP</w:t>
            </w:r>
            <w:r>
              <w:rPr>
                <w:rFonts w:hint="eastAsia" w:ascii="宋体" w:hAnsi="宋体" w:cs="宋体"/>
                <w:color w:val="000000"/>
                <w:sz w:val="24"/>
                <w:lang w:bidi="ar"/>
              </w:rPr>
              <w:t>环境质量现状，本环评引用《金彩螺新材料科技有限公司年产</w:t>
            </w:r>
            <w:r>
              <w:rPr>
                <w:color w:val="000000"/>
                <w:sz w:val="24"/>
                <w:lang w:bidi="ar"/>
              </w:rPr>
              <w:t>8</w:t>
            </w:r>
            <w:r>
              <w:rPr>
                <w:rFonts w:hint="eastAsia" w:ascii="宋体" w:hAnsi="宋体" w:cs="宋体"/>
                <w:color w:val="000000"/>
                <w:sz w:val="24"/>
                <w:lang w:bidi="ar"/>
              </w:rPr>
              <w:t>万吨金彩螺水性节能环保建筑涂料生产基地项目（重大变动）环境影响报告表》中</w:t>
            </w:r>
            <w:r>
              <w:rPr>
                <w:color w:val="000000"/>
                <w:sz w:val="24"/>
                <w:lang w:bidi="ar"/>
              </w:rPr>
              <w:t>湖南宏润检测有限公司于2023年9月12日～9月14日对评价区域内TVOC和TSP进行的一期现场采样监测数据。</w:t>
            </w:r>
          </w:p>
          <w:p>
            <w:pPr>
              <w:spacing w:line="360" w:lineRule="auto"/>
              <w:ind w:firstLine="480" w:firstLineChars="200"/>
              <w:rPr>
                <w:color w:val="000000"/>
                <w:sz w:val="24"/>
              </w:rPr>
            </w:pPr>
            <w:r>
              <w:rPr>
                <w:rFonts w:hint="eastAsia" w:ascii="宋体" w:hAnsi="宋体" w:cs="宋体"/>
                <w:color w:val="000000"/>
                <w:sz w:val="24"/>
                <w:lang w:bidi="ar"/>
              </w:rPr>
              <w:t>“年产</w:t>
            </w:r>
            <w:r>
              <w:rPr>
                <w:color w:val="000000"/>
                <w:sz w:val="24"/>
                <w:lang w:bidi="ar"/>
              </w:rPr>
              <w:t>8</w:t>
            </w:r>
            <w:r>
              <w:rPr>
                <w:rFonts w:hint="eastAsia" w:ascii="宋体" w:hAnsi="宋体" w:cs="宋体"/>
                <w:color w:val="000000"/>
                <w:sz w:val="24"/>
                <w:lang w:bidi="ar"/>
              </w:rPr>
              <w:t>万吨金彩螺水性节能环保建筑涂料生产基地项目（重大变动）”位于本项目北侧方向直线距离</w:t>
            </w:r>
            <w:r>
              <w:rPr>
                <w:color w:val="000000"/>
                <w:sz w:val="24"/>
                <w:lang w:bidi="ar"/>
              </w:rPr>
              <w:t>1.</w:t>
            </w:r>
            <w:r>
              <w:rPr>
                <w:rFonts w:hint="eastAsia"/>
                <w:color w:val="000000"/>
                <w:sz w:val="24"/>
                <w:lang w:bidi="ar"/>
              </w:rPr>
              <w:t>4</w:t>
            </w:r>
            <w:r>
              <w:rPr>
                <w:color w:val="000000"/>
                <w:sz w:val="24"/>
                <w:lang w:bidi="ar"/>
              </w:rPr>
              <w:t>km</w:t>
            </w:r>
            <w:r>
              <w:rPr>
                <w:rFonts w:hint="eastAsia" w:ascii="宋体" w:hAnsi="宋体" w:cs="宋体"/>
                <w:color w:val="000000"/>
                <w:sz w:val="24"/>
                <w:lang w:bidi="ar"/>
              </w:rPr>
              <w:t>，数据符合引用要求。其他污染物环境质量现状详见下表：</w:t>
            </w:r>
          </w:p>
          <w:p>
            <w:pPr>
              <w:jc w:val="center"/>
              <w:rPr>
                <w:b/>
                <w:szCs w:val="21"/>
              </w:rPr>
            </w:pPr>
            <w:r>
              <w:rPr>
                <w:rFonts w:hint="eastAsia"/>
                <w:b/>
                <w:szCs w:val="21"/>
              </w:rPr>
              <w:t>表</w:t>
            </w:r>
            <w:r>
              <w:rPr>
                <w:b/>
                <w:szCs w:val="21"/>
              </w:rPr>
              <w:t>3</w:t>
            </w:r>
            <w:r>
              <w:rPr>
                <w:rFonts w:hint="eastAsia"/>
                <w:b/>
                <w:szCs w:val="21"/>
              </w:rPr>
              <w:t>-</w:t>
            </w:r>
            <w:r>
              <w:rPr>
                <w:b/>
                <w:szCs w:val="21"/>
              </w:rPr>
              <w:t>2</w:t>
            </w:r>
            <w:r>
              <w:rPr>
                <w:rFonts w:hint="eastAsia"/>
                <w:b/>
                <w:szCs w:val="21"/>
              </w:rPr>
              <w:t xml:space="preserve">   环境空气监测结果一览表</w:t>
            </w: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8"/>
              <w:gridCol w:w="868"/>
              <w:gridCol w:w="864"/>
              <w:gridCol w:w="1155"/>
              <w:gridCol w:w="1406"/>
              <w:gridCol w:w="1159"/>
              <w:gridCol w:w="826"/>
              <w:gridCol w:w="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247" w:type="dxa"/>
                  <w:tcBorders>
                    <w:top w:val="single" w:color="000000" w:sz="4" w:space="0"/>
                    <w:left w:val="single" w:color="000000" w:sz="4" w:space="0"/>
                    <w:bottom w:val="single" w:color="000000" w:sz="4" w:space="0"/>
                    <w:right w:val="single" w:color="000000" w:sz="4" w:space="0"/>
                  </w:tcBorders>
                  <w:vAlign w:val="center"/>
                </w:tcPr>
                <w:p>
                  <w:pPr>
                    <w:pStyle w:val="96"/>
                    <w:widowControl/>
                    <w:spacing w:line="240" w:lineRule="auto"/>
                    <w:ind w:left="0"/>
                    <w:rPr>
                      <w:color w:val="000000"/>
                    </w:rPr>
                  </w:pPr>
                  <w:r>
                    <w:rPr>
                      <w:rFonts w:hint="eastAsia" w:ascii="宋体" w:hAnsi="宋体" w:cs="宋体"/>
                      <w:color w:val="000000"/>
                    </w:rPr>
                    <w:t>监测点位</w:t>
                  </w:r>
                </w:p>
              </w:tc>
              <w:tc>
                <w:tcPr>
                  <w:tcW w:w="900"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rFonts w:hint="eastAsia" w:ascii="宋体" w:hAnsi="宋体" w:cs="宋体"/>
                      <w:color w:val="000000"/>
                    </w:rPr>
                    <w:t>污染物</w:t>
                  </w:r>
                </w:p>
              </w:tc>
              <w:tc>
                <w:tcPr>
                  <w:tcW w:w="89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rFonts w:hint="eastAsia" w:ascii="宋体" w:hAnsi="宋体" w:cs="宋体"/>
                      <w:color w:val="000000"/>
                    </w:rPr>
                    <w:t>平均时间</w:t>
                  </w:r>
                </w:p>
              </w:tc>
              <w:tc>
                <w:tcPr>
                  <w:tcW w:w="1203"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rFonts w:hint="eastAsia" w:ascii="宋体" w:hAnsi="宋体" w:cs="宋体"/>
                      <w:color w:val="000000"/>
                    </w:rPr>
                    <w:t>评价标准</w:t>
                  </w:r>
                  <w:r>
                    <w:rPr>
                      <w:color w:val="000000"/>
                    </w:rPr>
                    <w:t>/</w:t>
                  </w:r>
                </w:p>
                <w:p>
                  <w:pPr>
                    <w:pStyle w:val="96"/>
                    <w:widowControl/>
                    <w:spacing w:line="240" w:lineRule="auto"/>
                    <w:ind w:left="0"/>
                    <w:rPr>
                      <w:color w:val="000000"/>
                    </w:rPr>
                  </w:pPr>
                  <w:r>
                    <w:rPr>
                      <w:rFonts w:hint="eastAsia" w:ascii="宋体" w:hAnsi="宋体" w:cs="宋体"/>
                      <w:color w:val="000000"/>
                    </w:rPr>
                    <w:t>（</w:t>
                  </w:r>
                  <w:r>
                    <w:rPr>
                      <w:color w:val="000000"/>
                    </w:rPr>
                    <w:t>mg/m</w:t>
                  </w:r>
                  <w:r>
                    <w:rPr>
                      <w:color w:val="000000"/>
                      <w:vertAlign w:val="superscript"/>
                    </w:rPr>
                    <w:t>3</w:t>
                  </w:r>
                  <w:r>
                    <w:rPr>
                      <w:rFonts w:hint="eastAsia" w:ascii="宋体" w:hAnsi="宋体" w:cs="宋体"/>
                      <w:color w:val="000000"/>
                    </w:rPr>
                    <w:t>）</w:t>
                  </w:r>
                </w:p>
              </w:tc>
              <w:tc>
                <w:tcPr>
                  <w:tcW w:w="146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rFonts w:hint="eastAsia" w:ascii="宋体" w:hAnsi="宋体" w:cs="宋体"/>
                      <w:color w:val="000000"/>
                    </w:rPr>
                    <w:t>监测浓度范围</w:t>
                  </w:r>
                  <w:r>
                    <w:rPr>
                      <w:color w:val="000000"/>
                    </w:rPr>
                    <w:t>/</w:t>
                  </w:r>
                  <w:r>
                    <w:rPr>
                      <w:rFonts w:hint="eastAsia" w:ascii="宋体" w:hAnsi="宋体" w:cs="宋体"/>
                      <w:color w:val="000000"/>
                    </w:rPr>
                    <w:t>（</w:t>
                  </w:r>
                  <w:r>
                    <w:rPr>
                      <w:color w:val="000000"/>
                    </w:rPr>
                    <w:t>mg/m</w:t>
                  </w:r>
                  <w:r>
                    <w:rPr>
                      <w:color w:val="000000"/>
                      <w:vertAlign w:val="superscript"/>
                    </w:rPr>
                    <w:t>3</w:t>
                  </w:r>
                  <w:r>
                    <w:rPr>
                      <w:rFonts w:hint="eastAsia" w:ascii="宋体" w:hAnsi="宋体" w:cs="宋体"/>
                      <w:color w:val="000000"/>
                    </w:rPr>
                    <w:t>）</w:t>
                  </w:r>
                </w:p>
              </w:tc>
              <w:tc>
                <w:tcPr>
                  <w:tcW w:w="120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rFonts w:hint="eastAsia" w:ascii="宋体" w:hAnsi="宋体" w:cs="宋体"/>
                      <w:color w:val="000000"/>
                    </w:rPr>
                    <w:t>最大浓占标率</w:t>
                  </w:r>
                  <w:r>
                    <w:rPr>
                      <w:color w:val="000000"/>
                    </w:rPr>
                    <w:t>/%</w:t>
                  </w:r>
                </w:p>
              </w:tc>
              <w:tc>
                <w:tcPr>
                  <w:tcW w:w="85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rFonts w:hint="eastAsia" w:ascii="宋体" w:hAnsi="宋体" w:cs="宋体"/>
                      <w:color w:val="000000"/>
                    </w:rPr>
                    <w:t>超标率</w:t>
                  </w:r>
                  <w:r>
                    <w:rPr>
                      <w:color w:val="000000"/>
                    </w:rPr>
                    <w:t>/%</w:t>
                  </w:r>
                </w:p>
              </w:tc>
              <w:tc>
                <w:tcPr>
                  <w:tcW w:w="65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rFonts w:hint="eastAsia" w:ascii="宋体" w:hAnsi="宋体" w:cs="宋体"/>
                      <w:color w:val="000000"/>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1247" w:type="dxa"/>
                  <w:vMerge w:val="restart"/>
                  <w:tcBorders>
                    <w:top w:val="nil"/>
                    <w:left w:val="single" w:color="000000" w:sz="4" w:space="0"/>
                    <w:bottom w:val="single" w:color="000000" w:sz="4" w:space="0"/>
                    <w:right w:val="single" w:color="000000" w:sz="4" w:space="0"/>
                  </w:tcBorders>
                  <w:vAlign w:val="center"/>
                </w:tcPr>
                <w:p>
                  <w:pPr>
                    <w:pStyle w:val="96"/>
                    <w:widowControl/>
                    <w:spacing w:line="240" w:lineRule="auto"/>
                    <w:ind w:left="0"/>
                    <w:rPr>
                      <w:color w:val="000000"/>
                    </w:rPr>
                  </w:pPr>
                  <w:r>
                    <w:rPr>
                      <w:rFonts w:hint="eastAsia" w:ascii="宋体" w:hAnsi="宋体" w:cs="宋体"/>
                      <w:color w:val="000000"/>
                    </w:rPr>
                    <w:t>厂界下风向南面</w:t>
                  </w:r>
                  <w:r>
                    <w:rPr>
                      <w:color w:val="000000"/>
                    </w:rPr>
                    <w:t>50m</w:t>
                  </w:r>
                </w:p>
              </w:tc>
              <w:tc>
                <w:tcPr>
                  <w:tcW w:w="900"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TSP</w:t>
                  </w:r>
                </w:p>
              </w:tc>
              <w:tc>
                <w:tcPr>
                  <w:tcW w:w="89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24h</w:t>
                  </w:r>
                  <w:r>
                    <w:rPr>
                      <w:rFonts w:hint="eastAsia" w:ascii="宋体" w:hAnsi="宋体" w:cs="宋体"/>
                      <w:color w:val="000000"/>
                    </w:rPr>
                    <w:t>均值</w:t>
                  </w:r>
                </w:p>
              </w:tc>
              <w:tc>
                <w:tcPr>
                  <w:tcW w:w="1203"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0.300</w:t>
                  </w:r>
                </w:p>
              </w:tc>
              <w:tc>
                <w:tcPr>
                  <w:tcW w:w="146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0.078</w:t>
                  </w:r>
                  <w:r>
                    <w:rPr>
                      <w:rFonts w:hint="eastAsia" w:ascii="宋体" w:hAnsi="宋体" w:cs="宋体"/>
                      <w:color w:val="000000"/>
                    </w:rPr>
                    <w:t>～</w:t>
                  </w:r>
                  <w:r>
                    <w:rPr>
                      <w:color w:val="000000"/>
                    </w:rPr>
                    <w:t>0.086</w:t>
                  </w:r>
                </w:p>
              </w:tc>
              <w:tc>
                <w:tcPr>
                  <w:tcW w:w="120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28.7</w:t>
                  </w:r>
                </w:p>
              </w:tc>
              <w:tc>
                <w:tcPr>
                  <w:tcW w:w="85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0</w:t>
                  </w:r>
                </w:p>
              </w:tc>
              <w:tc>
                <w:tcPr>
                  <w:tcW w:w="65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rFonts w:hint="eastAsia" w:ascii="宋体" w:hAnsi="宋体" w:cs="宋体"/>
                      <w:color w:val="00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247" w:type="dxa"/>
                  <w:vMerge w:val="continue"/>
                  <w:tcBorders>
                    <w:top w:val="nil"/>
                    <w:left w:val="single" w:color="000000" w:sz="4" w:space="0"/>
                    <w:bottom w:val="single" w:color="000000" w:sz="4" w:space="0"/>
                    <w:right w:val="single" w:color="000000" w:sz="4" w:space="0"/>
                  </w:tcBorders>
                  <w:vAlign w:val="center"/>
                </w:tcPr>
                <w:p>
                  <w:pPr>
                    <w:rPr>
                      <w:color w:val="000000"/>
                      <w:sz w:val="20"/>
                      <w:szCs w:val="20"/>
                    </w:rPr>
                  </w:pPr>
                </w:p>
              </w:tc>
              <w:tc>
                <w:tcPr>
                  <w:tcW w:w="900"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TVOC</w:t>
                  </w:r>
                </w:p>
              </w:tc>
              <w:tc>
                <w:tcPr>
                  <w:tcW w:w="89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8h</w:t>
                  </w:r>
                  <w:r>
                    <w:rPr>
                      <w:rFonts w:hint="eastAsia" w:ascii="宋体" w:hAnsi="宋体" w:cs="宋体"/>
                      <w:color w:val="000000"/>
                    </w:rPr>
                    <w:t>均值</w:t>
                  </w:r>
                </w:p>
              </w:tc>
              <w:tc>
                <w:tcPr>
                  <w:tcW w:w="1203"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0.600</w:t>
                  </w:r>
                </w:p>
              </w:tc>
              <w:tc>
                <w:tcPr>
                  <w:tcW w:w="146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0.048</w:t>
                  </w:r>
                  <w:r>
                    <w:rPr>
                      <w:rFonts w:hint="eastAsia" w:ascii="宋体" w:hAnsi="宋体" w:cs="宋体"/>
                      <w:color w:val="000000"/>
                    </w:rPr>
                    <w:t>～</w:t>
                  </w:r>
                  <w:r>
                    <w:rPr>
                      <w:color w:val="000000"/>
                    </w:rPr>
                    <w:t>0.066</w:t>
                  </w:r>
                </w:p>
              </w:tc>
              <w:tc>
                <w:tcPr>
                  <w:tcW w:w="120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11.0</w:t>
                  </w:r>
                </w:p>
              </w:tc>
              <w:tc>
                <w:tcPr>
                  <w:tcW w:w="85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color w:val="000000"/>
                    </w:rPr>
                    <w:t>0</w:t>
                  </w:r>
                </w:p>
              </w:tc>
              <w:tc>
                <w:tcPr>
                  <w:tcW w:w="657" w:type="dxa"/>
                  <w:tcBorders>
                    <w:top w:val="single" w:color="000000" w:sz="4" w:space="0"/>
                    <w:left w:val="nil"/>
                    <w:bottom w:val="single" w:color="000000" w:sz="4" w:space="0"/>
                    <w:right w:val="single" w:color="000000" w:sz="4" w:space="0"/>
                  </w:tcBorders>
                  <w:vAlign w:val="center"/>
                </w:tcPr>
                <w:p>
                  <w:pPr>
                    <w:pStyle w:val="96"/>
                    <w:widowControl/>
                    <w:spacing w:line="240" w:lineRule="auto"/>
                    <w:ind w:left="0"/>
                    <w:rPr>
                      <w:color w:val="000000"/>
                    </w:rPr>
                  </w:pPr>
                  <w:r>
                    <w:rPr>
                      <w:rFonts w:hint="eastAsia" w:ascii="宋体" w:hAnsi="宋体" w:cs="宋体"/>
                      <w:color w:val="000000"/>
                    </w:rPr>
                    <w:t>达标</w:t>
                  </w:r>
                </w:p>
              </w:tc>
            </w:tr>
          </w:tbl>
          <w:p>
            <w:pPr>
              <w:spacing w:line="360" w:lineRule="auto"/>
              <w:ind w:firstLine="480" w:firstLineChars="200"/>
              <w:jc w:val="left"/>
              <w:rPr>
                <w:color w:val="000000"/>
                <w:sz w:val="24"/>
                <w:lang w:bidi="ar"/>
              </w:rPr>
            </w:pPr>
            <w:r>
              <w:rPr>
                <w:color w:val="000000"/>
                <w:sz w:val="24"/>
                <w:lang w:bidi="ar"/>
              </w:rPr>
              <w:t>由上表的监测结果可知，TSP满足《环境空气质量标准》（ GB 3095-2012）及修改单中二级标准限值的要求；TVOC满足《环境影响评价技术导则大气环境》（HJ 2.2-2018）附录D的要求。</w:t>
            </w:r>
          </w:p>
          <w:p>
            <w:pPr>
              <w:spacing w:line="360" w:lineRule="auto"/>
              <w:ind w:firstLine="480" w:firstLineChars="200"/>
              <w:jc w:val="left"/>
              <w:rPr>
                <w:color w:val="000000"/>
                <w:sz w:val="24"/>
                <w:lang w:bidi="ar"/>
              </w:rPr>
            </w:pPr>
            <w:r>
              <w:rPr>
                <w:rFonts w:hint="eastAsia"/>
                <w:color w:val="000000"/>
                <w:sz w:val="24"/>
                <w:lang w:bidi="ar"/>
              </w:rPr>
              <w:t>根据2021年12月，生态环境部评估中心的解释，技术指南中提到“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因此本项目排放的苯系物不进行补充现状检测。</w:t>
            </w:r>
          </w:p>
          <w:p>
            <w:pPr>
              <w:spacing w:line="360" w:lineRule="auto"/>
              <w:jc w:val="left"/>
              <w:rPr>
                <w:b/>
                <w:bCs/>
                <w:sz w:val="24"/>
              </w:rPr>
            </w:pPr>
            <w:r>
              <w:rPr>
                <w:b/>
                <w:bCs/>
                <w:sz w:val="24"/>
              </w:rPr>
              <w:t>2、地表水环境</w:t>
            </w:r>
          </w:p>
          <w:p>
            <w:pPr>
              <w:tabs>
                <w:tab w:val="left" w:pos="600"/>
                <w:tab w:val="left" w:pos="7343"/>
              </w:tabs>
              <w:spacing w:line="360" w:lineRule="auto"/>
              <w:ind w:firstLine="480" w:firstLineChars="200"/>
              <w:rPr>
                <w:kern w:val="0"/>
                <w:sz w:val="24"/>
              </w:rPr>
            </w:pPr>
            <w:r>
              <w:rPr>
                <w:kern w:val="0"/>
                <w:sz w:val="24"/>
              </w:rPr>
              <w:t>根据《建设项目环境影响报告表编制技术指南（污染影响类）（试行）》中</w:t>
            </w:r>
            <w:r>
              <w:rPr>
                <w:rFonts w:hint="eastAsia" w:ascii="宋体" w:hAnsi="宋体" w:cs="宋体"/>
                <w:kern w:val="0"/>
                <w:sz w:val="24"/>
              </w:rPr>
              <w:t>：“地表水环境引用与建设项目距离较近的有效数据，包括</w:t>
            </w:r>
            <w:r>
              <w:rPr>
                <w:kern w:val="0"/>
                <w:sz w:val="24"/>
              </w:rPr>
              <w:t>近3</w:t>
            </w:r>
            <w:r>
              <w:rPr>
                <w:rFonts w:hint="eastAsia" w:ascii="宋体" w:hAnsi="宋体" w:cs="宋体"/>
                <w:kern w:val="0"/>
                <w:sz w:val="24"/>
              </w:rPr>
              <w:t>年的规划环境影响评价的监测数据，所在流域控制单元内国家、地方控制监测数据，生态环境主管部门发布的水环境质量数据或地表水达标结论 ”。</w:t>
            </w:r>
          </w:p>
          <w:p>
            <w:pPr>
              <w:spacing w:line="360" w:lineRule="auto"/>
              <w:ind w:firstLine="480" w:firstLineChars="200"/>
              <w:rPr>
                <w:rFonts w:hint="default" w:ascii="Times New Roman" w:hAnsi="Times New Roman" w:cs="Times New Roman"/>
                <w:color w:val="auto"/>
                <w:sz w:val="24"/>
                <w:szCs w:val="22"/>
                <w:highlight w:val="none"/>
                <w:u w:val="single" w:color="auto"/>
                <w:lang w:val="en-US" w:eastAsia="zh-CN"/>
              </w:rPr>
            </w:pPr>
            <w:bookmarkStart w:id="8" w:name="OLE_LINK90"/>
            <w:r>
              <w:rPr>
                <w:rFonts w:hint="default" w:ascii="Times New Roman" w:hAnsi="Times New Roman" w:cs="Times New Roman"/>
                <w:color w:val="auto"/>
                <w:sz w:val="24"/>
                <w:szCs w:val="22"/>
                <w:highlight w:val="none"/>
                <w:u w:val="single" w:color="auto"/>
                <w:lang w:val="en-US" w:eastAsia="zh-CN"/>
              </w:rPr>
              <w:t>根据水功能区划湘江乌龙嘴断面属于Ⅲ类水体，根据湖南省生态环境厅发布的202</w:t>
            </w:r>
            <w:r>
              <w:rPr>
                <w:rFonts w:hint="eastAsia" w:ascii="Times New Roman" w:hAnsi="Times New Roman" w:cs="Times New Roman"/>
                <w:color w:val="auto"/>
                <w:sz w:val="24"/>
                <w:szCs w:val="22"/>
                <w:highlight w:val="none"/>
                <w:u w:val="single" w:color="auto"/>
                <w:lang w:val="en-US" w:eastAsia="zh-CN"/>
              </w:rPr>
              <w:t>4</w:t>
            </w:r>
            <w:r>
              <w:rPr>
                <w:rFonts w:hint="default" w:ascii="Times New Roman" w:hAnsi="Times New Roman" w:cs="Times New Roman"/>
                <w:color w:val="auto"/>
                <w:sz w:val="24"/>
                <w:szCs w:val="22"/>
                <w:highlight w:val="none"/>
                <w:u w:val="single" w:color="auto"/>
                <w:lang w:val="en-US" w:eastAsia="zh-CN"/>
              </w:rPr>
              <w:t>年1月~12月地表水水质状况，湘江乌龙嘴断面202</w:t>
            </w:r>
            <w:r>
              <w:rPr>
                <w:rFonts w:hint="eastAsia" w:ascii="Times New Roman" w:hAnsi="Times New Roman" w:cs="Times New Roman"/>
                <w:color w:val="auto"/>
                <w:sz w:val="24"/>
                <w:szCs w:val="22"/>
                <w:highlight w:val="none"/>
                <w:u w:val="single" w:color="auto"/>
                <w:lang w:val="en-US" w:eastAsia="zh-CN"/>
              </w:rPr>
              <w:t>4</w:t>
            </w:r>
            <w:r>
              <w:rPr>
                <w:rFonts w:hint="default" w:ascii="Times New Roman" w:hAnsi="Times New Roman" w:cs="Times New Roman"/>
                <w:color w:val="auto"/>
                <w:sz w:val="24"/>
                <w:szCs w:val="22"/>
                <w:highlight w:val="none"/>
                <w:u w:val="single" w:color="auto"/>
                <w:lang w:val="en-US" w:eastAsia="zh-CN"/>
              </w:rPr>
              <w:t>年1月~12月水质均能达到《地表水环境质量标准》（GB3838-2002）II 类标准，项目所在区域地表水控制断面为达标区。</w:t>
            </w:r>
            <w:bookmarkEnd w:id="8"/>
          </w:p>
          <w:p>
            <w:pPr>
              <w:adjustRightInd w:val="0"/>
              <w:snapToGrid w:val="0"/>
              <w:spacing w:line="240" w:lineRule="auto"/>
              <w:ind w:firstLine="422"/>
              <w:jc w:val="center"/>
              <w:rPr>
                <w:rFonts w:hint="default" w:ascii="Times New Roman" w:hAnsi="Times New Roman" w:eastAsia="宋体" w:cs="Times New Roman"/>
                <w:b/>
                <w:bCs w:val="0"/>
                <w:color w:val="auto"/>
                <w:sz w:val="21"/>
                <w:szCs w:val="21"/>
                <w:highlight w:val="none"/>
                <w:u w:val="single" w:color="auto"/>
                <w:lang w:val="en-US" w:eastAsia="zh-CN" w:bidi="ar"/>
              </w:rPr>
            </w:pPr>
            <w:r>
              <w:rPr>
                <w:rFonts w:hint="default" w:ascii="Times New Roman" w:hAnsi="Times New Roman" w:eastAsia="宋体" w:cs="Times New Roman"/>
                <w:b/>
                <w:bCs w:val="0"/>
                <w:color w:val="auto"/>
                <w:sz w:val="21"/>
                <w:szCs w:val="21"/>
                <w:highlight w:val="none"/>
                <w:u w:val="single" w:color="auto"/>
                <w:lang w:val="en-US" w:eastAsia="zh-CN" w:bidi="ar"/>
              </w:rPr>
              <w:t>表</w:t>
            </w:r>
            <w:r>
              <w:rPr>
                <w:rFonts w:hint="eastAsia" w:ascii="Times New Roman" w:hAnsi="Times New Roman" w:eastAsia="宋体" w:cs="Times New Roman"/>
                <w:b/>
                <w:bCs w:val="0"/>
                <w:color w:val="auto"/>
                <w:sz w:val="21"/>
                <w:szCs w:val="21"/>
                <w:highlight w:val="none"/>
                <w:u w:val="single" w:color="auto"/>
                <w:lang w:val="en-US" w:eastAsia="zh-CN" w:bidi="ar"/>
              </w:rPr>
              <w:t xml:space="preserve">3-4 </w:t>
            </w:r>
            <w:r>
              <w:rPr>
                <w:rFonts w:hint="default" w:ascii="Times New Roman" w:hAnsi="Times New Roman" w:eastAsia="宋体" w:cs="Times New Roman"/>
                <w:b/>
                <w:bCs w:val="0"/>
                <w:color w:val="auto"/>
                <w:sz w:val="21"/>
                <w:szCs w:val="21"/>
                <w:highlight w:val="none"/>
                <w:u w:val="single" w:color="auto"/>
                <w:lang w:val="en-US" w:eastAsia="zh-CN" w:bidi="ar"/>
              </w:rPr>
              <w:t xml:space="preserve"> 202</w:t>
            </w:r>
            <w:r>
              <w:rPr>
                <w:rFonts w:hint="eastAsia" w:ascii="Times New Roman" w:hAnsi="Times New Roman" w:eastAsia="宋体" w:cs="Times New Roman"/>
                <w:b/>
                <w:bCs w:val="0"/>
                <w:color w:val="auto"/>
                <w:sz w:val="21"/>
                <w:szCs w:val="21"/>
                <w:highlight w:val="none"/>
                <w:u w:val="single" w:color="auto"/>
                <w:lang w:val="en-US" w:eastAsia="zh-CN" w:bidi="ar"/>
              </w:rPr>
              <w:t>4</w:t>
            </w:r>
            <w:r>
              <w:rPr>
                <w:rFonts w:hint="default" w:ascii="Times New Roman" w:hAnsi="Times New Roman" w:eastAsia="宋体" w:cs="Times New Roman"/>
                <w:b/>
                <w:bCs w:val="0"/>
                <w:color w:val="auto"/>
                <w:sz w:val="21"/>
                <w:szCs w:val="21"/>
                <w:highlight w:val="none"/>
                <w:u w:val="single" w:color="auto"/>
                <w:lang w:val="en-US" w:eastAsia="zh-CN" w:bidi="ar"/>
              </w:rPr>
              <w:t>年1月-12月湘阴县</w:t>
            </w:r>
            <w:r>
              <w:rPr>
                <w:rFonts w:hint="eastAsia" w:ascii="Times New Roman" w:hAnsi="Times New Roman" w:eastAsia="宋体" w:cs="Times New Roman"/>
                <w:b/>
                <w:bCs w:val="0"/>
                <w:color w:val="auto"/>
                <w:sz w:val="21"/>
                <w:szCs w:val="21"/>
                <w:highlight w:val="none"/>
                <w:u w:val="single" w:color="auto"/>
                <w:lang w:val="en-US" w:eastAsia="zh-CN" w:bidi="ar"/>
              </w:rPr>
              <w:t>乌龙嘴</w:t>
            </w:r>
            <w:r>
              <w:rPr>
                <w:rFonts w:hint="eastAsia" w:cs="Times New Roman"/>
                <w:b/>
                <w:bCs w:val="0"/>
                <w:color w:val="auto"/>
                <w:sz w:val="21"/>
                <w:szCs w:val="21"/>
                <w:highlight w:val="none"/>
                <w:u w:val="single" w:color="auto"/>
                <w:lang w:val="en-US" w:eastAsia="zh-CN" w:bidi="ar"/>
              </w:rPr>
              <w:t>断面</w:t>
            </w:r>
            <w:r>
              <w:rPr>
                <w:rFonts w:hint="default" w:ascii="Times New Roman" w:hAnsi="Times New Roman" w:eastAsia="宋体" w:cs="Times New Roman"/>
                <w:b/>
                <w:bCs w:val="0"/>
                <w:color w:val="auto"/>
                <w:sz w:val="21"/>
                <w:szCs w:val="21"/>
                <w:highlight w:val="none"/>
                <w:u w:val="single" w:color="auto"/>
                <w:lang w:val="en-US" w:eastAsia="zh-CN" w:bidi="ar"/>
              </w:rPr>
              <w:t>水质状况统计</w:t>
            </w:r>
          </w:p>
          <w:tbl>
            <w:tblPr>
              <w:tblStyle w:val="33"/>
              <w:tblW w:w="5000" w:type="pct"/>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0"/>
              <w:gridCol w:w="2882"/>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断面名称</w:t>
                  </w:r>
                </w:p>
              </w:tc>
              <w:tc>
                <w:tcPr>
                  <w:tcW w:w="1776"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监测时间</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乌龙嘴断面</w:t>
                  </w:r>
                </w:p>
              </w:tc>
              <w:tc>
                <w:tcPr>
                  <w:tcW w:w="1776"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2024年1月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p>
              </w:tc>
              <w:tc>
                <w:tcPr>
                  <w:tcW w:w="1776"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2024年2月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p>
              </w:tc>
              <w:tc>
                <w:tcPr>
                  <w:tcW w:w="1776"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2024年3月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p>
              </w:tc>
              <w:tc>
                <w:tcPr>
                  <w:tcW w:w="1776"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2024年4月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1"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u w:val="single" w:color="auto"/>
                      <w:lang w:val="en-US" w:eastAsia="zh-CN"/>
                    </w:rPr>
                  </w:pPr>
                </w:p>
              </w:tc>
              <w:tc>
                <w:tcPr>
                  <w:tcW w:w="1776"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2024年5月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u w:val="single" w:color="auto"/>
                      <w:lang w:val="en-US" w:eastAsia="zh-CN"/>
                    </w:rPr>
                  </w:pPr>
                </w:p>
              </w:tc>
              <w:tc>
                <w:tcPr>
                  <w:tcW w:w="1776"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2024年6月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u w:val="single" w:color="auto"/>
                      <w:lang w:val="en-US" w:eastAsia="zh-CN"/>
                    </w:rPr>
                  </w:pPr>
                </w:p>
              </w:tc>
              <w:tc>
                <w:tcPr>
                  <w:tcW w:w="1776"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2024年7月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u w:val="single" w:color="auto"/>
                      <w:lang w:val="en-US" w:eastAsia="zh-CN"/>
                    </w:rPr>
                  </w:pPr>
                </w:p>
              </w:tc>
              <w:tc>
                <w:tcPr>
                  <w:tcW w:w="1776"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2024年8月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u w:val="single" w:color="auto"/>
                      <w:lang w:val="en-US" w:eastAsia="zh-CN"/>
                    </w:rPr>
                  </w:pPr>
                </w:p>
              </w:tc>
              <w:tc>
                <w:tcPr>
                  <w:tcW w:w="1776"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2024年9月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u w:val="single" w:color="auto"/>
                      <w:lang w:val="en-US" w:eastAsia="zh-CN"/>
                    </w:rPr>
                  </w:pPr>
                </w:p>
              </w:tc>
              <w:tc>
                <w:tcPr>
                  <w:tcW w:w="1776"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2024年10月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u w:val="single" w:color="auto"/>
                      <w:lang w:val="en-US" w:eastAsia="zh-CN"/>
                    </w:rPr>
                  </w:pPr>
                </w:p>
              </w:tc>
              <w:tc>
                <w:tcPr>
                  <w:tcW w:w="1776" w:type="pct"/>
                  <w:tcBorders>
                    <w:tl2br w:val="nil"/>
                    <w:tr2bl w:val="nil"/>
                  </w:tcBorders>
                  <w:noWrap w:val="0"/>
                  <w:vAlign w:val="center"/>
                </w:tcPr>
                <w:p>
                  <w:pPr>
                    <w:jc w:val="center"/>
                    <w:rPr>
                      <w:rFonts w:hint="eastAsia"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2024年11月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51"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u w:val="single" w:color="auto"/>
                      <w:lang w:val="en-US" w:eastAsia="zh-CN"/>
                    </w:rPr>
                  </w:pPr>
                </w:p>
              </w:tc>
              <w:tc>
                <w:tcPr>
                  <w:tcW w:w="1776" w:type="pct"/>
                  <w:tcBorders>
                    <w:tl2br w:val="nil"/>
                    <w:tr2bl w:val="nil"/>
                  </w:tcBorders>
                  <w:noWrap w:val="0"/>
                  <w:vAlign w:val="center"/>
                </w:tcPr>
                <w:p>
                  <w:pPr>
                    <w:jc w:val="center"/>
                    <w:rPr>
                      <w:rFonts w:hint="eastAsia" w:ascii="Times New Roman" w:hAnsi="Times New Roman" w:eastAsia="宋体" w:cs="Times New Roman"/>
                      <w:bCs/>
                      <w:color w:val="auto"/>
                      <w:sz w:val="21"/>
                      <w:szCs w:val="21"/>
                      <w:u w:val="single" w:color="auto"/>
                      <w:lang w:val="en-US" w:eastAsia="zh-CN"/>
                    </w:rPr>
                  </w:pPr>
                  <w:r>
                    <w:rPr>
                      <w:rFonts w:hint="eastAsia" w:ascii="Times New Roman" w:hAnsi="Times New Roman" w:eastAsia="宋体" w:cs="Times New Roman"/>
                      <w:bCs/>
                      <w:color w:val="auto"/>
                      <w:sz w:val="21"/>
                      <w:szCs w:val="21"/>
                      <w:u w:val="single" w:color="auto"/>
                      <w:lang w:val="en-US" w:eastAsia="zh-CN"/>
                    </w:rPr>
                    <w:t>2024年12月</w:t>
                  </w:r>
                </w:p>
              </w:tc>
              <w:tc>
                <w:tcPr>
                  <w:tcW w:w="1571"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Ⅱ类</w:t>
                  </w:r>
                </w:p>
              </w:tc>
            </w:tr>
          </w:tbl>
          <w:p>
            <w:pPr>
              <w:spacing w:line="360" w:lineRule="auto"/>
              <w:ind w:firstLine="480" w:firstLineChars="200"/>
              <w:rPr>
                <w:rFonts w:hint="default" w:ascii="宋体" w:hAnsi="Times New Roman" w:eastAsia="宋体" w:cs="Times New Roman"/>
                <w:kern w:val="0"/>
                <w:sz w:val="24"/>
                <w:szCs w:val="28"/>
                <w:u w:val="single" w:color="auto"/>
                <w:lang w:val="en-US" w:eastAsia="zh-CN" w:bidi="ar-SA"/>
              </w:rPr>
            </w:pPr>
            <w:r>
              <w:rPr>
                <w:rFonts w:hint="eastAsia" w:ascii="宋体" w:hAnsi="Times New Roman" w:eastAsia="宋体" w:cs="Times New Roman"/>
                <w:kern w:val="0"/>
                <w:sz w:val="24"/>
                <w:szCs w:val="28"/>
                <w:u w:val="single" w:color="auto"/>
                <w:lang w:val="en-US" w:eastAsia="zh-CN" w:bidi="ar-SA"/>
              </w:rPr>
              <w:t>由上表可知，乌龙嘴断面监测断面中各因子均达到《地表水环境质量标准》（GB 3838-2002）中的</w:t>
            </w:r>
            <w:r>
              <w:rPr>
                <w:rFonts w:hint="default" w:ascii="宋体" w:hAnsi="Times New Roman" w:eastAsia="宋体" w:cs="Times New Roman"/>
                <w:kern w:val="0"/>
                <w:sz w:val="24"/>
                <w:szCs w:val="28"/>
                <w:u w:val="single" w:color="auto"/>
                <w:lang w:val="en-US" w:eastAsia="zh-CN" w:bidi="ar-SA"/>
              </w:rPr>
              <w:t>Ⅱ</w:t>
            </w:r>
            <w:r>
              <w:rPr>
                <w:rFonts w:hint="eastAsia" w:ascii="宋体" w:hAnsi="Times New Roman" w:eastAsia="宋体" w:cs="Times New Roman"/>
                <w:kern w:val="0"/>
                <w:sz w:val="24"/>
                <w:szCs w:val="28"/>
                <w:u w:val="single" w:color="auto"/>
                <w:lang w:val="en-US" w:eastAsia="zh-CN" w:bidi="ar-SA"/>
              </w:rPr>
              <w:t>类标准。</w:t>
            </w:r>
          </w:p>
          <w:p>
            <w:pPr>
              <w:numPr>
                <w:ilvl w:val="0"/>
                <w:numId w:val="6"/>
              </w:numPr>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声环境</w:t>
            </w:r>
          </w:p>
          <w:p>
            <w:pPr>
              <w:pStyle w:val="31"/>
              <w:spacing w:before="60"/>
              <w:ind w:left="527" w:firstLine="0"/>
            </w:pPr>
            <w:r>
              <w:rPr>
                <w:rFonts w:hint="eastAsia"/>
              </w:rPr>
              <w:t>本项目50m范围内无声环境保护目标。</w:t>
            </w:r>
          </w:p>
          <w:p>
            <w:pPr>
              <w:spacing w:line="360" w:lineRule="auto"/>
              <w:jc w:val="left"/>
              <w:rPr>
                <w:b/>
                <w:bCs/>
                <w:sz w:val="24"/>
              </w:rPr>
            </w:pPr>
            <w:r>
              <w:rPr>
                <w:b/>
                <w:bCs/>
                <w:sz w:val="24"/>
              </w:rPr>
              <w:t>4、生态环境</w:t>
            </w:r>
          </w:p>
          <w:p>
            <w:pPr>
              <w:spacing w:line="360" w:lineRule="auto"/>
              <w:ind w:firstLine="480" w:firstLineChars="200"/>
              <w:jc w:val="left"/>
              <w:rPr>
                <w:sz w:val="24"/>
              </w:rPr>
            </w:pPr>
            <w:r>
              <w:rPr>
                <w:kern w:val="0"/>
                <w:sz w:val="24"/>
              </w:rPr>
              <w:t>项目所在区域属于工业园，全部为工业用地，原有植被已经清</w:t>
            </w:r>
            <w:r>
              <w:rPr>
                <w:rFonts w:hint="eastAsia"/>
                <w:kern w:val="0"/>
                <w:sz w:val="24"/>
              </w:rPr>
              <w:t>除</w:t>
            </w:r>
            <w:r>
              <w:rPr>
                <w:kern w:val="0"/>
                <w:sz w:val="24"/>
              </w:rPr>
              <w:t>。根据现场踏勘，本项目区域内未发现野生珍稀动植物物种。</w:t>
            </w:r>
          </w:p>
          <w:p>
            <w:pPr>
              <w:spacing w:line="360" w:lineRule="auto"/>
              <w:jc w:val="left"/>
              <w:rPr>
                <w:b/>
                <w:bCs/>
                <w:sz w:val="24"/>
              </w:rPr>
            </w:pPr>
            <w:r>
              <w:rPr>
                <w:b/>
                <w:bCs/>
                <w:sz w:val="24"/>
              </w:rPr>
              <w:t>5、电磁辐射</w:t>
            </w:r>
          </w:p>
          <w:p>
            <w:pPr>
              <w:pStyle w:val="12"/>
              <w:snapToGrid/>
              <w:spacing w:before="0" w:after="0" w:line="360" w:lineRule="auto"/>
              <w:ind w:right="0" w:firstLine="480" w:firstLineChars="200"/>
              <w:rPr>
                <w:sz w:val="24"/>
                <w:szCs w:val="24"/>
              </w:rPr>
            </w:pPr>
            <w:r>
              <w:rPr>
                <w:sz w:val="24"/>
                <w:szCs w:val="24"/>
              </w:rPr>
              <w:t>本项目不属于电磁辐射类项目，无需开展电磁辐射环境现状调查。</w:t>
            </w:r>
          </w:p>
          <w:p>
            <w:pPr>
              <w:spacing w:line="360" w:lineRule="auto"/>
              <w:jc w:val="left"/>
              <w:rPr>
                <w:b/>
                <w:bCs/>
                <w:sz w:val="24"/>
              </w:rPr>
            </w:pPr>
            <w:r>
              <w:rPr>
                <w:b/>
                <w:bCs/>
                <w:sz w:val="24"/>
              </w:rPr>
              <w:t>6、地下水、土壤环境</w:t>
            </w:r>
          </w:p>
          <w:p>
            <w:pPr>
              <w:pStyle w:val="17"/>
              <w:spacing w:line="360" w:lineRule="auto"/>
              <w:ind w:firstLine="480" w:firstLineChars="200"/>
              <w:rPr>
                <w:rFonts w:ascii="Times New Roman" w:hAnsi="Times New Roman" w:cs="Times New Roman"/>
                <w:color w:val="0000FF"/>
              </w:rPr>
            </w:pPr>
            <w:r>
              <w:rPr>
                <w:rFonts w:ascii="Times New Roman" w:hAnsi="Times New Roman" w:cs="Times New Roman"/>
                <w:sz w:val="24"/>
                <w:szCs w:val="24"/>
              </w:rPr>
              <w:t>本项目生产废水</w:t>
            </w:r>
            <w:r>
              <w:rPr>
                <w:rFonts w:hint="eastAsia" w:ascii="Times New Roman" w:hAnsi="Times New Roman" w:cs="Times New Roman"/>
                <w:sz w:val="24"/>
                <w:szCs w:val="24"/>
              </w:rPr>
              <w:t>经预处理后</w:t>
            </w:r>
            <w:r>
              <w:rPr>
                <w:rFonts w:ascii="Times New Roman" w:hAnsi="Times New Roman" w:cs="Times New Roman"/>
                <w:sz w:val="24"/>
                <w:szCs w:val="24"/>
              </w:rPr>
              <w:t>经园区污水管网排入</w:t>
            </w:r>
            <w:r>
              <w:rPr>
                <w:rFonts w:hint="eastAsia" w:ascii="Times New Roman" w:hAnsi="Times New Roman" w:cs="Times New Roman"/>
                <w:sz w:val="24"/>
                <w:szCs w:val="24"/>
              </w:rPr>
              <w:t>湘阴县第二污水处理厂</w:t>
            </w:r>
            <w:r>
              <w:rPr>
                <w:rFonts w:ascii="Times New Roman" w:hAnsi="Times New Roman" w:cs="Times New Roman"/>
                <w:sz w:val="24"/>
                <w:szCs w:val="24"/>
              </w:rPr>
              <w:t>进行处理。</w:t>
            </w:r>
            <w:r>
              <w:rPr>
                <w:rFonts w:hint="eastAsia" w:ascii="Times New Roman" w:hAnsi="Times New Roman" w:cs="Times New Roman"/>
                <w:sz w:val="24"/>
                <w:szCs w:val="24"/>
              </w:rPr>
              <w:t>项目建成后，生产车间地面均进行硬化处理。根据《建设项目环境影响报告表编制技术指南 污染影响类》(试行) ，本项目地下水、土壤环境不开展环境质量现状调查。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color w:val="0000FF"/>
                <w:kern w:val="0"/>
                <w:szCs w:val="21"/>
              </w:rPr>
            </w:pPr>
            <w:r>
              <w:rPr>
                <w:kern w:val="0"/>
                <w:szCs w:val="21"/>
              </w:rPr>
              <w:t>目标</w:t>
            </w:r>
          </w:p>
        </w:tc>
        <w:tc>
          <w:tcPr>
            <w:tcW w:w="8338" w:type="dxa"/>
            <w:vAlign w:val="center"/>
          </w:tcPr>
          <w:p>
            <w:pPr>
              <w:spacing w:line="360" w:lineRule="auto"/>
              <w:ind w:firstLine="480" w:firstLineChars="200"/>
              <w:rPr>
                <w:sz w:val="24"/>
              </w:rPr>
            </w:pPr>
            <w:r>
              <w:rPr>
                <w:rFonts w:hint="eastAsia"/>
                <w:sz w:val="24"/>
              </w:rPr>
              <w:t>项目位于湘阴高新技术产业开发区洋沙湖片区芙蓉北路西侧、顺天大道南侧，处于工业园区域，</w:t>
            </w:r>
            <w:r>
              <w:rPr>
                <w:sz w:val="24"/>
              </w:rPr>
              <w:t>根据现场勘查，项目厂界外500m范围内无地下水集中式饮用水水源和热水、矿泉水、温泉等特殊地下水资源的保护目标</w:t>
            </w:r>
            <w:r>
              <w:rPr>
                <w:rFonts w:hint="eastAsia"/>
                <w:sz w:val="24"/>
              </w:rPr>
              <w:t>，项目</w:t>
            </w:r>
            <w:r>
              <w:rPr>
                <w:sz w:val="24"/>
              </w:rPr>
              <w:t>厂界外50m范围内</w:t>
            </w:r>
            <w:r>
              <w:rPr>
                <w:rFonts w:hint="eastAsia"/>
                <w:sz w:val="24"/>
              </w:rPr>
              <w:t>无声环境保护目标</w:t>
            </w:r>
            <w:r>
              <w:rPr>
                <w:sz w:val="24"/>
              </w:rPr>
              <w:t>。</w:t>
            </w:r>
          </w:p>
          <w:p>
            <w:pPr>
              <w:spacing w:line="360" w:lineRule="auto"/>
              <w:ind w:firstLine="480" w:firstLineChars="200"/>
              <w:rPr>
                <w:sz w:val="24"/>
              </w:rPr>
            </w:pPr>
            <w:r>
              <w:rPr>
                <w:rFonts w:hint="eastAsia"/>
                <w:sz w:val="24"/>
              </w:rPr>
              <w:t>本项目环境保护目标如下：</w:t>
            </w:r>
          </w:p>
          <w:p>
            <w:pPr>
              <w:jc w:val="center"/>
              <w:rPr>
                <w:b/>
                <w:szCs w:val="21"/>
              </w:rPr>
            </w:pPr>
            <w:r>
              <w:rPr>
                <w:b/>
                <w:szCs w:val="21"/>
              </w:rPr>
              <w:t>表3-</w:t>
            </w:r>
            <w:r>
              <w:rPr>
                <w:rFonts w:hint="eastAsia"/>
                <w:b/>
                <w:szCs w:val="21"/>
              </w:rPr>
              <w:t xml:space="preserve">4  </w:t>
            </w:r>
            <w:r>
              <w:rPr>
                <w:b/>
                <w:szCs w:val="21"/>
              </w:rPr>
              <w:t xml:space="preserve">  项目主要环境保护目标一览表</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218"/>
              <w:gridCol w:w="703"/>
              <w:gridCol w:w="1020"/>
              <w:gridCol w:w="2145"/>
              <w:gridCol w:w="1185"/>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472" w:type="pct"/>
                  <w:tcBorders>
                    <w:tl2br w:val="nil"/>
                    <w:tr2bl w:val="nil"/>
                  </w:tcBorders>
                  <w:shd w:val="clear" w:color="auto" w:fill="FFFFFF"/>
                  <w:vAlign w:val="center"/>
                </w:tcPr>
                <w:p>
                  <w:pPr>
                    <w:jc w:val="center"/>
                    <w:rPr>
                      <w:szCs w:val="21"/>
                    </w:rPr>
                  </w:pPr>
                  <w:r>
                    <w:rPr>
                      <w:szCs w:val="21"/>
                    </w:rPr>
                    <w:t>环境要素</w:t>
                  </w:r>
                </w:p>
              </w:tc>
              <w:tc>
                <w:tcPr>
                  <w:tcW w:w="751" w:type="pct"/>
                  <w:tcBorders>
                    <w:tl2br w:val="nil"/>
                    <w:tr2bl w:val="nil"/>
                  </w:tcBorders>
                  <w:shd w:val="clear" w:color="auto" w:fill="FFFFFF"/>
                  <w:vAlign w:val="center"/>
                </w:tcPr>
                <w:p>
                  <w:pPr>
                    <w:jc w:val="center"/>
                    <w:rPr>
                      <w:szCs w:val="21"/>
                    </w:rPr>
                  </w:pPr>
                  <w:r>
                    <w:rPr>
                      <w:szCs w:val="21"/>
                    </w:rPr>
                    <w:t>环保目标</w:t>
                  </w:r>
                </w:p>
              </w:tc>
              <w:tc>
                <w:tcPr>
                  <w:tcW w:w="433" w:type="pct"/>
                  <w:tcBorders>
                    <w:tl2br w:val="nil"/>
                    <w:tr2bl w:val="nil"/>
                  </w:tcBorders>
                  <w:shd w:val="clear" w:color="auto" w:fill="FFFFFF"/>
                  <w:vAlign w:val="center"/>
                </w:tcPr>
                <w:p>
                  <w:pPr>
                    <w:jc w:val="center"/>
                    <w:rPr>
                      <w:szCs w:val="21"/>
                    </w:rPr>
                  </w:pPr>
                  <w:r>
                    <w:rPr>
                      <w:szCs w:val="21"/>
                    </w:rPr>
                    <w:t>方位</w:t>
                  </w:r>
                </w:p>
              </w:tc>
              <w:tc>
                <w:tcPr>
                  <w:tcW w:w="629" w:type="pct"/>
                  <w:tcBorders>
                    <w:tl2br w:val="nil"/>
                    <w:tr2bl w:val="nil"/>
                  </w:tcBorders>
                  <w:shd w:val="clear" w:color="auto" w:fill="FFFFFF"/>
                  <w:vAlign w:val="center"/>
                </w:tcPr>
                <w:p>
                  <w:pPr>
                    <w:jc w:val="center"/>
                    <w:rPr>
                      <w:szCs w:val="21"/>
                    </w:rPr>
                  </w:pPr>
                  <w:r>
                    <w:rPr>
                      <w:rFonts w:hint="eastAsia"/>
                      <w:szCs w:val="21"/>
                    </w:rPr>
                    <w:t>与厂界最近</w:t>
                  </w:r>
                  <w:r>
                    <w:rPr>
                      <w:szCs w:val="21"/>
                    </w:rPr>
                    <w:t>距离/m</w:t>
                  </w:r>
                </w:p>
              </w:tc>
              <w:tc>
                <w:tcPr>
                  <w:tcW w:w="1323" w:type="pct"/>
                  <w:tcBorders>
                    <w:tl2br w:val="nil"/>
                    <w:tr2bl w:val="nil"/>
                  </w:tcBorders>
                  <w:shd w:val="clear" w:color="auto" w:fill="FFFFFF"/>
                  <w:vAlign w:val="center"/>
                </w:tcPr>
                <w:p>
                  <w:pPr>
                    <w:jc w:val="center"/>
                    <w:rPr>
                      <w:szCs w:val="21"/>
                    </w:rPr>
                  </w:pPr>
                  <w:r>
                    <w:rPr>
                      <w:szCs w:val="21"/>
                    </w:rPr>
                    <w:t>经纬度</w:t>
                  </w:r>
                </w:p>
              </w:tc>
              <w:tc>
                <w:tcPr>
                  <w:tcW w:w="731" w:type="pct"/>
                  <w:tcBorders>
                    <w:tl2br w:val="nil"/>
                    <w:tr2bl w:val="nil"/>
                  </w:tcBorders>
                  <w:shd w:val="clear" w:color="auto" w:fill="FFFFFF"/>
                  <w:vAlign w:val="center"/>
                </w:tcPr>
                <w:p>
                  <w:pPr>
                    <w:jc w:val="center"/>
                    <w:rPr>
                      <w:szCs w:val="21"/>
                    </w:rPr>
                  </w:pPr>
                  <w:r>
                    <w:rPr>
                      <w:szCs w:val="21"/>
                    </w:rPr>
                    <w:t>保护规模</w:t>
                  </w:r>
                </w:p>
              </w:tc>
              <w:tc>
                <w:tcPr>
                  <w:tcW w:w="658" w:type="pct"/>
                  <w:tcBorders>
                    <w:tl2br w:val="nil"/>
                    <w:tr2bl w:val="nil"/>
                  </w:tcBorders>
                  <w:shd w:val="clear" w:color="auto" w:fill="FFFFFF"/>
                  <w:vAlign w:val="center"/>
                </w:tcPr>
                <w:p>
                  <w:pPr>
                    <w:jc w:val="center"/>
                    <w:rPr>
                      <w:szCs w:val="21"/>
                    </w:rPr>
                  </w:pPr>
                  <w:r>
                    <w:rPr>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jc w:val="center"/>
              </w:trPr>
              <w:tc>
                <w:tcPr>
                  <w:tcW w:w="472" w:type="pct"/>
                  <w:vMerge w:val="restart"/>
                  <w:tcBorders>
                    <w:tl2br w:val="nil"/>
                    <w:tr2bl w:val="nil"/>
                  </w:tcBorders>
                  <w:shd w:val="clear" w:color="auto" w:fill="FFFFFF"/>
                  <w:vAlign w:val="center"/>
                </w:tcPr>
                <w:p>
                  <w:pPr>
                    <w:jc w:val="center"/>
                    <w:rPr>
                      <w:szCs w:val="21"/>
                    </w:rPr>
                  </w:pPr>
                  <w:r>
                    <w:rPr>
                      <w:szCs w:val="21"/>
                    </w:rPr>
                    <w:t>环境空气</w:t>
                  </w:r>
                </w:p>
              </w:tc>
              <w:tc>
                <w:tcPr>
                  <w:tcW w:w="751"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u w:val="single"/>
                      <w:lang w:val="en-US" w:eastAsia="zh-CN" w:bidi="ar-SA"/>
                    </w:rPr>
                  </w:pPr>
                  <w:r>
                    <w:rPr>
                      <w:rFonts w:hint="eastAsia"/>
                      <w:szCs w:val="21"/>
                      <w:u w:val="single"/>
                    </w:rPr>
                    <w:t>金和村村民委员会</w:t>
                  </w:r>
                </w:p>
              </w:tc>
              <w:tc>
                <w:tcPr>
                  <w:tcW w:w="433"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u w:val="single"/>
                      <w:lang w:val="en-US" w:eastAsia="zh-CN" w:bidi="ar-SA"/>
                    </w:rPr>
                  </w:pPr>
                  <w:r>
                    <w:rPr>
                      <w:rFonts w:hint="eastAsia"/>
                      <w:szCs w:val="21"/>
                      <w:u w:val="single"/>
                    </w:rPr>
                    <w:t>东</w:t>
                  </w:r>
                </w:p>
              </w:tc>
              <w:tc>
                <w:tcPr>
                  <w:tcW w:w="629"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u w:val="single"/>
                      <w:lang w:val="en-US" w:eastAsia="zh-CN" w:bidi="ar-SA"/>
                    </w:rPr>
                  </w:pPr>
                  <w:r>
                    <w:rPr>
                      <w:rFonts w:hint="eastAsia"/>
                      <w:szCs w:val="21"/>
                      <w:u w:val="single"/>
                    </w:rPr>
                    <w:t>380</w:t>
                  </w:r>
                </w:p>
              </w:tc>
              <w:tc>
                <w:tcPr>
                  <w:tcW w:w="1323" w:type="pct"/>
                  <w:tcBorders>
                    <w:tl2br w:val="nil"/>
                    <w:tr2bl w:val="nil"/>
                  </w:tcBorders>
                  <w:shd w:val="clear" w:color="auto" w:fill="auto"/>
                  <w:vAlign w:val="center"/>
                </w:tcPr>
                <w:p>
                  <w:pPr>
                    <w:jc w:val="center"/>
                    <w:rPr>
                      <w:szCs w:val="21"/>
                      <w:u w:val="single"/>
                    </w:rPr>
                  </w:pPr>
                  <w:r>
                    <w:rPr>
                      <w:rFonts w:hint="eastAsia"/>
                      <w:szCs w:val="21"/>
                      <w:u w:val="single"/>
                    </w:rPr>
                    <w:t>E112°55′41.069″</w:t>
                  </w:r>
                </w:p>
                <w:p>
                  <w:pPr>
                    <w:jc w:val="center"/>
                    <w:rPr>
                      <w:rFonts w:hint="eastAsia" w:ascii="Times New Roman" w:hAnsi="Times New Roman" w:eastAsia="宋体" w:cs="Times New Roman"/>
                      <w:kern w:val="2"/>
                      <w:sz w:val="21"/>
                      <w:szCs w:val="21"/>
                      <w:u w:val="single"/>
                      <w:lang w:val="en-US" w:eastAsia="zh-CN" w:bidi="ar-SA"/>
                    </w:rPr>
                  </w:pPr>
                  <w:r>
                    <w:rPr>
                      <w:rFonts w:hint="eastAsia"/>
                      <w:szCs w:val="21"/>
                      <w:u w:val="single"/>
                    </w:rPr>
                    <w:t>N28°37′49.464″</w:t>
                  </w:r>
                </w:p>
              </w:tc>
              <w:tc>
                <w:tcPr>
                  <w:tcW w:w="731"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u w:val="single"/>
                      <w:lang w:val="en-US" w:eastAsia="zh-CN" w:bidi="ar-SA"/>
                    </w:rPr>
                  </w:pPr>
                  <w:r>
                    <w:rPr>
                      <w:rFonts w:hint="eastAsia"/>
                      <w:szCs w:val="21"/>
                      <w:u w:val="single"/>
                    </w:rPr>
                    <w:t>约50人</w:t>
                  </w:r>
                </w:p>
              </w:tc>
              <w:tc>
                <w:tcPr>
                  <w:tcW w:w="658" w:type="pct"/>
                  <w:vMerge w:val="restart"/>
                  <w:tcBorders>
                    <w:tl2br w:val="nil"/>
                    <w:tr2bl w:val="nil"/>
                  </w:tcBorders>
                  <w:shd w:val="clear" w:color="auto" w:fill="FFFFFF"/>
                  <w:vAlign w:val="center"/>
                </w:tcPr>
                <w:p>
                  <w:pPr>
                    <w:jc w:val="center"/>
                    <w:rPr>
                      <w:szCs w:val="21"/>
                    </w:rPr>
                  </w:pPr>
                  <w: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472" w:type="pct"/>
                  <w:vMerge w:val="continue"/>
                  <w:tcBorders>
                    <w:tl2br w:val="nil"/>
                    <w:tr2bl w:val="nil"/>
                  </w:tcBorders>
                  <w:shd w:val="clear" w:color="auto" w:fill="FFFFFF"/>
                  <w:vAlign w:val="center"/>
                </w:tcPr>
                <w:p>
                  <w:pPr>
                    <w:jc w:val="center"/>
                    <w:rPr>
                      <w:szCs w:val="21"/>
                    </w:rPr>
                  </w:pPr>
                </w:p>
              </w:tc>
              <w:tc>
                <w:tcPr>
                  <w:tcW w:w="751" w:type="pct"/>
                  <w:tcBorders>
                    <w:tl2br w:val="nil"/>
                    <w:tr2bl w:val="nil"/>
                  </w:tcBorders>
                  <w:shd w:val="clear" w:color="auto" w:fill="FFFFFF"/>
                  <w:vAlign w:val="center"/>
                </w:tcPr>
                <w:p>
                  <w:pPr>
                    <w:jc w:val="center"/>
                    <w:rPr>
                      <w:rFonts w:hint="default" w:eastAsia="宋体"/>
                      <w:szCs w:val="21"/>
                      <w:u w:val="single"/>
                      <w:lang w:val="en-US" w:eastAsia="zh-CN"/>
                    </w:rPr>
                  </w:pPr>
                  <w:r>
                    <w:rPr>
                      <w:rFonts w:hint="eastAsia"/>
                      <w:szCs w:val="21"/>
                      <w:u w:val="single"/>
                      <w:lang w:val="en-US" w:eastAsia="zh-CN"/>
                    </w:rPr>
                    <w:t>金和村散户居民1</w:t>
                  </w:r>
                </w:p>
              </w:tc>
              <w:tc>
                <w:tcPr>
                  <w:tcW w:w="433" w:type="pct"/>
                  <w:tcBorders>
                    <w:tl2br w:val="nil"/>
                    <w:tr2bl w:val="nil"/>
                  </w:tcBorders>
                  <w:shd w:val="clear" w:color="auto" w:fill="FFFFFF"/>
                  <w:vAlign w:val="center"/>
                </w:tcPr>
                <w:p>
                  <w:pPr>
                    <w:jc w:val="center"/>
                    <w:rPr>
                      <w:rFonts w:hint="default" w:eastAsia="宋体"/>
                      <w:szCs w:val="21"/>
                      <w:u w:val="single"/>
                      <w:lang w:val="en-US" w:eastAsia="zh-CN"/>
                    </w:rPr>
                  </w:pPr>
                  <w:r>
                    <w:rPr>
                      <w:rFonts w:hint="eastAsia"/>
                      <w:szCs w:val="21"/>
                      <w:u w:val="single"/>
                      <w:lang w:val="en-US" w:eastAsia="zh-CN"/>
                    </w:rPr>
                    <w:t>南</w:t>
                  </w:r>
                </w:p>
              </w:tc>
              <w:tc>
                <w:tcPr>
                  <w:tcW w:w="629" w:type="pct"/>
                  <w:tcBorders>
                    <w:tl2br w:val="nil"/>
                    <w:tr2bl w:val="nil"/>
                  </w:tcBorders>
                  <w:shd w:val="clear" w:color="auto" w:fill="FFFFFF"/>
                  <w:vAlign w:val="center"/>
                </w:tcPr>
                <w:p>
                  <w:pPr>
                    <w:jc w:val="center"/>
                    <w:rPr>
                      <w:rFonts w:hint="default" w:eastAsia="宋体"/>
                      <w:szCs w:val="21"/>
                      <w:u w:val="single"/>
                      <w:lang w:val="en-US" w:eastAsia="zh-CN"/>
                    </w:rPr>
                  </w:pPr>
                  <w:r>
                    <w:rPr>
                      <w:rFonts w:hint="eastAsia"/>
                      <w:szCs w:val="21"/>
                      <w:u w:val="single"/>
                      <w:lang w:val="en-US" w:eastAsia="zh-CN"/>
                    </w:rPr>
                    <w:t>60-275m</w:t>
                  </w:r>
                </w:p>
              </w:tc>
              <w:tc>
                <w:tcPr>
                  <w:tcW w:w="1323" w:type="pct"/>
                  <w:tcBorders>
                    <w:tl2br w:val="nil"/>
                    <w:tr2bl w:val="nil"/>
                  </w:tcBorders>
                  <w:shd w:val="clear" w:color="auto" w:fill="FFFFFF"/>
                  <w:vAlign w:val="center"/>
                </w:tcPr>
                <w:p>
                  <w:pPr>
                    <w:jc w:val="center"/>
                    <w:rPr>
                      <w:szCs w:val="21"/>
                      <w:u w:val="single"/>
                    </w:rPr>
                  </w:pPr>
                  <w:r>
                    <w:rPr>
                      <w:rFonts w:hint="eastAsia"/>
                      <w:szCs w:val="21"/>
                      <w:u w:val="single"/>
                    </w:rPr>
                    <w:t>E112°55′</w:t>
                  </w:r>
                  <w:r>
                    <w:rPr>
                      <w:rFonts w:hint="eastAsia"/>
                      <w:szCs w:val="21"/>
                      <w:u w:val="single"/>
                      <w:lang w:val="en-US" w:eastAsia="zh-CN"/>
                    </w:rPr>
                    <w:t>16.311</w:t>
                  </w:r>
                  <w:r>
                    <w:rPr>
                      <w:rFonts w:hint="eastAsia"/>
                      <w:szCs w:val="21"/>
                      <w:u w:val="single"/>
                    </w:rPr>
                    <w:t>″</w:t>
                  </w:r>
                </w:p>
                <w:p>
                  <w:pPr>
                    <w:jc w:val="center"/>
                    <w:rPr>
                      <w:szCs w:val="21"/>
                      <w:u w:val="single"/>
                    </w:rPr>
                  </w:pPr>
                  <w:r>
                    <w:rPr>
                      <w:rFonts w:hint="eastAsia"/>
                      <w:szCs w:val="21"/>
                      <w:u w:val="single"/>
                    </w:rPr>
                    <w:t>N28°37′</w:t>
                  </w:r>
                  <w:r>
                    <w:rPr>
                      <w:rFonts w:hint="eastAsia"/>
                      <w:szCs w:val="21"/>
                      <w:u w:val="single"/>
                      <w:lang w:val="en-US" w:eastAsia="zh-CN"/>
                    </w:rPr>
                    <w:t>27.738</w:t>
                  </w:r>
                  <w:r>
                    <w:rPr>
                      <w:rFonts w:hint="eastAsia"/>
                      <w:szCs w:val="21"/>
                      <w:u w:val="single"/>
                    </w:rPr>
                    <w:t>″</w:t>
                  </w:r>
                </w:p>
              </w:tc>
              <w:tc>
                <w:tcPr>
                  <w:tcW w:w="731" w:type="pct"/>
                  <w:tcBorders>
                    <w:tl2br w:val="nil"/>
                    <w:tr2bl w:val="nil"/>
                  </w:tcBorders>
                  <w:shd w:val="clear" w:color="auto" w:fill="FFFFFF"/>
                  <w:vAlign w:val="center"/>
                </w:tcPr>
                <w:p>
                  <w:pPr>
                    <w:jc w:val="center"/>
                    <w:rPr>
                      <w:rFonts w:hint="default" w:eastAsia="宋体"/>
                      <w:szCs w:val="21"/>
                      <w:u w:val="single"/>
                      <w:lang w:val="en-US" w:eastAsia="zh-CN"/>
                    </w:rPr>
                  </w:pPr>
                  <w:r>
                    <w:rPr>
                      <w:rFonts w:hint="eastAsia"/>
                      <w:szCs w:val="21"/>
                      <w:u w:val="single"/>
                      <w:lang w:val="en-US" w:eastAsia="zh-CN"/>
                    </w:rPr>
                    <w:t>约80户，400人</w:t>
                  </w:r>
                </w:p>
              </w:tc>
              <w:tc>
                <w:tcPr>
                  <w:tcW w:w="658" w:type="pct"/>
                  <w:vMerge w:val="continue"/>
                  <w:tcBorders>
                    <w:tl2br w:val="nil"/>
                    <w:tr2bl w:val="nil"/>
                  </w:tcBorders>
                  <w:shd w:val="clear" w:color="auto" w:fill="FFFFFF"/>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72" w:type="pct"/>
                  <w:vMerge w:val="continue"/>
                  <w:tcBorders>
                    <w:tl2br w:val="nil"/>
                    <w:tr2bl w:val="nil"/>
                  </w:tcBorders>
                  <w:shd w:val="clear" w:color="auto" w:fill="FFFFFF"/>
                  <w:vAlign w:val="center"/>
                </w:tcPr>
                <w:p>
                  <w:pPr>
                    <w:jc w:val="center"/>
                    <w:rPr>
                      <w:szCs w:val="21"/>
                    </w:rPr>
                  </w:pPr>
                </w:p>
              </w:tc>
              <w:tc>
                <w:tcPr>
                  <w:tcW w:w="751" w:type="pct"/>
                  <w:tcBorders>
                    <w:tl2br w:val="nil"/>
                    <w:tr2bl w:val="nil"/>
                  </w:tcBorders>
                  <w:vAlign w:val="center"/>
                </w:tcPr>
                <w:p>
                  <w:pPr>
                    <w:jc w:val="center"/>
                    <w:rPr>
                      <w:rFonts w:hint="eastAsia" w:eastAsia="宋体"/>
                      <w:szCs w:val="21"/>
                      <w:u w:val="single"/>
                      <w:lang w:eastAsia="zh-CN"/>
                    </w:rPr>
                  </w:pPr>
                  <w:r>
                    <w:rPr>
                      <w:rFonts w:hint="eastAsia"/>
                      <w:szCs w:val="21"/>
                      <w:u w:val="single"/>
                    </w:rPr>
                    <w:t>金和村散户居民点</w:t>
                  </w:r>
                  <w:r>
                    <w:rPr>
                      <w:rFonts w:hint="eastAsia"/>
                      <w:szCs w:val="21"/>
                      <w:u w:val="single"/>
                      <w:lang w:val="en-US" w:eastAsia="zh-CN"/>
                    </w:rPr>
                    <w:t>2</w:t>
                  </w:r>
                </w:p>
              </w:tc>
              <w:tc>
                <w:tcPr>
                  <w:tcW w:w="433" w:type="pct"/>
                  <w:tcBorders>
                    <w:tl2br w:val="nil"/>
                    <w:tr2bl w:val="nil"/>
                  </w:tcBorders>
                  <w:vAlign w:val="center"/>
                </w:tcPr>
                <w:p>
                  <w:pPr>
                    <w:jc w:val="center"/>
                    <w:rPr>
                      <w:szCs w:val="21"/>
                      <w:u w:val="single"/>
                    </w:rPr>
                  </w:pPr>
                  <w:r>
                    <w:rPr>
                      <w:rFonts w:hint="eastAsia"/>
                      <w:szCs w:val="21"/>
                      <w:u w:val="single"/>
                    </w:rPr>
                    <w:t>东北</w:t>
                  </w:r>
                </w:p>
              </w:tc>
              <w:tc>
                <w:tcPr>
                  <w:tcW w:w="629" w:type="pct"/>
                  <w:tcBorders>
                    <w:tl2br w:val="nil"/>
                    <w:tr2bl w:val="nil"/>
                  </w:tcBorders>
                  <w:vAlign w:val="center"/>
                </w:tcPr>
                <w:p>
                  <w:pPr>
                    <w:jc w:val="center"/>
                    <w:rPr>
                      <w:szCs w:val="21"/>
                      <w:u w:val="single"/>
                    </w:rPr>
                  </w:pPr>
                  <w:r>
                    <w:rPr>
                      <w:rFonts w:hint="eastAsia"/>
                      <w:szCs w:val="21"/>
                      <w:u w:val="single"/>
                    </w:rPr>
                    <w:t>350-500</w:t>
                  </w:r>
                </w:p>
              </w:tc>
              <w:tc>
                <w:tcPr>
                  <w:tcW w:w="1323" w:type="pct"/>
                  <w:tcBorders>
                    <w:tl2br w:val="nil"/>
                    <w:tr2bl w:val="nil"/>
                  </w:tcBorders>
                  <w:vAlign w:val="center"/>
                </w:tcPr>
                <w:p>
                  <w:pPr>
                    <w:jc w:val="center"/>
                    <w:rPr>
                      <w:szCs w:val="21"/>
                      <w:u w:val="single"/>
                    </w:rPr>
                  </w:pPr>
                  <w:r>
                    <w:rPr>
                      <w:rFonts w:hint="eastAsia"/>
                      <w:szCs w:val="21"/>
                      <w:u w:val="single"/>
                    </w:rPr>
                    <w:t>E112°55′42.846″</w:t>
                  </w:r>
                </w:p>
                <w:p>
                  <w:pPr>
                    <w:jc w:val="center"/>
                    <w:rPr>
                      <w:szCs w:val="21"/>
                      <w:u w:val="single"/>
                    </w:rPr>
                  </w:pPr>
                  <w:r>
                    <w:rPr>
                      <w:rFonts w:hint="eastAsia"/>
                      <w:szCs w:val="21"/>
                      <w:u w:val="single"/>
                    </w:rPr>
                    <w:t>N28°37′36.564″</w:t>
                  </w:r>
                </w:p>
              </w:tc>
              <w:tc>
                <w:tcPr>
                  <w:tcW w:w="731" w:type="pct"/>
                  <w:tcBorders>
                    <w:tl2br w:val="nil"/>
                    <w:tr2bl w:val="nil"/>
                  </w:tcBorders>
                  <w:vAlign w:val="center"/>
                </w:tcPr>
                <w:p>
                  <w:pPr>
                    <w:jc w:val="center"/>
                    <w:rPr>
                      <w:szCs w:val="21"/>
                      <w:u w:val="single"/>
                    </w:rPr>
                  </w:pPr>
                  <w:r>
                    <w:rPr>
                      <w:rFonts w:hint="eastAsia"/>
                      <w:szCs w:val="21"/>
                      <w:u w:val="single"/>
                    </w:rPr>
                    <w:t>50户，约250人</w:t>
                  </w:r>
                </w:p>
              </w:tc>
              <w:tc>
                <w:tcPr>
                  <w:tcW w:w="658" w:type="pct"/>
                  <w:vMerge w:val="continue"/>
                  <w:tcBorders>
                    <w:tl2br w:val="nil"/>
                    <w:tr2bl w:val="nil"/>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72" w:type="pct"/>
                  <w:vMerge w:val="continue"/>
                  <w:tcBorders>
                    <w:tl2br w:val="nil"/>
                    <w:tr2bl w:val="nil"/>
                  </w:tcBorders>
                  <w:shd w:val="clear" w:color="auto" w:fill="FFFFFF"/>
                  <w:vAlign w:val="center"/>
                </w:tcPr>
                <w:p>
                  <w:pPr>
                    <w:jc w:val="center"/>
                    <w:rPr>
                      <w:szCs w:val="21"/>
                    </w:rPr>
                  </w:pPr>
                </w:p>
              </w:tc>
              <w:tc>
                <w:tcPr>
                  <w:tcW w:w="751" w:type="pct"/>
                  <w:tcBorders>
                    <w:tl2br w:val="nil"/>
                    <w:tr2bl w:val="nil"/>
                  </w:tcBorders>
                  <w:vAlign w:val="center"/>
                </w:tcPr>
                <w:p>
                  <w:pPr>
                    <w:jc w:val="center"/>
                    <w:rPr>
                      <w:rFonts w:hint="eastAsia" w:eastAsia="宋体"/>
                      <w:szCs w:val="21"/>
                      <w:u w:val="single"/>
                      <w:lang w:eastAsia="zh-CN"/>
                    </w:rPr>
                  </w:pPr>
                  <w:r>
                    <w:rPr>
                      <w:rFonts w:hint="eastAsia"/>
                      <w:szCs w:val="21"/>
                      <w:u w:val="single"/>
                    </w:rPr>
                    <w:t>金和村散户居民点</w:t>
                  </w:r>
                  <w:r>
                    <w:rPr>
                      <w:rFonts w:hint="eastAsia"/>
                      <w:szCs w:val="21"/>
                      <w:u w:val="single"/>
                      <w:lang w:val="en-US" w:eastAsia="zh-CN"/>
                    </w:rPr>
                    <w:t>3</w:t>
                  </w:r>
                </w:p>
              </w:tc>
              <w:tc>
                <w:tcPr>
                  <w:tcW w:w="433" w:type="pct"/>
                  <w:tcBorders>
                    <w:tl2br w:val="nil"/>
                    <w:tr2bl w:val="nil"/>
                  </w:tcBorders>
                  <w:vAlign w:val="center"/>
                </w:tcPr>
                <w:p>
                  <w:pPr>
                    <w:jc w:val="center"/>
                    <w:rPr>
                      <w:szCs w:val="21"/>
                      <w:u w:val="single"/>
                    </w:rPr>
                  </w:pPr>
                  <w:r>
                    <w:rPr>
                      <w:rFonts w:hint="eastAsia"/>
                      <w:szCs w:val="21"/>
                      <w:u w:val="single"/>
                    </w:rPr>
                    <w:t>东南</w:t>
                  </w:r>
                </w:p>
              </w:tc>
              <w:tc>
                <w:tcPr>
                  <w:tcW w:w="629" w:type="pct"/>
                  <w:tcBorders>
                    <w:tl2br w:val="nil"/>
                    <w:tr2bl w:val="nil"/>
                  </w:tcBorders>
                  <w:vAlign w:val="center"/>
                </w:tcPr>
                <w:p>
                  <w:pPr>
                    <w:jc w:val="center"/>
                    <w:rPr>
                      <w:szCs w:val="21"/>
                      <w:u w:val="single"/>
                    </w:rPr>
                  </w:pPr>
                  <w:r>
                    <w:rPr>
                      <w:rFonts w:hint="eastAsia"/>
                      <w:szCs w:val="21"/>
                      <w:u w:val="single"/>
                    </w:rPr>
                    <w:t>240-350</w:t>
                  </w:r>
                </w:p>
              </w:tc>
              <w:tc>
                <w:tcPr>
                  <w:tcW w:w="1323" w:type="pct"/>
                  <w:tcBorders>
                    <w:tl2br w:val="nil"/>
                    <w:tr2bl w:val="nil"/>
                  </w:tcBorders>
                  <w:vAlign w:val="center"/>
                </w:tcPr>
                <w:p>
                  <w:pPr>
                    <w:jc w:val="center"/>
                    <w:rPr>
                      <w:szCs w:val="21"/>
                      <w:u w:val="single"/>
                    </w:rPr>
                  </w:pPr>
                  <w:r>
                    <w:rPr>
                      <w:rFonts w:hint="eastAsia"/>
                      <w:szCs w:val="21"/>
                      <w:u w:val="single"/>
                    </w:rPr>
                    <w:t>E112°55′29.482″</w:t>
                  </w:r>
                </w:p>
                <w:p>
                  <w:pPr>
                    <w:jc w:val="center"/>
                    <w:rPr>
                      <w:szCs w:val="21"/>
                      <w:u w:val="single"/>
                    </w:rPr>
                  </w:pPr>
                  <w:r>
                    <w:rPr>
                      <w:rFonts w:hint="eastAsia"/>
                      <w:szCs w:val="21"/>
                      <w:u w:val="single"/>
                    </w:rPr>
                    <w:t>N28°37′16.943″</w:t>
                  </w:r>
                </w:p>
              </w:tc>
              <w:tc>
                <w:tcPr>
                  <w:tcW w:w="731" w:type="pct"/>
                  <w:tcBorders>
                    <w:tl2br w:val="nil"/>
                    <w:tr2bl w:val="nil"/>
                  </w:tcBorders>
                  <w:vAlign w:val="center"/>
                </w:tcPr>
                <w:p>
                  <w:pPr>
                    <w:jc w:val="center"/>
                    <w:rPr>
                      <w:szCs w:val="21"/>
                      <w:u w:val="single"/>
                    </w:rPr>
                  </w:pPr>
                  <w:r>
                    <w:rPr>
                      <w:rFonts w:hint="eastAsia"/>
                      <w:szCs w:val="21"/>
                      <w:u w:val="single"/>
                    </w:rPr>
                    <w:t>15户，约75人</w:t>
                  </w:r>
                </w:p>
              </w:tc>
              <w:tc>
                <w:tcPr>
                  <w:tcW w:w="658" w:type="pct"/>
                  <w:vMerge w:val="continue"/>
                  <w:tcBorders>
                    <w:tl2br w:val="nil"/>
                    <w:tr2bl w:val="nil"/>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72" w:type="pct"/>
                  <w:vMerge w:val="continue"/>
                  <w:tcBorders>
                    <w:tl2br w:val="nil"/>
                    <w:tr2bl w:val="nil"/>
                  </w:tcBorders>
                  <w:shd w:val="clear" w:color="auto" w:fill="FFFFFF"/>
                  <w:vAlign w:val="center"/>
                </w:tcPr>
                <w:p>
                  <w:pPr>
                    <w:jc w:val="center"/>
                    <w:rPr>
                      <w:szCs w:val="21"/>
                    </w:rPr>
                  </w:pPr>
                </w:p>
              </w:tc>
              <w:tc>
                <w:tcPr>
                  <w:tcW w:w="751" w:type="pct"/>
                  <w:tcBorders>
                    <w:tl2br w:val="nil"/>
                    <w:tr2bl w:val="nil"/>
                  </w:tcBorders>
                  <w:vAlign w:val="center"/>
                </w:tcPr>
                <w:p>
                  <w:pPr>
                    <w:jc w:val="center"/>
                    <w:rPr>
                      <w:rFonts w:hint="eastAsia" w:eastAsia="宋体"/>
                      <w:szCs w:val="21"/>
                      <w:u w:val="single"/>
                      <w:lang w:eastAsia="zh-CN"/>
                    </w:rPr>
                  </w:pPr>
                  <w:r>
                    <w:rPr>
                      <w:rFonts w:hint="eastAsia"/>
                      <w:szCs w:val="21"/>
                      <w:u w:val="single"/>
                    </w:rPr>
                    <w:t>金和村散户居民点</w:t>
                  </w:r>
                  <w:r>
                    <w:rPr>
                      <w:rFonts w:hint="eastAsia"/>
                      <w:szCs w:val="21"/>
                      <w:u w:val="single"/>
                      <w:lang w:val="en-US" w:eastAsia="zh-CN"/>
                    </w:rPr>
                    <w:t>4</w:t>
                  </w:r>
                </w:p>
              </w:tc>
              <w:tc>
                <w:tcPr>
                  <w:tcW w:w="433" w:type="pct"/>
                  <w:tcBorders>
                    <w:tl2br w:val="nil"/>
                    <w:tr2bl w:val="nil"/>
                  </w:tcBorders>
                  <w:vAlign w:val="center"/>
                </w:tcPr>
                <w:p>
                  <w:pPr>
                    <w:jc w:val="center"/>
                    <w:rPr>
                      <w:szCs w:val="21"/>
                      <w:u w:val="single"/>
                    </w:rPr>
                  </w:pPr>
                  <w:r>
                    <w:rPr>
                      <w:rFonts w:hint="eastAsia"/>
                      <w:szCs w:val="21"/>
                      <w:u w:val="single"/>
                    </w:rPr>
                    <w:t>南</w:t>
                  </w:r>
                </w:p>
              </w:tc>
              <w:tc>
                <w:tcPr>
                  <w:tcW w:w="629" w:type="pct"/>
                  <w:tcBorders>
                    <w:tl2br w:val="nil"/>
                    <w:tr2bl w:val="nil"/>
                  </w:tcBorders>
                  <w:vAlign w:val="center"/>
                </w:tcPr>
                <w:p>
                  <w:pPr>
                    <w:jc w:val="center"/>
                    <w:rPr>
                      <w:szCs w:val="21"/>
                      <w:u w:val="single"/>
                    </w:rPr>
                  </w:pPr>
                  <w:r>
                    <w:rPr>
                      <w:rFonts w:hint="eastAsia"/>
                      <w:szCs w:val="21"/>
                      <w:u w:val="single"/>
                    </w:rPr>
                    <w:t>380-500</w:t>
                  </w:r>
                </w:p>
              </w:tc>
              <w:tc>
                <w:tcPr>
                  <w:tcW w:w="1323" w:type="pct"/>
                  <w:tcBorders>
                    <w:tl2br w:val="nil"/>
                    <w:tr2bl w:val="nil"/>
                  </w:tcBorders>
                  <w:vAlign w:val="center"/>
                </w:tcPr>
                <w:p>
                  <w:pPr>
                    <w:jc w:val="center"/>
                    <w:rPr>
                      <w:szCs w:val="21"/>
                      <w:u w:val="single"/>
                    </w:rPr>
                  </w:pPr>
                  <w:r>
                    <w:rPr>
                      <w:rFonts w:hint="eastAsia"/>
                      <w:szCs w:val="21"/>
                      <w:u w:val="single"/>
                    </w:rPr>
                    <w:t>E112°55′38.597″</w:t>
                  </w:r>
                </w:p>
                <w:p>
                  <w:pPr>
                    <w:jc w:val="center"/>
                    <w:rPr>
                      <w:szCs w:val="21"/>
                      <w:u w:val="single"/>
                    </w:rPr>
                  </w:pPr>
                  <w:r>
                    <w:rPr>
                      <w:rFonts w:hint="eastAsia"/>
                      <w:szCs w:val="21"/>
                      <w:u w:val="single"/>
                    </w:rPr>
                    <w:t>N28°37′29.302″</w:t>
                  </w:r>
                </w:p>
              </w:tc>
              <w:tc>
                <w:tcPr>
                  <w:tcW w:w="731" w:type="pct"/>
                  <w:tcBorders>
                    <w:tl2br w:val="nil"/>
                    <w:tr2bl w:val="nil"/>
                  </w:tcBorders>
                  <w:vAlign w:val="center"/>
                </w:tcPr>
                <w:p>
                  <w:pPr>
                    <w:jc w:val="center"/>
                    <w:rPr>
                      <w:szCs w:val="21"/>
                      <w:u w:val="single"/>
                    </w:rPr>
                  </w:pPr>
                  <w:r>
                    <w:rPr>
                      <w:rFonts w:hint="eastAsia"/>
                      <w:szCs w:val="21"/>
                      <w:u w:val="single"/>
                    </w:rPr>
                    <w:t>50户，约250人</w:t>
                  </w:r>
                </w:p>
              </w:tc>
              <w:tc>
                <w:tcPr>
                  <w:tcW w:w="658" w:type="pct"/>
                  <w:vMerge w:val="continue"/>
                  <w:tcBorders>
                    <w:tl2br w:val="nil"/>
                    <w:tr2bl w:val="nil"/>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72" w:type="pct"/>
                  <w:vMerge w:val="continue"/>
                  <w:tcBorders>
                    <w:tl2br w:val="nil"/>
                    <w:tr2bl w:val="nil"/>
                  </w:tcBorders>
                  <w:shd w:val="clear" w:color="auto" w:fill="FFFFFF"/>
                  <w:vAlign w:val="center"/>
                </w:tcPr>
                <w:p>
                  <w:pPr>
                    <w:jc w:val="center"/>
                    <w:rPr>
                      <w:szCs w:val="21"/>
                    </w:rPr>
                  </w:pPr>
                </w:p>
              </w:tc>
              <w:tc>
                <w:tcPr>
                  <w:tcW w:w="751" w:type="pct"/>
                  <w:tcBorders>
                    <w:tl2br w:val="nil"/>
                    <w:tr2bl w:val="nil"/>
                  </w:tcBorders>
                  <w:vAlign w:val="center"/>
                </w:tcPr>
                <w:p>
                  <w:pPr>
                    <w:jc w:val="center"/>
                    <w:rPr>
                      <w:szCs w:val="21"/>
                      <w:u w:val="single"/>
                    </w:rPr>
                  </w:pPr>
                  <w:r>
                    <w:rPr>
                      <w:rFonts w:hint="eastAsia"/>
                      <w:szCs w:val="21"/>
                      <w:u w:val="single"/>
                    </w:rPr>
                    <w:t>名胜村散户居民点</w:t>
                  </w:r>
                </w:p>
              </w:tc>
              <w:tc>
                <w:tcPr>
                  <w:tcW w:w="433" w:type="pct"/>
                  <w:tcBorders>
                    <w:tl2br w:val="nil"/>
                    <w:tr2bl w:val="nil"/>
                  </w:tcBorders>
                  <w:vAlign w:val="center"/>
                </w:tcPr>
                <w:p>
                  <w:pPr>
                    <w:jc w:val="center"/>
                    <w:rPr>
                      <w:szCs w:val="21"/>
                      <w:u w:val="single"/>
                    </w:rPr>
                  </w:pPr>
                  <w:r>
                    <w:rPr>
                      <w:rFonts w:hint="eastAsia"/>
                      <w:szCs w:val="21"/>
                      <w:u w:val="single"/>
                    </w:rPr>
                    <w:t>南</w:t>
                  </w:r>
                </w:p>
              </w:tc>
              <w:tc>
                <w:tcPr>
                  <w:tcW w:w="629" w:type="pct"/>
                  <w:tcBorders>
                    <w:tl2br w:val="nil"/>
                    <w:tr2bl w:val="nil"/>
                  </w:tcBorders>
                  <w:vAlign w:val="center"/>
                </w:tcPr>
                <w:p>
                  <w:pPr>
                    <w:jc w:val="center"/>
                    <w:rPr>
                      <w:szCs w:val="21"/>
                      <w:u w:val="single"/>
                    </w:rPr>
                  </w:pPr>
                  <w:r>
                    <w:rPr>
                      <w:rFonts w:hint="eastAsia"/>
                      <w:szCs w:val="21"/>
                      <w:u w:val="single"/>
                    </w:rPr>
                    <w:t>380-500</w:t>
                  </w:r>
                </w:p>
              </w:tc>
              <w:tc>
                <w:tcPr>
                  <w:tcW w:w="1323" w:type="pct"/>
                  <w:tcBorders>
                    <w:tl2br w:val="nil"/>
                    <w:tr2bl w:val="nil"/>
                  </w:tcBorders>
                  <w:vAlign w:val="center"/>
                </w:tcPr>
                <w:p>
                  <w:pPr>
                    <w:jc w:val="center"/>
                    <w:rPr>
                      <w:szCs w:val="21"/>
                      <w:u w:val="single"/>
                    </w:rPr>
                  </w:pPr>
                  <w:r>
                    <w:rPr>
                      <w:rFonts w:hint="eastAsia"/>
                      <w:szCs w:val="21"/>
                      <w:u w:val="single"/>
                    </w:rPr>
                    <w:t>E112°55′15.732″</w:t>
                  </w:r>
                </w:p>
                <w:p>
                  <w:pPr>
                    <w:jc w:val="center"/>
                    <w:rPr>
                      <w:szCs w:val="21"/>
                      <w:u w:val="single"/>
                    </w:rPr>
                  </w:pPr>
                  <w:r>
                    <w:rPr>
                      <w:rFonts w:hint="eastAsia"/>
                      <w:szCs w:val="21"/>
                      <w:u w:val="single"/>
                    </w:rPr>
                    <w:t>N28°37′17.406″</w:t>
                  </w:r>
                </w:p>
              </w:tc>
              <w:tc>
                <w:tcPr>
                  <w:tcW w:w="731" w:type="pct"/>
                  <w:tcBorders>
                    <w:tl2br w:val="nil"/>
                    <w:tr2bl w:val="nil"/>
                  </w:tcBorders>
                  <w:vAlign w:val="center"/>
                </w:tcPr>
                <w:p>
                  <w:pPr>
                    <w:jc w:val="center"/>
                    <w:rPr>
                      <w:szCs w:val="21"/>
                      <w:u w:val="single"/>
                    </w:rPr>
                  </w:pPr>
                  <w:r>
                    <w:rPr>
                      <w:rFonts w:hint="eastAsia"/>
                      <w:szCs w:val="21"/>
                      <w:u w:val="single"/>
                    </w:rPr>
                    <w:t>约60户，300人</w:t>
                  </w:r>
                </w:p>
              </w:tc>
              <w:tc>
                <w:tcPr>
                  <w:tcW w:w="658" w:type="pct"/>
                  <w:vMerge w:val="continue"/>
                  <w:tcBorders>
                    <w:tl2br w:val="nil"/>
                    <w:tr2bl w:val="nil"/>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472" w:type="pct"/>
                  <w:vMerge w:val="restart"/>
                  <w:tcBorders>
                    <w:tl2br w:val="nil"/>
                    <w:tr2bl w:val="nil"/>
                  </w:tcBorders>
                  <w:shd w:val="clear" w:color="auto" w:fill="FFFFFF"/>
                  <w:vAlign w:val="center"/>
                </w:tcPr>
                <w:p>
                  <w:pPr>
                    <w:jc w:val="center"/>
                    <w:rPr>
                      <w:szCs w:val="21"/>
                    </w:rPr>
                  </w:pPr>
                  <w:r>
                    <w:rPr>
                      <w:szCs w:val="21"/>
                    </w:rPr>
                    <w:t>地表水</w:t>
                  </w:r>
                </w:p>
              </w:tc>
              <w:tc>
                <w:tcPr>
                  <w:tcW w:w="751" w:type="pct"/>
                  <w:tcBorders>
                    <w:tl2br w:val="nil"/>
                    <w:tr2bl w:val="nil"/>
                  </w:tcBorders>
                  <w:vAlign w:val="center"/>
                </w:tcPr>
                <w:p>
                  <w:pPr>
                    <w:jc w:val="center"/>
                  </w:pPr>
                  <w:r>
                    <w:t>洋沙湖</w:t>
                  </w:r>
                </w:p>
              </w:tc>
              <w:tc>
                <w:tcPr>
                  <w:tcW w:w="433" w:type="pct"/>
                  <w:tcBorders>
                    <w:tl2br w:val="nil"/>
                    <w:tr2bl w:val="nil"/>
                  </w:tcBorders>
                  <w:vAlign w:val="center"/>
                </w:tcPr>
                <w:p>
                  <w:pPr>
                    <w:jc w:val="center"/>
                  </w:pPr>
                  <w:r>
                    <w:rPr>
                      <w:rFonts w:hint="eastAsia"/>
                    </w:rPr>
                    <w:t>西侧</w:t>
                  </w:r>
                </w:p>
              </w:tc>
              <w:tc>
                <w:tcPr>
                  <w:tcW w:w="629" w:type="pct"/>
                  <w:tcBorders>
                    <w:tl2br w:val="nil"/>
                    <w:tr2bl w:val="nil"/>
                  </w:tcBorders>
                  <w:vAlign w:val="center"/>
                </w:tcPr>
                <w:p>
                  <w:pPr>
                    <w:jc w:val="center"/>
                  </w:pPr>
                  <w:r>
                    <w:rPr>
                      <w:rFonts w:hint="eastAsia"/>
                    </w:rPr>
                    <w:t>4300m</w:t>
                  </w:r>
                </w:p>
              </w:tc>
              <w:tc>
                <w:tcPr>
                  <w:tcW w:w="1323" w:type="pct"/>
                  <w:tcBorders>
                    <w:tl2br w:val="nil"/>
                    <w:tr2bl w:val="nil"/>
                  </w:tcBorders>
                  <w:vAlign w:val="center"/>
                </w:tcPr>
                <w:p>
                  <w:pPr>
                    <w:jc w:val="center"/>
                  </w:pPr>
                  <w:r>
                    <w:t>/</w:t>
                  </w:r>
                </w:p>
              </w:tc>
              <w:tc>
                <w:tcPr>
                  <w:tcW w:w="731" w:type="pct"/>
                  <w:tcBorders>
                    <w:tl2br w:val="nil"/>
                    <w:tr2bl w:val="nil"/>
                  </w:tcBorders>
                  <w:vAlign w:val="center"/>
                </w:tcPr>
                <w:p>
                  <w:pPr>
                    <w:jc w:val="center"/>
                  </w:pPr>
                  <w:r>
                    <w:rPr>
                      <w:rFonts w:hint="eastAsia"/>
                      <w:szCs w:val="21"/>
                    </w:rPr>
                    <w:t>湿地公园</w:t>
                  </w:r>
                </w:p>
              </w:tc>
              <w:tc>
                <w:tcPr>
                  <w:tcW w:w="658" w:type="pct"/>
                  <w:vMerge w:val="restart"/>
                  <w:tcBorders>
                    <w:tl2br w:val="nil"/>
                    <w:tr2bl w:val="nil"/>
                  </w:tcBorders>
                  <w:vAlign w:val="center"/>
                </w:tcPr>
                <w:p>
                  <w:pPr>
                    <w:jc w:val="center"/>
                  </w:pPr>
                  <w:r>
                    <w:t>《地表水环境质量标准》（GB3838-2002）Ⅲ类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72" w:type="pct"/>
                  <w:vMerge w:val="continue"/>
                  <w:tcBorders>
                    <w:tl2br w:val="nil"/>
                    <w:tr2bl w:val="nil"/>
                  </w:tcBorders>
                  <w:shd w:val="clear" w:color="auto" w:fill="FFFFFF"/>
                  <w:vAlign w:val="center"/>
                </w:tcPr>
                <w:p>
                  <w:pPr>
                    <w:jc w:val="center"/>
                    <w:rPr>
                      <w:szCs w:val="21"/>
                    </w:rPr>
                  </w:pPr>
                </w:p>
              </w:tc>
              <w:tc>
                <w:tcPr>
                  <w:tcW w:w="751" w:type="pct"/>
                  <w:tcBorders>
                    <w:tl2br w:val="nil"/>
                    <w:tr2bl w:val="nil"/>
                  </w:tcBorders>
                  <w:vAlign w:val="center"/>
                </w:tcPr>
                <w:p>
                  <w:pPr>
                    <w:jc w:val="center"/>
                  </w:pPr>
                  <w:r>
                    <w:t>湘江</w:t>
                  </w:r>
                </w:p>
              </w:tc>
              <w:tc>
                <w:tcPr>
                  <w:tcW w:w="433" w:type="pct"/>
                  <w:tcBorders>
                    <w:tl2br w:val="nil"/>
                    <w:tr2bl w:val="nil"/>
                  </w:tcBorders>
                  <w:vAlign w:val="center"/>
                </w:tcPr>
                <w:p>
                  <w:pPr>
                    <w:jc w:val="center"/>
                  </w:pPr>
                  <w:r>
                    <w:rPr>
                      <w:rFonts w:hint="eastAsia"/>
                    </w:rPr>
                    <w:t>西侧</w:t>
                  </w:r>
                </w:p>
              </w:tc>
              <w:tc>
                <w:tcPr>
                  <w:tcW w:w="629" w:type="pct"/>
                  <w:tcBorders>
                    <w:tl2br w:val="nil"/>
                    <w:tr2bl w:val="nil"/>
                  </w:tcBorders>
                  <w:vAlign w:val="center"/>
                </w:tcPr>
                <w:p>
                  <w:pPr>
                    <w:jc w:val="center"/>
                  </w:pPr>
                  <w:r>
                    <w:rPr>
                      <w:rFonts w:hint="eastAsia"/>
                    </w:rPr>
                    <w:t>6400m</w:t>
                  </w:r>
                </w:p>
              </w:tc>
              <w:tc>
                <w:tcPr>
                  <w:tcW w:w="1323" w:type="pct"/>
                  <w:tcBorders>
                    <w:tl2br w:val="nil"/>
                    <w:tr2bl w:val="nil"/>
                  </w:tcBorders>
                  <w:vAlign w:val="center"/>
                </w:tcPr>
                <w:p>
                  <w:pPr>
                    <w:jc w:val="center"/>
                  </w:pPr>
                  <w:r>
                    <w:t>/</w:t>
                  </w:r>
                </w:p>
              </w:tc>
              <w:tc>
                <w:tcPr>
                  <w:tcW w:w="731" w:type="pct"/>
                  <w:tcBorders>
                    <w:tl2br w:val="nil"/>
                    <w:tr2bl w:val="nil"/>
                  </w:tcBorders>
                  <w:vAlign w:val="center"/>
                </w:tcPr>
                <w:p>
                  <w:pPr>
                    <w:jc w:val="center"/>
                  </w:pPr>
                  <w:r>
                    <w:rPr>
                      <w:rFonts w:hint="eastAsia"/>
                    </w:rPr>
                    <w:t>大</w:t>
                  </w:r>
                  <w:r>
                    <w:t>河</w:t>
                  </w:r>
                </w:p>
              </w:tc>
              <w:tc>
                <w:tcPr>
                  <w:tcW w:w="658" w:type="pct"/>
                  <w:vMerge w:val="continue"/>
                  <w:tcBorders>
                    <w:tl2br w:val="nil"/>
                    <w:tr2bl w:val="nil"/>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72" w:type="pct"/>
                  <w:vMerge w:val="continue"/>
                  <w:tcBorders>
                    <w:tl2br w:val="nil"/>
                    <w:tr2bl w:val="nil"/>
                  </w:tcBorders>
                  <w:shd w:val="clear" w:color="auto" w:fill="FFFFFF"/>
                  <w:vAlign w:val="center"/>
                </w:tcPr>
                <w:p>
                  <w:pPr>
                    <w:jc w:val="center"/>
                    <w:rPr>
                      <w:szCs w:val="21"/>
                    </w:rPr>
                  </w:pPr>
                </w:p>
              </w:tc>
              <w:tc>
                <w:tcPr>
                  <w:tcW w:w="751" w:type="pct"/>
                  <w:tcBorders>
                    <w:tl2br w:val="nil"/>
                    <w:tr2bl w:val="nil"/>
                  </w:tcBorders>
                  <w:vAlign w:val="center"/>
                </w:tcPr>
                <w:p>
                  <w:pPr>
                    <w:jc w:val="center"/>
                  </w:pPr>
                  <w:r>
                    <w:rPr>
                      <w:rFonts w:hint="eastAsia"/>
                    </w:rPr>
                    <w:t>杉木江</w:t>
                  </w:r>
                </w:p>
              </w:tc>
              <w:tc>
                <w:tcPr>
                  <w:tcW w:w="433" w:type="pct"/>
                  <w:tcBorders>
                    <w:tl2br w:val="nil"/>
                    <w:tr2bl w:val="nil"/>
                  </w:tcBorders>
                  <w:vAlign w:val="center"/>
                </w:tcPr>
                <w:p>
                  <w:pPr>
                    <w:jc w:val="center"/>
                  </w:pPr>
                  <w:r>
                    <w:rPr>
                      <w:rFonts w:hint="eastAsia"/>
                    </w:rPr>
                    <w:t>南侧</w:t>
                  </w:r>
                </w:p>
              </w:tc>
              <w:tc>
                <w:tcPr>
                  <w:tcW w:w="629" w:type="pct"/>
                  <w:tcBorders>
                    <w:tl2br w:val="nil"/>
                    <w:tr2bl w:val="nil"/>
                  </w:tcBorders>
                  <w:vAlign w:val="center"/>
                </w:tcPr>
                <w:p>
                  <w:pPr>
                    <w:jc w:val="center"/>
                  </w:pPr>
                  <w:r>
                    <w:rPr>
                      <w:rFonts w:hint="eastAsia"/>
                    </w:rPr>
                    <w:t>700m</w:t>
                  </w:r>
                </w:p>
              </w:tc>
              <w:tc>
                <w:tcPr>
                  <w:tcW w:w="1323" w:type="pct"/>
                  <w:tcBorders>
                    <w:tl2br w:val="nil"/>
                    <w:tr2bl w:val="nil"/>
                  </w:tcBorders>
                  <w:vAlign w:val="center"/>
                </w:tcPr>
                <w:p>
                  <w:pPr>
                    <w:jc w:val="center"/>
                  </w:pPr>
                  <w:r>
                    <w:rPr>
                      <w:rFonts w:hint="eastAsia"/>
                    </w:rPr>
                    <w:t>/</w:t>
                  </w:r>
                </w:p>
              </w:tc>
              <w:tc>
                <w:tcPr>
                  <w:tcW w:w="731" w:type="pct"/>
                  <w:tcBorders>
                    <w:tl2br w:val="nil"/>
                    <w:tr2bl w:val="nil"/>
                  </w:tcBorders>
                  <w:vAlign w:val="center"/>
                </w:tcPr>
                <w:p>
                  <w:pPr>
                    <w:jc w:val="center"/>
                    <w:rPr>
                      <w:szCs w:val="21"/>
                    </w:rPr>
                  </w:pPr>
                  <w:r>
                    <w:rPr>
                      <w:rFonts w:hint="eastAsia"/>
                    </w:rPr>
                    <w:t>小河</w:t>
                  </w:r>
                </w:p>
              </w:tc>
              <w:tc>
                <w:tcPr>
                  <w:tcW w:w="658" w:type="pct"/>
                  <w:vMerge w:val="continue"/>
                  <w:tcBorders>
                    <w:tl2br w:val="nil"/>
                    <w:tr2bl w:val="nil"/>
                  </w:tcBorders>
                  <w:vAlign w:val="center"/>
                </w:tcPr>
                <w:p>
                  <w:pPr>
                    <w:jc w:val="center"/>
                  </w:pPr>
                </w:p>
              </w:tc>
            </w:tr>
          </w:tbl>
          <w:p>
            <w:pPr>
              <w:keepLines/>
              <w:spacing w:line="360" w:lineRule="auto"/>
              <w:ind w:firstLine="420" w:firstLineChars="200"/>
              <w:rPr>
                <w:color w:val="0000FF"/>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23" w:type="dxa"/>
            <w:tcMar>
              <w:left w:w="28"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color w:val="0000FF"/>
                <w:kern w:val="0"/>
                <w:szCs w:val="21"/>
              </w:rPr>
            </w:pPr>
            <w:r>
              <w:rPr>
                <w:kern w:val="0"/>
                <w:szCs w:val="21"/>
              </w:rPr>
              <w:t>准</w:t>
            </w:r>
          </w:p>
        </w:tc>
        <w:tc>
          <w:tcPr>
            <w:tcW w:w="8338" w:type="dxa"/>
            <w:vAlign w:val="center"/>
          </w:tcPr>
          <w:p>
            <w:pPr>
              <w:adjustRightInd w:val="0"/>
              <w:spacing w:before="120" w:beforeLines="50" w:line="360" w:lineRule="auto"/>
              <w:rPr>
                <w:b/>
                <w:bCs/>
                <w:kern w:val="0"/>
                <w:sz w:val="24"/>
              </w:rPr>
            </w:pPr>
            <w:r>
              <w:rPr>
                <w:b/>
                <w:bCs/>
                <w:kern w:val="0"/>
                <w:sz w:val="24"/>
              </w:rPr>
              <w:t>1、大气污染物排放标准</w:t>
            </w:r>
          </w:p>
          <w:p>
            <w:pPr>
              <w:spacing w:line="360" w:lineRule="auto"/>
              <w:ind w:firstLine="480" w:firstLineChars="200"/>
              <w:rPr>
                <w:snapToGrid w:val="0"/>
                <w:kern w:val="0"/>
                <w:sz w:val="24"/>
              </w:rPr>
            </w:pPr>
            <w:r>
              <w:rPr>
                <w:rFonts w:hint="eastAsia"/>
                <w:snapToGrid w:val="0"/>
                <w:kern w:val="0"/>
                <w:sz w:val="24"/>
              </w:rPr>
              <w:t>施工期：执行《大气污染物综合排放标准》（GB16297-1996）表2。</w:t>
            </w:r>
          </w:p>
          <w:p>
            <w:pPr>
              <w:spacing w:line="360" w:lineRule="auto"/>
              <w:ind w:firstLine="480" w:firstLineChars="200"/>
              <w:rPr>
                <w:rFonts w:hint="default" w:eastAsia="宋体"/>
                <w:snapToGrid w:val="0"/>
                <w:kern w:val="0"/>
                <w:sz w:val="24"/>
                <w:lang w:val="en-US" w:eastAsia="zh-CN"/>
              </w:rPr>
            </w:pPr>
            <w:r>
              <w:rPr>
                <w:rFonts w:hint="eastAsia"/>
                <w:snapToGrid w:val="0"/>
                <w:kern w:val="0"/>
                <w:sz w:val="24"/>
              </w:rPr>
              <w:t>运行期：下料工序、砂光工序、机加工工序、腻子粉打磨工序产生的颗粒物执行《大气污染物综合排放标准》（GB16297-1996）排放标准限值，喷漆晾干工序产生的挥发性有机物（</w:t>
            </w:r>
            <w:r>
              <w:rPr>
                <w:rFonts w:hint="eastAsia"/>
                <w:snapToGrid w:val="0"/>
                <w:kern w:val="0"/>
                <w:sz w:val="24"/>
                <w:lang w:eastAsia="zh-CN"/>
              </w:rPr>
              <w:t>非甲烷总烃</w:t>
            </w:r>
            <w:r>
              <w:rPr>
                <w:rFonts w:hint="eastAsia"/>
                <w:snapToGrid w:val="0"/>
                <w:kern w:val="0"/>
                <w:sz w:val="24"/>
              </w:rPr>
              <w:t>）执行《家具制造行业挥发性有机物排放标准》（DB43/13</w:t>
            </w:r>
            <w:r>
              <w:rPr>
                <w:rFonts w:hint="default"/>
                <w:snapToGrid w:val="0"/>
                <w:kern w:val="0"/>
                <w:sz w:val="24"/>
                <w:lang w:val="en-US"/>
              </w:rPr>
              <w:t>5</w:t>
            </w:r>
            <w:r>
              <w:rPr>
                <w:rFonts w:hint="eastAsia"/>
                <w:snapToGrid w:val="0"/>
                <w:kern w:val="0"/>
                <w:sz w:val="24"/>
              </w:rPr>
              <w:t>5-2017）、颗粒物执行《大气污染物综合排放标准》（GB16297-1996）排放标准。厂界无组织颗粒物执行《大气污染物综合排放标准》（GB16297-1996）排放标准、挥发性有机物（非甲烷总烃）、苯系物执行《家具制造行业挥发性有机物排放标准》（DB43/1355-2017）、厂区内非甲烷总烃执行《挥发性有机物无组织排放控制标准》(G</w:t>
            </w:r>
            <w:r>
              <w:rPr>
                <w:rFonts w:hint="eastAsia" w:ascii="Times New Roman" w:hAnsi="Times New Roman" w:eastAsia="宋体" w:cs="Times New Roman"/>
                <w:snapToGrid w:val="0"/>
                <w:kern w:val="0"/>
                <w:sz w:val="24"/>
              </w:rPr>
              <w:t>B37822-2019)</w:t>
            </w:r>
            <w:r>
              <w:rPr>
                <w:rFonts w:hint="eastAsia" w:ascii="Times New Roman" w:hAnsi="Times New Roman" w:eastAsia="宋体" w:cs="Times New Roman"/>
                <w:snapToGrid w:val="0"/>
                <w:kern w:val="0"/>
                <w:sz w:val="24"/>
                <w:lang w:eastAsia="zh-CN"/>
              </w:rPr>
              <w:t>，</w:t>
            </w:r>
            <w:r>
              <w:rPr>
                <w:rFonts w:hint="eastAsia" w:ascii="Times New Roman" w:hAnsi="Times New Roman" w:eastAsia="宋体" w:cs="Times New Roman"/>
                <w:snapToGrid w:val="0"/>
                <w:kern w:val="0"/>
                <w:sz w:val="24"/>
                <w:lang w:val="en-US" w:eastAsia="zh-CN"/>
              </w:rPr>
              <w:t>食堂油烟执行</w:t>
            </w:r>
            <w:r>
              <w:rPr>
                <w:rFonts w:hint="eastAsia" w:ascii="Times New Roman" w:hAnsi="Times New Roman" w:eastAsia="宋体" w:cs="Times New Roman"/>
                <w:snapToGrid w:val="0"/>
                <w:kern w:val="0"/>
                <w:sz w:val="24"/>
                <w:lang w:eastAsia="zh-CN"/>
              </w:rPr>
              <w:t>《饮食业油烟排放标准》</w:t>
            </w:r>
            <w:r>
              <w:rPr>
                <w:rFonts w:hint="eastAsia" w:ascii="Times New Roman" w:hAnsi="Times New Roman" w:eastAsia="宋体" w:cs="Times New Roman"/>
                <w:snapToGrid w:val="0"/>
                <w:kern w:val="0"/>
                <w:sz w:val="24"/>
                <w:lang w:val="en-US" w:eastAsia="zh-CN"/>
              </w:rPr>
              <w:t>（GB18483-2001）排放标准。</w:t>
            </w:r>
          </w:p>
          <w:p>
            <w:pPr>
              <w:spacing w:line="360" w:lineRule="auto"/>
              <w:ind w:firstLine="480" w:firstLineChars="200"/>
              <w:rPr>
                <w:snapToGrid w:val="0"/>
                <w:kern w:val="0"/>
                <w:sz w:val="24"/>
              </w:rPr>
            </w:pPr>
            <w:r>
              <w:rPr>
                <w:rFonts w:hint="eastAsia"/>
                <w:snapToGrid w:val="0"/>
                <w:kern w:val="0"/>
                <w:sz w:val="24"/>
              </w:rPr>
              <w:t>详细数值见下表。</w:t>
            </w:r>
          </w:p>
          <w:p>
            <w:pPr>
              <w:pStyle w:val="114"/>
              <w:rPr>
                <w:rFonts w:ascii="Times New Roman" w:hAnsi="Times New Roman"/>
                <w:kern w:val="2"/>
              </w:rPr>
            </w:pPr>
            <w:r>
              <w:rPr>
                <w:rFonts w:ascii="Times New Roman" w:hAnsi="Times New Roman"/>
                <w:kern w:val="2"/>
              </w:rPr>
              <w:t>表</w:t>
            </w:r>
            <w:r>
              <w:rPr>
                <w:rFonts w:hint="eastAsia" w:ascii="Times New Roman" w:hAnsi="Times New Roman"/>
                <w:kern w:val="2"/>
              </w:rPr>
              <w:t xml:space="preserve">3-5 </w:t>
            </w:r>
            <w:r>
              <w:rPr>
                <w:rFonts w:ascii="Times New Roman" w:hAnsi="Times New Roman"/>
                <w:kern w:val="2"/>
              </w:rPr>
              <w:t xml:space="preserve">  </w:t>
            </w:r>
            <w:r>
              <w:rPr>
                <w:rFonts w:hint="eastAsia" w:ascii="Times New Roman" w:hAnsi="Times New Roman"/>
                <w:kern w:val="2"/>
              </w:rPr>
              <w:t>大气污染物执行标准</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126"/>
              <w:gridCol w:w="870"/>
              <w:gridCol w:w="1530"/>
              <w:gridCol w:w="899"/>
              <w:gridCol w:w="946"/>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pct"/>
                  <w:gridSpan w:val="2"/>
                  <w:vMerge w:val="restart"/>
                  <w:tcBorders>
                    <w:tl2br w:val="nil"/>
                    <w:tr2bl w:val="nil"/>
                  </w:tcBorders>
                  <w:vAlign w:val="center"/>
                </w:tcPr>
                <w:p>
                  <w:pPr>
                    <w:jc w:val="center"/>
                    <w:rPr>
                      <w:b/>
                      <w:kern w:val="0"/>
                      <w:szCs w:val="21"/>
                    </w:rPr>
                  </w:pPr>
                  <w:r>
                    <w:rPr>
                      <w:rFonts w:hint="eastAsia"/>
                      <w:b/>
                      <w:kern w:val="0"/>
                      <w:szCs w:val="21"/>
                    </w:rPr>
                    <w:t>污染源</w:t>
                  </w:r>
                </w:p>
              </w:tc>
              <w:tc>
                <w:tcPr>
                  <w:tcW w:w="536" w:type="pct"/>
                  <w:vMerge w:val="restart"/>
                  <w:tcBorders>
                    <w:tl2br w:val="nil"/>
                    <w:tr2bl w:val="nil"/>
                  </w:tcBorders>
                  <w:vAlign w:val="center"/>
                </w:tcPr>
                <w:p>
                  <w:pPr>
                    <w:jc w:val="center"/>
                    <w:rPr>
                      <w:b/>
                      <w:kern w:val="0"/>
                      <w:szCs w:val="21"/>
                    </w:rPr>
                  </w:pPr>
                  <w:r>
                    <w:rPr>
                      <w:rFonts w:hint="eastAsia"/>
                      <w:b/>
                      <w:kern w:val="0"/>
                      <w:szCs w:val="21"/>
                    </w:rPr>
                    <w:t>排放形式</w:t>
                  </w:r>
                </w:p>
              </w:tc>
              <w:tc>
                <w:tcPr>
                  <w:tcW w:w="943" w:type="pct"/>
                  <w:vMerge w:val="restart"/>
                  <w:tcBorders>
                    <w:tl2br w:val="nil"/>
                    <w:tr2bl w:val="nil"/>
                  </w:tcBorders>
                  <w:vAlign w:val="center"/>
                </w:tcPr>
                <w:p>
                  <w:pPr>
                    <w:jc w:val="center"/>
                    <w:rPr>
                      <w:b/>
                      <w:kern w:val="0"/>
                      <w:szCs w:val="21"/>
                    </w:rPr>
                  </w:pPr>
                  <w:r>
                    <w:rPr>
                      <w:b/>
                      <w:kern w:val="0"/>
                      <w:szCs w:val="21"/>
                    </w:rPr>
                    <w:t>污染物项目</w:t>
                  </w:r>
                </w:p>
              </w:tc>
              <w:tc>
                <w:tcPr>
                  <w:tcW w:w="1137" w:type="pct"/>
                  <w:gridSpan w:val="2"/>
                  <w:tcBorders>
                    <w:tl2br w:val="nil"/>
                    <w:tr2bl w:val="nil"/>
                  </w:tcBorders>
                  <w:vAlign w:val="center"/>
                </w:tcPr>
                <w:p>
                  <w:pPr>
                    <w:jc w:val="center"/>
                    <w:rPr>
                      <w:b/>
                      <w:kern w:val="0"/>
                      <w:szCs w:val="21"/>
                    </w:rPr>
                  </w:pPr>
                  <w:r>
                    <w:rPr>
                      <w:rFonts w:hint="eastAsia"/>
                      <w:b/>
                      <w:kern w:val="0"/>
                      <w:szCs w:val="21"/>
                    </w:rPr>
                    <w:t>排放</w:t>
                  </w:r>
                  <w:r>
                    <w:rPr>
                      <w:b/>
                      <w:kern w:val="0"/>
                      <w:szCs w:val="21"/>
                    </w:rPr>
                    <w:t>限值</w:t>
                  </w:r>
                </w:p>
              </w:tc>
              <w:tc>
                <w:tcPr>
                  <w:tcW w:w="1265" w:type="pct"/>
                  <w:vMerge w:val="restart"/>
                  <w:tcBorders>
                    <w:tl2br w:val="nil"/>
                    <w:tr2bl w:val="nil"/>
                  </w:tcBorders>
                  <w:vAlign w:val="center"/>
                </w:tcPr>
                <w:p>
                  <w:pPr>
                    <w:jc w:val="center"/>
                    <w:rPr>
                      <w:b/>
                      <w:kern w:val="0"/>
                      <w:szCs w:val="21"/>
                    </w:rPr>
                  </w:pPr>
                  <w:r>
                    <w:rPr>
                      <w:rFonts w:hint="eastAsia"/>
                      <w:b/>
                      <w:kern w:val="0"/>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pct"/>
                  <w:gridSpan w:val="2"/>
                  <w:vMerge w:val="continue"/>
                  <w:tcBorders>
                    <w:tl2br w:val="nil"/>
                    <w:tr2bl w:val="nil"/>
                  </w:tcBorders>
                  <w:vAlign w:val="center"/>
                </w:tcPr>
                <w:p>
                  <w:pPr>
                    <w:jc w:val="center"/>
                    <w:rPr>
                      <w:b/>
                      <w:kern w:val="0"/>
                      <w:szCs w:val="21"/>
                    </w:rPr>
                  </w:pPr>
                </w:p>
              </w:tc>
              <w:tc>
                <w:tcPr>
                  <w:tcW w:w="536" w:type="pct"/>
                  <w:vMerge w:val="continue"/>
                  <w:tcBorders>
                    <w:tl2br w:val="nil"/>
                    <w:tr2bl w:val="nil"/>
                  </w:tcBorders>
                  <w:vAlign w:val="center"/>
                </w:tcPr>
                <w:p>
                  <w:pPr>
                    <w:jc w:val="center"/>
                    <w:rPr>
                      <w:b/>
                      <w:kern w:val="0"/>
                      <w:szCs w:val="21"/>
                    </w:rPr>
                  </w:pPr>
                </w:p>
              </w:tc>
              <w:tc>
                <w:tcPr>
                  <w:tcW w:w="943" w:type="pct"/>
                  <w:vMerge w:val="continue"/>
                  <w:tcBorders>
                    <w:tl2br w:val="nil"/>
                    <w:tr2bl w:val="nil"/>
                  </w:tcBorders>
                  <w:vAlign w:val="center"/>
                </w:tcPr>
                <w:p>
                  <w:pPr>
                    <w:jc w:val="center"/>
                    <w:rPr>
                      <w:b/>
                      <w:kern w:val="0"/>
                      <w:szCs w:val="21"/>
                    </w:rPr>
                  </w:pPr>
                </w:p>
              </w:tc>
              <w:tc>
                <w:tcPr>
                  <w:tcW w:w="554" w:type="pct"/>
                  <w:tcBorders>
                    <w:tl2br w:val="nil"/>
                    <w:tr2bl w:val="nil"/>
                  </w:tcBorders>
                  <w:vAlign w:val="center"/>
                </w:tcPr>
                <w:p>
                  <w:pPr>
                    <w:jc w:val="center"/>
                    <w:rPr>
                      <w:b/>
                      <w:kern w:val="0"/>
                      <w:szCs w:val="21"/>
                    </w:rPr>
                  </w:pPr>
                  <w:r>
                    <w:rPr>
                      <w:rFonts w:hint="eastAsia"/>
                      <w:b/>
                      <w:kern w:val="0"/>
                      <w:szCs w:val="21"/>
                    </w:rPr>
                    <w:t>浓度mg/m</w:t>
                  </w:r>
                  <w:r>
                    <w:rPr>
                      <w:rFonts w:hint="eastAsia"/>
                      <w:b/>
                      <w:kern w:val="0"/>
                      <w:szCs w:val="21"/>
                      <w:vertAlign w:val="superscript"/>
                    </w:rPr>
                    <w:t>3</w:t>
                  </w:r>
                </w:p>
              </w:tc>
              <w:tc>
                <w:tcPr>
                  <w:tcW w:w="582" w:type="pct"/>
                  <w:tcBorders>
                    <w:tl2br w:val="nil"/>
                    <w:tr2bl w:val="nil"/>
                  </w:tcBorders>
                  <w:vAlign w:val="center"/>
                </w:tcPr>
                <w:p>
                  <w:pPr>
                    <w:jc w:val="center"/>
                    <w:rPr>
                      <w:b/>
                      <w:kern w:val="0"/>
                      <w:szCs w:val="21"/>
                    </w:rPr>
                  </w:pPr>
                  <w:r>
                    <w:rPr>
                      <w:rFonts w:hint="eastAsia"/>
                      <w:b/>
                      <w:kern w:val="0"/>
                      <w:szCs w:val="21"/>
                    </w:rPr>
                    <w:t>速率kg/h</w:t>
                  </w:r>
                </w:p>
              </w:tc>
              <w:tc>
                <w:tcPr>
                  <w:tcW w:w="1265" w:type="pct"/>
                  <w:vMerge w:val="continue"/>
                  <w:tcBorders>
                    <w:tl2br w:val="nil"/>
                    <w:tr2bl w:val="nil"/>
                  </w:tcBorders>
                  <w:vAlign w:val="center"/>
                </w:tcPr>
                <w:p>
                  <w:pPr>
                    <w:jc w:val="center"/>
                    <w:rPr>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18" w:type="pct"/>
                  <w:gridSpan w:val="2"/>
                  <w:tcBorders>
                    <w:tl2br w:val="nil"/>
                    <w:tr2bl w:val="nil"/>
                  </w:tcBorders>
                  <w:vAlign w:val="center"/>
                </w:tcPr>
                <w:p>
                  <w:pPr>
                    <w:jc w:val="center"/>
                    <w:rPr>
                      <w:bCs/>
                      <w:kern w:val="0"/>
                      <w:szCs w:val="21"/>
                    </w:rPr>
                  </w:pPr>
                  <w:r>
                    <w:rPr>
                      <w:rFonts w:hint="eastAsia"/>
                      <w:bCs/>
                      <w:kern w:val="0"/>
                      <w:szCs w:val="21"/>
                    </w:rPr>
                    <w:t>下料工序</w:t>
                  </w:r>
                </w:p>
              </w:tc>
              <w:tc>
                <w:tcPr>
                  <w:tcW w:w="536" w:type="pct"/>
                  <w:tcBorders>
                    <w:tl2br w:val="nil"/>
                    <w:tr2bl w:val="nil"/>
                  </w:tcBorders>
                  <w:vAlign w:val="center"/>
                </w:tcPr>
                <w:p>
                  <w:pPr>
                    <w:jc w:val="center"/>
                    <w:rPr>
                      <w:bCs/>
                      <w:kern w:val="0"/>
                      <w:szCs w:val="21"/>
                    </w:rPr>
                  </w:pPr>
                  <w:r>
                    <w:rPr>
                      <w:rFonts w:hint="eastAsia"/>
                      <w:bCs/>
                      <w:kern w:val="0"/>
                      <w:szCs w:val="21"/>
                    </w:rPr>
                    <w:t>有组织</w:t>
                  </w:r>
                </w:p>
              </w:tc>
              <w:tc>
                <w:tcPr>
                  <w:tcW w:w="943" w:type="pct"/>
                  <w:tcBorders>
                    <w:tl2br w:val="nil"/>
                    <w:tr2bl w:val="nil"/>
                  </w:tcBorders>
                  <w:vAlign w:val="center"/>
                </w:tcPr>
                <w:p>
                  <w:pPr>
                    <w:jc w:val="center"/>
                    <w:rPr>
                      <w:bCs/>
                      <w:kern w:val="0"/>
                      <w:szCs w:val="21"/>
                    </w:rPr>
                  </w:pPr>
                  <w:r>
                    <w:rPr>
                      <w:rFonts w:hint="eastAsia"/>
                      <w:bCs/>
                      <w:kern w:val="0"/>
                      <w:szCs w:val="21"/>
                    </w:rPr>
                    <w:t>颗粒物</w:t>
                  </w:r>
                </w:p>
              </w:tc>
              <w:tc>
                <w:tcPr>
                  <w:tcW w:w="554" w:type="pct"/>
                  <w:tcBorders>
                    <w:tl2br w:val="nil"/>
                    <w:tr2bl w:val="nil"/>
                  </w:tcBorders>
                  <w:vAlign w:val="center"/>
                </w:tcPr>
                <w:p>
                  <w:pPr>
                    <w:jc w:val="center"/>
                    <w:rPr>
                      <w:bCs/>
                      <w:kern w:val="0"/>
                      <w:szCs w:val="21"/>
                    </w:rPr>
                  </w:pPr>
                  <w:r>
                    <w:rPr>
                      <w:rFonts w:hint="eastAsia"/>
                      <w:bCs/>
                      <w:kern w:val="0"/>
                      <w:szCs w:val="21"/>
                    </w:rPr>
                    <w:t>120</w:t>
                  </w:r>
                </w:p>
              </w:tc>
              <w:tc>
                <w:tcPr>
                  <w:tcW w:w="582" w:type="pct"/>
                  <w:tcBorders>
                    <w:tl2br w:val="nil"/>
                    <w:tr2bl w:val="nil"/>
                  </w:tcBorders>
                  <w:vAlign w:val="center"/>
                </w:tcPr>
                <w:p>
                  <w:pPr>
                    <w:jc w:val="center"/>
                    <w:rPr>
                      <w:bCs/>
                      <w:kern w:val="0"/>
                      <w:szCs w:val="21"/>
                    </w:rPr>
                  </w:pPr>
                  <w:r>
                    <w:rPr>
                      <w:rFonts w:hint="eastAsia"/>
                      <w:bCs/>
                      <w:kern w:val="0"/>
                      <w:szCs w:val="21"/>
                    </w:rPr>
                    <w:t>3.5</w:t>
                  </w:r>
                </w:p>
              </w:tc>
              <w:tc>
                <w:tcPr>
                  <w:tcW w:w="1265" w:type="pct"/>
                  <w:vMerge w:val="restart"/>
                  <w:tcBorders>
                    <w:tl2br w:val="nil"/>
                    <w:tr2bl w:val="nil"/>
                  </w:tcBorders>
                  <w:vAlign w:val="center"/>
                </w:tcPr>
                <w:p>
                  <w:pPr>
                    <w:jc w:val="center"/>
                    <w:rPr>
                      <w:bCs/>
                      <w:kern w:val="0"/>
                      <w:szCs w:val="21"/>
                    </w:rPr>
                  </w:pPr>
                  <w:r>
                    <w:rPr>
                      <w:rFonts w:hint="eastAsia"/>
                      <w:bCs/>
                      <w:kern w:val="0"/>
                      <w:szCs w:val="21"/>
                    </w:rPr>
                    <w:t>（GB16297-1996）表2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18" w:type="pct"/>
                  <w:gridSpan w:val="2"/>
                  <w:tcBorders>
                    <w:tl2br w:val="nil"/>
                    <w:tr2bl w:val="nil"/>
                  </w:tcBorders>
                  <w:vAlign w:val="center"/>
                </w:tcPr>
                <w:p>
                  <w:pPr>
                    <w:jc w:val="center"/>
                    <w:rPr>
                      <w:bCs/>
                      <w:kern w:val="0"/>
                      <w:szCs w:val="21"/>
                    </w:rPr>
                  </w:pPr>
                  <w:r>
                    <w:rPr>
                      <w:rFonts w:hint="eastAsia"/>
                      <w:bCs/>
                      <w:kern w:val="0"/>
                      <w:szCs w:val="21"/>
                    </w:rPr>
                    <w:t>砂光工序</w:t>
                  </w:r>
                </w:p>
              </w:tc>
              <w:tc>
                <w:tcPr>
                  <w:tcW w:w="536" w:type="pct"/>
                  <w:tcBorders>
                    <w:tl2br w:val="nil"/>
                    <w:tr2bl w:val="nil"/>
                  </w:tcBorders>
                  <w:vAlign w:val="center"/>
                </w:tcPr>
                <w:p>
                  <w:pPr>
                    <w:jc w:val="center"/>
                    <w:rPr>
                      <w:bCs/>
                      <w:kern w:val="0"/>
                      <w:szCs w:val="21"/>
                    </w:rPr>
                  </w:pPr>
                  <w:r>
                    <w:rPr>
                      <w:rFonts w:hint="eastAsia"/>
                      <w:bCs/>
                      <w:kern w:val="0"/>
                      <w:szCs w:val="21"/>
                    </w:rPr>
                    <w:t>有组织</w:t>
                  </w:r>
                </w:p>
              </w:tc>
              <w:tc>
                <w:tcPr>
                  <w:tcW w:w="943" w:type="pct"/>
                  <w:tcBorders>
                    <w:tl2br w:val="nil"/>
                    <w:tr2bl w:val="nil"/>
                  </w:tcBorders>
                  <w:vAlign w:val="center"/>
                </w:tcPr>
                <w:p>
                  <w:pPr>
                    <w:jc w:val="center"/>
                    <w:rPr>
                      <w:bCs/>
                      <w:kern w:val="0"/>
                      <w:szCs w:val="21"/>
                    </w:rPr>
                  </w:pPr>
                  <w:r>
                    <w:rPr>
                      <w:rFonts w:hint="eastAsia"/>
                      <w:bCs/>
                      <w:kern w:val="0"/>
                      <w:szCs w:val="21"/>
                    </w:rPr>
                    <w:t>颗粒物</w:t>
                  </w:r>
                </w:p>
              </w:tc>
              <w:tc>
                <w:tcPr>
                  <w:tcW w:w="554" w:type="pct"/>
                  <w:tcBorders>
                    <w:tl2br w:val="nil"/>
                    <w:tr2bl w:val="nil"/>
                  </w:tcBorders>
                  <w:vAlign w:val="center"/>
                </w:tcPr>
                <w:p>
                  <w:pPr>
                    <w:jc w:val="center"/>
                    <w:rPr>
                      <w:bCs/>
                      <w:kern w:val="0"/>
                      <w:szCs w:val="21"/>
                    </w:rPr>
                  </w:pPr>
                  <w:r>
                    <w:rPr>
                      <w:rFonts w:hint="eastAsia"/>
                      <w:bCs/>
                      <w:kern w:val="0"/>
                      <w:szCs w:val="21"/>
                    </w:rPr>
                    <w:t>120</w:t>
                  </w:r>
                </w:p>
              </w:tc>
              <w:tc>
                <w:tcPr>
                  <w:tcW w:w="582" w:type="pct"/>
                  <w:tcBorders>
                    <w:tl2br w:val="nil"/>
                    <w:tr2bl w:val="nil"/>
                  </w:tcBorders>
                  <w:vAlign w:val="center"/>
                </w:tcPr>
                <w:p>
                  <w:pPr>
                    <w:jc w:val="center"/>
                    <w:rPr>
                      <w:bCs/>
                      <w:kern w:val="0"/>
                      <w:szCs w:val="21"/>
                    </w:rPr>
                  </w:pPr>
                  <w:r>
                    <w:rPr>
                      <w:rFonts w:hint="eastAsia"/>
                      <w:bCs/>
                      <w:kern w:val="0"/>
                      <w:szCs w:val="21"/>
                    </w:rPr>
                    <w:t>3.5</w:t>
                  </w:r>
                </w:p>
              </w:tc>
              <w:tc>
                <w:tcPr>
                  <w:tcW w:w="1265" w:type="pct"/>
                  <w:vMerge w:val="continue"/>
                  <w:tcBorders>
                    <w:tl2br w:val="nil"/>
                    <w:tr2bl w:val="nil"/>
                  </w:tcBorders>
                  <w:vAlign w:val="center"/>
                </w:tcPr>
                <w:p>
                  <w:pPr>
                    <w:jc w:val="center"/>
                    <w:rPr>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18" w:type="pct"/>
                  <w:gridSpan w:val="2"/>
                  <w:tcBorders>
                    <w:tl2br w:val="nil"/>
                    <w:tr2bl w:val="nil"/>
                  </w:tcBorders>
                  <w:vAlign w:val="center"/>
                </w:tcPr>
                <w:p>
                  <w:pPr>
                    <w:jc w:val="center"/>
                    <w:rPr>
                      <w:bCs/>
                      <w:kern w:val="0"/>
                      <w:szCs w:val="21"/>
                    </w:rPr>
                  </w:pPr>
                  <w:r>
                    <w:rPr>
                      <w:rFonts w:hint="eastAsia"/>
                      <w:bCs/>
                      <w:kern w:val="0"/>
                      <w:szCs w:val="21"/>
                    </w:rPr>
                    <w:t>机加工工序</w:t>
                  </w:r>
                </w:p>
              </w:tc>
              <w:tc>
                <w:tcPr>
                  <w:tcW w:w="536" w:type="pct"/>
                  <w:tcBorders>
                    <w:tl2br w:val="nil"/>
                    <w:tr2bl w:val="nil"/>
                  </w:tcBorders>
                  <w:vAlign w:val="center"/>
                </w:tcPr>
                <w:p>
                  <w:pPr>
                    <w:jc w:val="center"/>
                    <w:rPr>
                      <w:bCs/>
                      <w:kern w:val="0"/>
                      <w:szCs w:val="21"/>
                    </w:rPr>
                  </w:pPr>
                  <w:r>
                    <w:rPr>
                      <w:rFonts w:hint="eastAsia"/>
                      <w:bCs/>
                      <w:kern w:val="0"/>
                      <w:szCs w:val="21"/>
                    </w:rPr>
                    <w:t>有组织</w:t>
                  </w:r>
                </w:p>
              </w:tc>
              <w:tc>
                <w:tcPr>
                  <w:tcW w:w="943" w:type="pct"/>
                  <w:tcBorders>
                    <w:tl2br w:val="nil"/>
                    <w:tr2bl w:val="nil"/>
                  </w:tcBorders>
                  <w:vAlign w:val="center"/>
                </w:tcPr>
                <w:p>
                  <w:pPr>
                    <w:jc w:val="center"/>
                    <w:rPr>
                      <w:bCs/>
                      <w:kern w:val="0"/>
                      <w:szCs w:val="21"/>
                    </w:rPr>
                  </w:pPr>
                  <w:r>
                    <w:rPr>
                      <w:rFonts w:hint="eastAsia"/>
                      <w:bCs/>
                      <w:kern w:val="0"/>
                      <w:szCs w:val="21"/>
                    </w:rPr>
                    <w:t>颗粒物</w:t>
                  </w:r>
                </w:p>
              </w:tc>
              <w:tc>
                <w:tcPr>
                  <w:tcW w:w="554" w:type="pct"/>
                  <w:tcBorders>
                    <w:tl2br w:val="nil"/>
                    <w:tr2bl w:val="nil"/>
                  </w:tcBorders>
                  <w:vAlign w:val="center"/>
                </w:tcPr>
                <w:p>
                  <w:pPr>
                    <w:jc w:val="center"/>
                    <w:rPr>
                      <w:bCs/>
                      <w:kern w:val="0"/>
                      <w:szCs w:val="21"/>
                    </w:rPr>
                  </w:pPr>
                  <w:r>
                    <w:rPr>
                      <w:rFonts w:hint="eastAsia"/>
                      <w:bCs/>
                      <w:kern w:val="0"/>
                      <w:szCs w:val="21"/>
                    </w:rPr>
                    <w:t>120</w:t>
                  </w:r>
                </w:p>
              </w:tc>
              <w:tc>
                <w:tcPr>
                  <w:tcW w:w="582" w:type="pct"/>
                  <w:tcBorders>
                    <w:tl2br w:val="nil"/>
                    <w:tr2bl w:val="nil"/>
                  </w:tcBorders>
                  <w:vAlign w:val="center"/>
                </w:tcPr>
                <w:p>
                  <w:pPr>
                    <w:jc w:val="center"/>
                    <w:rPr>
                      <w:bCs/>
                      <w:kern w:val="0"/>
                      <w:szCs w:val="21"/>
                    </w:rPr>
                  </w:pPr>
                  <w:r>
                    <w:rPr>
                      <w:rFonts w:hint="eastAsia"/>
                      <w:bCs/>
                      <w:kern w:val="0"/>
                      <w:szCs w:val="21"/>
                    </w:rPr>
                    <w:t>3.5</w:t>
                  </w:r>
                </w:p>
              </w:tc>
              <w:tc>
                <w:tcPr>
                  <w:tcW w:w="1265" w:type="pct"/>
                  <w:vMerge w:val="continue"/>
                  <w:tcBorders>
                    <w:tl2br w:val="nil"/>
                    <w:tr2bl w:val="nil"/>
                  </w:tcBorders>
                  <w:vAlign w:val="center"/>
                </w:tcPr>
                <w:p>
                  <w:pPr>
                    <w:jc w:val="center"/>
                    <w:rPr>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8" w:type="pct"/>
                  <w:gridSpan w:val="2"/>
                  <w:vMerge w:val="restart"/>
                  <w:tcBorders>
                    <w:tl2br w:val="nil"/>
                    <w:tr2bl w:val="nil"/>
                  </w:tcBorders>
                  <w:vAlign w:val="center"/>
                </w:tcPr>
                <w:p>
                  <w:pPr>
                    <w:jc w:val="center"/>
                    <w:rPr>
                      <w:bCs/>
                      <w:kern w:val="0"/>
                      <w:szCs w:val="21"/>
                    </w:rPr>
                  </w:pPr>
                  <w:r>
                    <w:rPr>
                      <w:rFonts w:hint="eastAsia"/>
                      <w:bCs/>
                      <w:kern w:val="0"/>
                      <w:szCs w:val="21"/>
                    </w:rPr>
                    <w:t>腻子粉打磨</w:t>
                  </w:r>
                </w:p>
              </w:tc>
              <w:tc>
                <w:tcPr>
                  <w:tcW w:w="536" w:type="pct"/>
                  <w:vMerge w:val="restart"/>
                  <w:tcBorders>
                    <w:tl2br w:val="nil"/>
                    <w:tr2bl w:val="nil"/>
                  </w:tcBorders>
                  <w:vAlign w:val="center"/>
                </w:tcPr>
                <w:p>
                  <w:pPr>
                    <w:jc w:val="center"/>
                    <w:rPr>
                      <w:bCs/>
                      <w:kern w:val="0"/>
                      <w:szCs w:val="21"/>
                    </w:rPr>
                  </w:pPr>
                  <w:r>
                    <w:rPr>
                      <w:rFonts w:hint="eastAsia"/>
                      <w:bCs/>
                      <w:kern w:val="0"/>
                      <w:szCs w:val="21"/>
                    </w:rPr>
                    <w:t>有组织</w:t>
                  </w:r>
                </w:p>
              </w:tc>
              <w:tc>
                <w:tcPr>
                  <w:tcW w:w="943" w:type="pct"/>
                  <w:tcBorders>
                    <w:tl2br w:val="nil"/>
                    <w:tr2bl w:val="nil"/>
                  </w:tcBorders>
                  <w:vAlign w:val="center"/>
                </w:tcPr>
                <w:p>
                  <w:pPr>
                    <w:jc w:val="center"/>
                    <w:rPr>
                      <w:bCs/>
                      <w:kern w:val="0"/>
                      <w:szCs w:val="21"/>
                    </w:rPr>
                  </w:pPr>
                  <w:r>
                    <w:rPr>
                      <w:rFonts w:hint="eastAsia"/>
                      <w:bCs/>
                      <w:kern w:val="0"/>
                      <w:szCs w:val="21"/>
                    </w:rPr>
                    <w:t>颗粒物</w:t>
                  </w:r>
                </w:p>
              </w:tc>
              <w:tc>
                <w:tcPr>
                  <w:tcW w:w="554" w:type="pct"/>
                  <w:tcBorders>
                    <w:tl2br w:val="nil"/>
                    <w:tr2bl w:val="nil"/>
                  </w:tcBorders>
                  <w:vAlign w:val="center"/>
                </w:tcPr>
                <w:p>
                  <w:pPr>
                    <w:jc w:val="center"/>
                    <w:rPr>
                      <w:bCs/>
                      <w:kern w:val="0"/>
                      <w:szCs w:val="21"/>
                    </w:rPr>
                  </w:pPr>
                  <w:r>
                    <w:rPr>
                      <w:rFonts w:hint="eastAsia"/>
                      <w:bCs/>
                      <w:kern w:val="0"/>
                      <w:szCs w:val="21"/>
                    </w:rPr>
                    <w:t>120</w:t>
                  </w:r>
                </w:p>
              </w:tc>
              <w:tc>
                <w:tcPr>
                  <w:tcW w:w="582" w:type="pct"/>
                  <w:tcBorders>
                    <w:tl2br w:val="nil"/>
                    <w:tr2bl w:val="nil"/>
                  </w:tcBorders>
                  <w:vAlign w:val="center"/>
                </w:tcPr>
                <w:p>
                  <w:pPr>
                    <w:jc w:val="center"/>
                    <w:rPr>
                      <w:bCs/>
                      <w:kern w:val="0"/>
                      <w:szCs w:val="21"/>
                    </w:rPr>
                  </w:pPr>
                  <w:r>
                    <w:rPr>
                      <w:rFonts w:hint="eastAsia"/>
                      <w:bCs/>
                      <w:kern w:val="0"/>
                      <w:szCs w:val="21"/>
                    </w:rPr>
                    <w:t>3.5</w:t>
                  </w:r>
                </w:p>
              </w:tc>
              <w:tc>
                <w:tcPr>
                  <w:tcW w:w="1265" w:type="pct"/>
                  <w:vMerge w:val="continue"/>
                  <w:tcBorders>
                    <w:tl2br w:val="nil"/>
                    <w:tr2bl w:val="nil"/>
                  </w:tcBorders>
                  <w:vAlign w:val="center"/>
                </w:tcPr>
                <w:p>
                  <w:pPr>
                    <w:jc w:val="center"/>
                    <w:rPr>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18" w:type="pct"/>
                  <w:gridSpan w:val="2"/>
                  <w:vMerge w:val="restart"/>
                  <w:tcBorders>
                    <w:tl2br w:val="nil"/>
                    <w:tr2bl w:val="nil"/>
                  </w:tcBorders>
                  <w:vAlign w:val="center"/>
                </w:tcPr>
                <w:p>
                  <w:pPr>
                    <w:jc w:val="center"/>
                    <w:rPr>
                      <w:bCs/>
                      <w:kern w:val="0"/>
                      <w:szCs w:val="21"/>
                    </w:rPr>
                  </w:pPr>
                  <w:r>
                    <w:rPr>
                      <w:rFonts w:hint="eastAsia"/>
                      <w:bCs/>
                      <w:kern w:val="0"/>
                      <w:szCs w:val="21"/>
                    </w:rPr>
                    <w:t>喷漆、晾干</w:t>
                  </w:r>
                </w:p>
              </w:tc>
              <w:tc>
                <w:tcPr>
                  <w:tcW w:w="536" w:type="pct"/>
                  <w:vMerge w:val="restart"/>
                  <w:tcBorders>
                    <w:tl2br w:val="nil"/>
                    <w:tr2bl w:val="nil"/>
                  </w:tcBorders>
                  <w:vAlign w:val="center"/>
                </w:tcPr>
                <w:p>
                  <w:pPr>
                    <w:jc w:val="center"/>
                    <w:rPr>
                      <w:bCs/>
                      <w:kern w:val="0"/>
                      <w:szCs w:val="21"/>
                    </w:rPr>
                  </w:pPr>
                  <w:r>
                    <w:rPr>
                      <w:rFonts w:hint="eastAsia"/>
                      <w:bCs/>
                      <w:kern w:val="0"/>
                      <w:szCs w:val="21"/>
                    </w:rPr>
                    <w:t>有组织</w:t>
                  </w:r>
                </w:p>
              </w:tc>
              <w:tc>
                <w:tcPr>
                  <w:tcW w:w="943" w:type="pct"/>
                  <w:tcBorders>
                    <w:tl2br w:val="nil"/>
                    <w:tr2bl w:val="nil"/>
                  </w:tcBorders>
                  <w:vAlign w:val="center"/>
                </w:tcPr>
                <w:p>
                  <w:pPr>
                    <w:jc w:val="center"/>
                    <w:rPr>
                      <w:bCs/>
                      <w:kern w:val="0"/>
                      <w:szCs w:val="21"/>
                    </w:rPr>
                  </w:pPr>
                  <w:r>
                    <w:rPr>
                      <w:rFonts w:hint="eastAsia"/>
                      <w:bCs/>
                      <w:kern w:val="0"/>
                      <w:szCs w:val="21"/>
                    </w:rPr>
                    <w:t>非甲烷总烃</w:t>
                  </w:r>
                </w:p>
              </w:tc>
              <w:tc>
                <w:tcPr>
                  <w:tcW w:w="554" w:type="pct"/>
                  <w:tcBorders>
                    <w:tl2br w:val="nil"/>
                    <w:tr2bl w:val="nil"/>
                  </w:tcBorders>
                  <w:vAlign w:val="center"/>
                </w:tcPr>
                <w:p>
                  <w:pPr>
                    <w:jc w:val="center"/>
                    <w:rPr>
                      <w:bCs/>
                      <w:kern w:val="0"/>
                      <w:szCs w:val="21"/>
                    </w:rPr>
                  </w:pPr>
                  <w:r>
                    <w:rPr>
                      <w:rFonts w:hint="eastAsia"/>
                      <w:bCs/>
                      <w:kern w:val="0"/>
                      <w:szCs w:val="21"/>
                    </w:rPr>
                    <w:t>40</w:t>
                  </w:r>
                </w:p>
              </w:tc>
              <w:tc>
                <w:tcPr>
                  <w:tcW w:w="582" w:type="pct"/>
                  <w:tcBorders>
                    <w:tl2br w:val="nil"/>
                    <w:tr2bl w:val="nil"/>
                  </w:tcBorders>
                  <w:vAlign w:val="center"/>
                </w:tcPr>
                <w:p>
                  <w:pPr>
                    <w:jc w:val="center"/>
                    <w:rPr>
                      <w:bCs/>
                      <w:kern w:val="0"/>
                      <w:szCs w:val="21"/>
                    </w:rPr>
                  </w:pPr>
                  <w:r>
                    <w:rPr>
                      <w:rFonts w:hint="eastAsia"/>
                      <w:bCs/>
                      <w:kern w:val="0"/>
                      <w:szCs w:val="21"/>
                    </w:rPr>
                    <w:t>/</w:t>
                  </w:r>
                </w:p>
              </w:tc>
              <w:tc>
                <w:tcPr>
                  <w:tcW w:w="1265" w:type="pct"/>
                  <w:vMerge w:val="restart"/>
                  <w:tcBorders>
                    <w:tl2br w:val="nil"/>
                    <w:tr2bl w:val="nil"/>
                  </w:tcBorders>
                  <w:vAlign w:val="center"/>
                </w:tcPr>
                <w:p>
                  <w:pPr>
                    <w:jc w:val="center"/>
                    <w:rPr>
                      <w:bCs/>
                      <w:kern w:val="0"/>
                      <w:szCs w:val="21"/>
                    </w:rPr>
                  </w:pPr>
                  <w:r>
                    <w:rPr>
                      <w:rFonts w:hint="eastAsia"/>
                      <w:bCs/>
                      <w:kern w:val="0"/>
                      <w:szCs w:val="21"/>
                    </w:rPr>
                    <w:t>（DB43/</w:t>
                  </w:r>
                  <w:r>
                    <w:rPr>
                      <w:rFonts w:hint="default"/>
                      <w:bCs/>
                      <w:kern w:val="0"/>
                      <w:szCs w:val="21"/>
                      <w:lang w:val="en-US"/>
                    </w:rPr>
                    <w:t>1355</w:t>
                  </w:r>
                  <w:r>
                    <w:rPr>
                      <w:rFonts w:hint="eastAsia"/>
                      <w:bCs/>
                      <w:kern w:val="0"/>
                      <w:szCs w:val="21"/>
                    </w:rPr>
                    <w:t>-2017）表1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118" w:type="pct"/>
                  <w:gridSpan w:val="2"/>
                  <w:vMerge w:val="continue"/>
                  <w:tcBorders>
                    <w:tl2br w:val="nil"/>
                    <w:tr2bl w:val="nil"/>
                  </w:tcBorders>
                  <w:vAlign w:val="center"/>
                </w:tcPr>
                <w:p>
                  <w:pPr>
                    <w:jc w:val="center"/>
                    <w:rPr>
                      <w:bCs/>
                      <w:kern w:val="0"/>
                      <w:szCs w:val="21"/>
                    </w:rPr>
                  </w:pPr>
                </w:p>
              </w:tc>
              <w:tc>
                <w:tcPr>
                  <w:tcW w:w="536" w:type="pct"/>
                  <w:vMerge w:val="continue"/>
                  <w:tcBorders>
                    <w:tl2br w:val="nil"/>
                    <w:tr2bl w:val="nil"/>
                  </w:tcBorders>
                  <w:vAlign w:val="center"/>
                </w:tcPr>
                <w:p>
                  <w:pPr>
                    <w:jc w:val="center"/>
                    <w:rPr>
                      <w:bCs/>
                      <w:kern w:val="0"/>
                      <w:szCs w:val="21"/>
                    </w:rPr>
                  </w:pPr>
                </w:p>
              </w:tc>
              <w:tc>
                <w:tcPr>
                  <w:tcW w:w="943" w:type="pct"/>
                  <w:tcBorders>
                    <w:tl2br w:val="nil"/>
                    <w:tr2bl w:val="nil"/>
                  </w:tcBorders>
                  <w:vAlign w:val="center"/>
                </w:tcPr>
                <w:p>
                  <w:pPr>
                    <w:jc w:val="center"/>
                    <w:rPr>
                      <w:bCs/>
                      <w:kern w:val="0"/>
                      <w:szCs w:val="21"/>
                    </w:rPr>
                  </w:pPr>
                  <w:r>
                    <w:rPr>
                      <w:rFonts w:hint="eastAsia"/>
                      <w:bCs/>
                      <w:kern w:val="0"/>
                      <w:szCs w:val="21"/>
                    </w:rPr>
                    <w:t>苯系物</w:t>
                  </w:r>
                </w:p>
              </w:tc>
              <w:tc>
                <w:tcPr>
                  <w:tcW w:w="554" w:type="pct"/>
                  <w:tcBorders>
                    <w:tl2br w:val="nil"/>
                    <w:tr2bl w:val="nil"/>
                  </w:tcBorders>
                  <w:vAlign w:val="center"/>
                </w:tcPr>
                <w:p>
                  <w:pPr>
                    <w:jc w:val="center"/>
                    <w:rPr>
                      <w:bCs/>
                      <w:kern w:val="0"/>
                      <w:szCs w:val="21"/>
                    </w:rPr>
                  </w:pPr>
                  <w:r>
                    <w:rPr>
                      <w:rFonts w:hint="eastAsia"/>
                      <w:bCs/>
                      <w:kern w:val="0"/>
                      <w:szCs w:val="21"/>
                    </w:rPr>
                    <w:t>25</w:t>
                  </w:r>
                </w:p>
              </w:tc>
              <w:tc>
                <w:tcPr>
                  <w:tcW w:w="582" w:type="pct"/>
                  <w:tcBorders>
                    <w:tl2br w:val="nil"/>
                    <w:tr2bl w:val="nil"/>
                  </w:tcBorders>
                  <w:vAlign w:val="center"/>
                </w:tcPr>
                <w:p>
                  <w:pPr>
                    <w:jc w:val="center"/>
                    <w:rPr>
                      <w:bCs/>
                      <w:kern w:val="0"/>
                      <w:szCs w:val="21"/>
                    </w:rPr>
                  </w:pPr>
                  <w:r>
                    <w:rPr>
                      <w:rFonts w:hint="eastAsia"/>
                      <w:bCs/>
                      <w:kern w:val="0"/>
                      <w:szCs w:val="21"/>
                    </w:rPr>
                    <w:t>/</w:t>
                  </w:r>
                </w:p>
              </w:tc>
              <w:tc>
                <w:tcPr>
                  <w:tcW w:w="1265" w:type="pct"/>
                  <w:vMerge w:val="continue"/>
                  <w:tcBorders>
                    <w:tl2br w:val="nil"/>
                    <w:tr2bl w:val="nil"/>
                  </w:tcBorders>
                  <w:vAlign w:val="center"/>
                </w:tcPr>
                <w:p>
                  <w:pPr>
                    <w:jc w:val="center"/>
                    <w:rPr>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118" w:type="pct"/>
                  <w:gridSpan w:val="2"/>
                  <w:vMerge w:val="continue"/>
                  <w:tcBorders>
                    <w:tl2br w:val="nil"/>
                    <w:tr2bl w:val="nil"/>
                  </w:tcBorders>
                  <w:vAlign w:val="center"/>
                </w:tcPr>
                <w:p>
                  <w:pPr>
                    <w:jc w:val="center"/>
                    <w:rPr>
                      <w:bCs/>
                      <w:kern w:val="0"/>
                      <w:szCs w:val="21"/>
                    </w:rPr>
                  </w:pPr>
                </w:p>
              </w:tc>
              <w:tc>
                <w:tcPr>
                  <w:tcW w:w="536" w:type="pct"/>
                  <w:vMerge w:val="continue"/>
                  <w:tcBorders>
                    <w:tl2br w:val="nil"/>
                    <w:tr2bl w:val="nil"/>
                  </w:tcBorders>
                  <w:vAlign w:val="center"/>
                </w:tcPr>
                <w:p>
                  <w:pPr>
                    <w:jc w:val="center"/>
                    <w:rPr>
                      <w:bCs/>
                      <w:kern w:val="0"/>
                      <w:szCs w:val="21"/>
                    </w:rPr>
                  </w:pPr>
                </w:p>
              </w:tc>
              <w:tc>
                <w:tcPr>
                  <w:tcW w:w="943" w:type="pct"/>
                  <w:tcBorders>
                    <w:tl2br w:val="nil"/>
                    <w:tr2bl w:val="nil"/>
                  </w:tcBorders>
                  <w:vAlign w:val="center"/>
                </w:tcPr>
                <w:p>
                  <w:pPr>
                    <w:jc w:val="center"/>
                    <w:rPr>
                      <w:bCs/>
                      <w:kern w:val="0"/>
                      <w:szCs w:val="21"/>
                    </w:rPr>
                  </w:pPr>
                  <w:r>
                    <w:rPr>
                      <w:rFonts w:hint="eastAsia"/>
                      <w:bCs/>
                      <w:kern w:val="0"/>
                      <w:szCs w:val="21"/>
                    </w:rPr>
                    <w:t>颗粒物</w:t>
                  </w:r>
                </w:p>
              </w:tc>
              <w:tc>
                <w:tcPr>
                  <w:tcW w:w="554" w:type="pct"/>
                  <w:tcBorders>
                    <w:tl2br w:val="nil"/>
                    <w:tr2bl w:val="nil"/>
                  </w:tcBorders>
                  <w:vAlign w:val="center"/>
                </w:tcPr>
                <w:p>
                  <w:pPr>
                    <w:jc w:val="center"/>
                    <w:rPr>
                      <w:bCs/>
                      <w:kern w:val="0"/>
                      <w:szCs w:val="21"/>
                    </w:rPr>
                  </w:pPr>
                  <w:r>
                    <w:rPr>
                      <w:rFonts w:hint="eastAsia"/>
                      <w:bCs/>
                      <w:kern w:val="0"/>
                      <w:szCs w:val="21"/>
                    </w:rPr>
                    <w:t>120</w:t>
                  </w:r>
                </w:p>
              </w:tc>
              <w:tc>
                <w:tcPr>
                  <w:tcW w:w="582" w:type="pct"/>
                  <w:tcBorders>
                    <w:tl2br w:val="nil"/>
                    <w:tr2bl w:val="nil"/>
                  </w:tcBorders>
                  <w:vAlign w:val="center"/>
                </w:tcPr>
                <w:p>
                  <w:pPr>
                    <w:jc w:val="center"/>
                    <w:rPr>
                      <w:bCs/>
                      <w:kern w:val="0"/>
                      <w:szCs w:val="21"/>
                    </w:rPr>
                  </w:pPr>
                  <w:r>
                    <w:rPr>
                      <w:rFonts w:hint="eastAsia"/>
                      <w:bCs/>
                      <w:kern w:val="0"/>
                      <w:szCs w:val="21"/>
                    </w:rPr>
                    <w:t>3.5</w:t>
                  </w:r>
                </w:p>
              </w:tc>
              <w:tc>
                <w:tcPr>
                  <w:tcW w:w="1265" w:type="pct"/>
                  <w:tcBorders>
                    <w:tl2br w:val="nil"/>
                    <w:tr2bl w:val="nil"/>
                  </w:tcBorders>
                  <w:vAlign w:val="center"/>
                </w:tcPr>
                <w:p>
                  <w:pPr>
                    <w:jc w:val="center"/>
                    <w:rPr>
                      <w:bCs/>
                      <w:kern w:val="0"/>
                      <w:szCs w:val="21"/>
                    </w:rPr>
                  </w:pPr>
                  <w:r>
                    <w:rPr>
                      <w:rFonts w:hint="eastAsia"/>
                      <w:bCs/>
                      <w:kern w:val="0"/>
                      <w:szCs w:val="21"/>
                    </w:rPr>
                    <w:t>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8" w:type="pct"/>
                  <w:gridSpan w:val="2"/>
                  <w:tcBorders>
                    <w:tl2br w:val="nil"/>
                    <w:tr2bl w:val="nil"/>
                  </w:tcBorders>
                  <w:vAlign w:val="center"/>
                </w:tcPr>
                <w:p>
                  <w:pPr>
                    <w:jc w:val="center"/>
                    <w:rPr>
                      <w:rFonts w:hint="default" w:eastAsia="宋体"/>
                      <w:bCs/>
                      <w:kern w:val="0"/>
                      <w:szCs w:val="21"/>
                      <w:lang w:val="en-US" w:eastAsia="zh-CN"/>
                    </w:rPr>
                  </w:pPr>
                  <w:r>
                    <w:rPr>
                      <w:rFonts w:hint="eastAsia"/>
                      <w:bCs/>
                      <w:kern w:val="0"/>
                      <w:szCs w:val="21"/>
                      <w:lang w:val="en-US" w:eastAsia="zh-CN"/>
                    </w:rPr>
                    <w:t>食堂油烟</w:t>
                  </w:r>
                </w:p>
              </w:tc>
              <w:tc>
                <w:tcPr>
                  <w:tcW w:w="536" w:type="pct"/>
                  <w:tcBorders>
                    <w:tl2br w:val="nil"/>
                    <w:tr2bl w:val="nil"/>
                  </w:tcBorders>
                  <w:vAlign w:val="center"/>
                </w:tcPr>
                <w:p>
                  <w:pPr>
                    <w:jc w:val="center"/>
                    <w:rPr>
                      <w:rFonts w:hint="eastAsia" w:eastAsia="宋体"/>
                      <w:bCs/>
                      <w:kern w:val="0"/>
                      <w:szCs w:val="21"/>
                      <w:lang w:val="en-US" w:eastAsia="zh-CN"/>
                    </w:rPr>
                  </w:pPr>
                  <w:r>
                    <w:rPr>
                      <w:rFonts w:hint="eastAsia"/>
                      <w:bCs/>
                      <w:kern w:val="0"/>
                      <w:szCs w:val="21"/>
                      <w:lang w:val="en-US" w:eastAsia="zh-CN"/>
                    </w:rPr>
                    <w:t>有组织</w:t>
                  </w:r>
                </w:p>
              </w:tc>
              <w:tc>
                <w:tcPr>
                  <w:tcW w:w="943" w:type="pct"/>
                  <w:tcBorders>
                    <w:tl2br w:val="nil"/>
                    <w:tr2bl w:val="nil"/>
                  </w:tcBorders>
                  <w:vAlign w:val="center"/>
                </w:tcPr>
                <w:p>
                  <w:pPr>
                    <w:jc w:val="center"/>
                    <w:rPr>
                      <w:rFonts w:hint="eastAsia" w:eastAsia="宋体"/>
                      <w:bCs/>
                      <w:kern w:val="0"/>
                      <w:szCs w:val="21"/>
                      <w:lang w:val="en-US" w:eastAsia="zh-CN"/>
                    </w:rPr>
                  </w:pPr>
                  <w:r>
                    <w:rPr>
                      <w:rFonts w:hint="eastAsia"/>
                      <w:bCs/>
                      <w:kern w:val="0"/>
                      <w:szCs w:val="21"/>
                      <w:lang w:val="en-US" w:eastAsia="zh-CN"/>
                    </w:rPr>
                    <w:t>油烟</w:t>
                  </w:r>
                </w:p>
              </w:tc>
              <w:tc>
                <w:tcPr>
                  <w:tcW w:w="554" w:type="pct"/>
                  <w:tcBorders>
                    <w:tl2br w:val="nil"/>
                    <w:tr2bl w:val="nil"/>
                  </w:tcBorders>
                  <w:vAlign w:val="center"/>
                </w:tcPr>
                <w:p>
                  <w:pPr>
                    <w:jc w:val="center"/>
                    <w:rPr>
                      <w:rFonts w:hint="eastAsia" w:eastAsia="宋体"/>
                      <w:bCs/>
                      <w:kern w:val="0"/>
                      <w:szCs w:val="21"/>
                      <w:lang w:val="en-US" w:eastAsia="zh-CN"/>
                    </w:rPr>
                  </w:pPr>
                  <w:r>
                    <w:rPr>
                      <w:rFonts w:hint="eastAsia"/>
                      <w:bCs/>
                      <w:kern w:val="0"/>
                      <w:szCs w:val="21"/>
                      <w:lang w:val="en-US" w:eastAsia="zh-CN"/>
                    </w:rPr>
                    <w:t>2</w:t>
                  </w:r>
                </w:p>
              </w:tc>
              <w:tc>
                <w:tcPr>
                  <w:tcW w:w="582" w:type="pct"/>
                  <w:tcBorders>
                    <w:tl2br w:val="nil"/>
                    <w:tr2bl w:val="nil"/>
                  </w:tcBorders>
                  <w:vAlign w:val="center"/>
                </w:tcPr>
                <w:p>
                  <w:pPr>
                    <w:jc w:val="center"/>
                    <w:rPr>
                      <w:rFonts w:hint="eastAsia"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w:t>
                  </w:r>
                </w:p>
              </w:tc>
              <w:tc>
                <w:tcPr>
                  <w:tcW w:w="1265" w:type="pct"/>
                  <w:tcBorders>
                    <w:tl2br w:val="nil"/>
                    <w:tr2bl w:val="nil"/>
                  </w:tcBorders>
                  <w:vAlign w:val="center"/>
                </w:tcPr>
                <w:p>
                  <w:pPr>
                    <w:jc w:val="center"/>
                    <w:rPr>
                      <w:rFonts w:hint="default" w:ascii="Times New Roman" w:hAnsi="Times New Roman" w:eastAsia="宋体" w:cs="Times New Roman"/>
                      <w:bCs/>
                      <w:kern w:val="0"/>
                      <w:szCs w:val="21"/>
                      <w:lang w:val="en-US"/>
                    </w:rPr>
                  </w:pPr>
                  <w:r>
                    <w:rPr>
                      <w:rFonts w:hint="eastAsia" w:ascii="Times New Roman" w:hAnsi="Times New Roman" w:eastAsia="宋体" w:cs="Times New Roman"/>
                      <w:bCs/>
                      <w:kern w:val="0"/>
                      <w:szCs w:val="21"/>
                      <w:lang w:val="en-US" w:eastAsia="zh-CN"/>
                    </w:rPr>
                    <w:t>GB18483-2001表2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pct"/>
                  <w:gridSpan w:val="2"/>
                  <w:vMerge w:val="restart"/>
                  <w:tcBorders>
                    <w:tl2br w:val="nil"/>
                    <w:tr2bl w:val="nil"/>
                  </w:tcBorders>
                  <w:vAlign w:val="center"/>
                </w:tcPr>
                <w:p>
                  <w:pPr>
                    <w:jc w:val="center"/>
                    <w:rPr>
                      <w:bCs/>
                      <w:kern w:val="0"/>
                      <w:szCs w:val="21"/>
                    </w:rPr>
                  </w:pPr>
                  <w:r>
                    <w:rPr>
                      <w:rFonts w:hint="eastAsia"/>
                      <w:bCs/>
                      <w:kern w:val="0"/>
                      <w:szCs w:val="21"/>
                    </w:rPr>
                    <w:t>厂界</w:t>
                  </w:r>
                </w:p>
              </w:tc>
              <w:tc>
                <w:tcPr>
                  <w:tcW w:w="536" w:type="pct"/>
                  <w:vMerge w:val="restart"/>
                  <w:tcBorders>
                    <w:tl2br w:val="nil"/>
                    <w:tr2bl w:val="nil"/>
                  </w:tcBorders>
                  <w:vAlign w:val="center"/>
                </w:tcPr>
                <w:p>
                  <w:pPr>
                    <w:jc w:val="center"/>
                    <w:rPr>
                      <w:bCs/>
                      <w:kern w:val="0"/>
                      <w:szCs w:val="21"/>
                    </w:rPr>
                  </w:pPr>
                  <w:r>
                    <w:rPr>
                      <w:rFonts w:hint="eastAsia"/>
                      <w:bCs/>
                      <w:kern w:val="0"/>
                      <w:szCs w:val="21"/>
                    </w:rPr>
                    <w:t>无组织</w:t>
                  </w:r>
                </w:p>
              </w:tc>
              <w:tc>
                <w:tcPr>
                  <w:tcW w:w="943" w:type="pct"/>
                  <w:tcBorders>
                    <w:tl2br w:val="nil"/>
                    <w:tr2bl w:val="nil"/>
                  </w:tcBorders>
                  <w:vAlign w:val="center"/>
                </w:tcPr>
                <w:p>
                  <w:pPr>
                    <w:jc w:val="center"/>
                    <w:rPr>
                      <w:bCs/>
                      <w:kern w:val="0"/>
                      <w:szCs w:val="21"/>
                    </w:rPr>
                  </w:pPr>
                  <w:r>
                    <w:rPr>
                      <w:rFonts w:hint="eastAsia"/>
                      <w:bCs/>
                      <w:kern w:val="0"/>
                      <w:szCs w:val="21"/>
                    </w:rPr>
                    <w:t>非甲烷总烃</w:t>
                  </w:r>
                </w:p>
              </w:tc>
              <w:tc>
                <w:tcPr>
                  <w:tcW w:w="554" w:type="pct"/>
                  <w:tcBorders>
                    <w:tl2br w:val="nil"/>
                    <w:tr2bl w:val="nil"/>
                  </w:tcBorders>
                  <w:vAlign w:val="center"/>
                </w:tcPr>
                <w:p>
                  <w:pPr>
                    <w:jc w:val="center"/>
                    <w:rPr>
                      <w:bCs/>
                      <w:kern w:val="0"/>
                      <w:szCs w:val="21"/>
                    </w:rPr>
                  </w:pPr>
                  <w:r>
                    <w:rPr>
                      <w:rFonts w:hint="eastAsia"/>
                      <w:bCs/>
                      <w:kern w:val="0"/>
                      <w:szCs w:val="21"/>
                    </w:rPr>
                    <w:t>2</w:t>
                  </w:r>
                </w:p>
              </w:tc>
              <w:tc>
                <w:tcPr>
                  <w:tcW w:w="582" w:type="pct"/>
                  <w:tcBorders>
                    <w:tl2br w:val="nil"/>
                    <w:tr2bl w:val="nil"/>
                  </w:tcBorders>
                  <w:vAlign w:val="center"/>
                </w:tcPr>
                <w:p>
                  <w:pPr>
                    <w:jc w:val="center"/>
                    <w:rPr>
                      <w:bCs/>
                      <w:kern w:val="0"/>
                      <w:szCs w:val="21"/>
                    </w:rPr>
                  </w:pPr>
                  <w:r>
                    <w:rPr>
                      <w:rFonts w:hint="eastAsia"/>
                      <w:bCs/>
                      <w:kern w:val="0"/>
                      <w:szCs w:val="21"/>
                    </w:rPr>
                    <w:t>/</w:t>
                  </w:r>
                </w:p>
              </w:tc>
              <w:tc>
                <w:tcPr>
                  <w:tcW w:w="1265" w:type="pct"/>
                  <w:vMerge w:val="restart"/>
                  <w:tcBorders>
                    <w:tl2br w:val="nil"/>
                    <w:tr2bl w:val="nil"/>
                  </w:tcBorders>
                  <w:vAlign w:val="center"/>
                </w:tcPr>
                <w:p>
                  <w:pPr>
                    <w:jc w:val="center"/>
                    <w:rPr>
                      <w:bCs/>
                      <w:kern w:val="0"/>
                      <w:szCs w:val="21"/>
                    </w:rPr>
                  </w:pPr>
                  <w:r>
                    <w:rPr>
                      <w:rFonts w:hint="eastAsia"/>
                      <w:bCs/>
                      <w:kern w:val="0"/>
                      <w:szCs w:val="21"/>
                    </w:rPr>
                    <w:t>（DB43/1</w:t>
                  </w:r>
                  <w:r>
                    <w:rPr>
                      <w:rFonts w:hint="default"/>
                      <w:bCs/>
                      <w:kern w:val="0"/>
                      <w:szCs w:val="21"/>
                      <w:lang w:val="en-US"/>
                    </w:rPr>
                    <w:t>35</w:t>
                  </w:r>
                  <w:r>
                    <w:rPr>
                      <w:rFonts w:hint="eastAsia"/>
                      <w:bCs/>
                      <w:kern w:val="0"/>
                      <w:szCs w:val="21"/>
                    </w:rPr>
                    <w:t>5-2017）表2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118" w:type="pct"/>
                  <w:gridSpan w:val="2"/>
                  <w:vMerge w:val="continue"/>
                  <w:tcBorders>
                    <w:tl2br w:val="nil"/>
                    <w:tr2bl w:val="nil"/>
                  </w:tcBorders>
                  <w:vAlign w:val="center"/>
                </w:tcPr>
                <w:p>
                  <w:pPr>
                    <w:jc w:val="center"/>
                    <w:rPr>
                      <w:bCs/>
                      <w:kern w:val="0"/>
                      <w:szCs w:val="21"/>
                    </w:rPr>
                  </w:pPr>
                </w:p>
              </w:tc>
              <w:tc>
                <w:tcPr>
                  <w:tcW w:w="536" w:type="pct"/>
                  <w:vMerge w:val="continue"/>
                  <w:tcBorders>
                    <w:tl2br w:val="nil"/>
                    <w:tr2bl w:val="nil"/>
                  </w:tcBorders>
                  <w:vAlign w:val="center"/>
                </w:tcPr>
                <w:p>
                  <w:pPr>
                    <w:jc w:val="center"/>
                    <w:rPr>
                      <w:bCs/>
                      <w:kern w:val="0"/>
                      <w:szCs w:val="21"/>
                    </w:rPr>
                  </w:pPr>
                </w:p>
              </w:tc>
              <w:tc>
                <w:tcPr>
                  <w:tcW w:w="943" w:type="pct"/>
                  <w:tcBorders>
                    <w:tl2br w:val="nil"/>
                    <w:tr2bl w:val="nil"/>
                  </w:tcBorders>
                  <w:vAlign w:val="center"/>
                </w:tcPr>
                <w:p>
                  <w:pPr>
                    <w:jc w:val="center"/>
                    <w:rPr>
                      <w:bCs/>
                      <w:kern w:val="0"/>
                      <w:szCs w:val="21"/>
                    </w:rPr>
                  </w:pPr>
                  <w:r>
                    <w:rPr>
                      <w:rFonts w:hint="eastAsia"/>
                      <w:bCs/>
                      <w:kern w:val="0"/>
                      <w:szCs w:val="21"/>
                    </w:rPr>
                    <w:t>苯系物</w:t>
                  </w:r>
                </w:p>
              </w:tc>
              <w:tc>
                <w:tcPr>
                  <w:tcW w:w="554" w:type="pct"/>
                  <w:tcBorders>
                    <w:tl2br w:val="nil"/>
                    <w:tr2bl w:val="nil"/>
                  </w:tcBorders>
                  <w:vAlign w:val="center"/>
                </w:tcPr>
                <w:p>
                  <w:pPr>
                    <w:jc w:val="center"/>
                    <w:rPr>
                      <w:bCs/>
                      <w:kern w:val="0"/>
                      <w:szCs w:val="21"/>
                    </w:rPr>
                  </w:pPr>
                  <w:r>
                    <w:rPr>
                      <w:rFonts w:hint="eastAsia"/>
                      <w:bCs/>
                      <w:kern w:val="0"/>
                      <w:szCs w:val="21"/>
                    </w:rPr>
                    <w:t>1</w:t>
                  </w:r>
                </w:p>
              </w:tc>
              <w:tc>
                <w:tcPr>
                  <w:tcW w:w="582" w:type="pct"/>
                  <w:tcBorders>
                    <w:tl2br w:val="nil"/>
                    <w:tr2bl w:val="nil"/>
                  </w:tcBorders>
                  <w:vAlign w:val="center"/>
                </w:tcPr>
                <w:p>
                  <w:pPr>
                    <w:jc w:val="center"/>
                    <w:rPr>
                      <w:bCs/>
                      <w:kern w:val="0"/>
                      <w:szCs w:val="21"/>
                    </w:rPr>
                  </w:pPr>
                  <w:r>
                    <w:rPr>
                      <w:rFonts w:hint="eastAsia"/>
                      <w:bCs/>
                      <w:kern w:val="0"/>
                      <w:szCs w:val="21"/>
                    </w:rPr>
                    <w:t>/</w:t>
                  </w:r>
                </w:p>
              </w:tc>
              <w:tc>
                <w:tcPr>
                  <w:tcW w:w="1265" w:type="pct"/>
                  <w:vMerge w:val="continue"/>
                  <w:tcBorders>
                    <w:tl2br w:val="nil"/>
                    <w:tr2bl w:val="nil"/>
                  </w:tcBorders>
                  <w:vAlign w:val="center"/>
                </w:tcPr>
                <w:p>
                  <w:pPr>
                    <w:jc w:val="center"/>
                    <w:rPr>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118" w:type="pct"/>
                  <w:gridSpan w:val="2"/>
                  <w:vMerge w:val="continue"/>
                  <w:vAlign w:val="center"/>
                </w:tcPr>
                <w:p>
                  <w:pPr>
                    <w:jc w:val="center"/>
                    <w:rPr>
                      <w:bCs/>
                      <w:kern w:val="0"/>
                      <w:szCs w:val="21"/>
                    </w:rPr>
                  </w:pPr>
                </w:p>
              </w:tc>
              <w:tc>
                <w:tcPr>
                  <w:tcW w:w="536" w:type="pct"/>
                  <w:vMerge w:val="continue"/>
                  <w:vAlign w:val="center"/>
                </w:tcPr>
                <w:p>
                  <w:pPr>
                    <w:jc w:val="center"/>
                    <w:rPr>
                      <w:bCs/>
                      <w:kern w:val="0"/>
                      <w:szCs w:val="21"/>
                    </w:rPr>
                  </w:pPr>
                </w:p>
              </w:tc>
              <w:tc>
                <w:tcPr>
                  <w:tcW w:w="943" w:type="pct"/>
                  <w:vAlign w:val="center"/>
                </w:tcPr>
                <w:p>
                  <w:pPr>
                    <w:jc w:val="center"/>
                    <w:rPr>
                      <w:bCs/>
                      <w:kern w:val="0"/>
                      <w:szCs w:val="21"/>
                    </w:rPr>
                  </w:pPr>
                  <w:r>
                    <w:rPr>
                      <w:rFonts w:hint="eastAsia"/>
                      <w:bCs/>
                      <w:kern w:val="0"/>
                      <w:szCs w:val="21"/>
                    </w:rPr>
                    <w:t>颗粒物</w:t>
                  </w:r>
                </w:p>
              </w:tc>
              <w:tc>
                <w:tcPr>
                  <w:tcW w:w="554" w:type="pct"/>
                  <w:vAlign w:val="center"/>
                </w:tcPr>
                <w:p>
                  <w:pPr>
                    <w:jc w:val="center"/>
                    <w:rPr>
                      <w:bCs/>
                      <w:kern w:val="0"/>
                      <w:szCs w:val="21"/>
                    </w:rPr>
                  </w:pPr>
                  <w:r>
                    <w:rPr>
                      <w:rFonts w:hint="eastAsia"/>
                      <w:bCs/>
                      <w:kern w:val="0"/>
                      <w:szCs w:val="21"/>
                    </w:rPr>
                    <w:t>1</w:t>
                  </w:r>
                </w:p>
              </w:tc>
              <w:tc>
                <w:tcPr>
                  <w:tcW w:w="582" w:type="pct"/>
                  <w:vAlign w:val="center"/>
                </w:tcPr>
                <w:p>
                  <w:pPr>
                    <w:jc w:val="center"/>
                    <w:rPr>
                      <w:bCs/>
                      <w:kern w:val="0"/>
                      <w:szCs w:val="21"/>
                    </w:rPr>
                  </w:pPr>
                  <w:r>
                    <w:rPr>
                      <w:rFonts w:hint="eastAsia"/>
                      <w:bCs/>
                      <w:kern w:val="0"/>
                      <w:szCs w:val="21"/>
                    </w:rPr>
                    <w:t>/</w:t>
                  </w:r>
                </w:p>
              </w:tc>
              <w:tc>
                <w:tcPr>
                  <w:tcW w:w="1265" w:type="pct"/>
                  <w:vAlign w:val="center"/>
                </w:tcPr>
                <w:p>
                  <w:pPr>
                    <w:jc w:val="center"/>
                    <w:rPr>
                      <w:bCs/>
                      <w:kern w:val="0"/>
                      <w:szCs w:val="21"/>
                    </w:rPr>
                  </w:pPr>
                  <w:r>
                    <w:rPr>
                      <w:rFonts w:hint="eastAsia"/>
                      <w:bCs/>
                      <w:kern w:val="0"/>
                      <w:szCs w:val="21"/>
                    </w:rPr>
                    <w:t>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24" w:type="pct"/>
                  <w:vMerge w:val="restart"/>
                  <w:vAlign w:val="center"/>
                </w:tcPr>
                <w:p>
                  <w:pPr>
                    <w:jc w:val="center"/>
                    <w:rPr>
                      <w:bCs/>
                      <w:kern w:val="0"/>
                      <w:szCs w:val="21"/>
                    </w:rPr>
                  </w:pPr>
                  <w:r>
                    <w:rPr>
                      <w:rFonts w:hint="eastAsia"/>
                      <w:bCs/>
                      <w:kern w:val="0"/>
                      <w:szCs w:val="21"/>
                    </w:rPr>
                    <w:t>厂区内</w:t>
                  </w:r>
                </w:p>
              </w:tc>
              <w:tc>
                <w:tcPr>
                  <w:tcW w:w="693" w:type="pct"/>
                  <w:vAlign w:val="center"/>
                </w:tcPr>
                <w:p>
                  <w:pPr>
                    <w:jc w:val="center"/>
                    <w:rPr>
                      <w:bCs/>
                      <w:kern w:val="0"/>
                      <w:szCs w:val="21"/>
                    </w:rPr>
                  </w:pPr>
                  <w:r>
                    <w:rPr>
                      <w:rFonts w:hint="eastAsia"/>
                      <w:bCs/>
                      <w:kern w:val="0"/>
                      <w:szCs w:val="21"/>
                    </w:rPr>
                    <w:t>1次值</w:t>
                  </w:r>
                </w:p>
              </w:tc>
              <w:tc>
                <w:tcPr>
                  <w:tcW w:w="536" w:type="pct"/>
                  <w:vMerge w:val="restart"/>
                  <w:vAlign w:val="center"/>
                </w:tcPr>
                <w:p>
                  <w:pPr>
                    <w:jc w:val="center"/>
                    <w:rPr>
                      <w:bCs/>
                      <w:kern w:val="0"/>
                      <w:szCs w:val="21"/>
                    </w:rPr>
                  </w:pPr>
                  <w:r>
                    <w:rPr>
                      <w:rFonts w:hint="eastAsia"/>
                      <w:bCs/>
                      <w:kern w:val="0"/>
                      <w:szCs w:val="21"/>
                    </w:rPr>
                    <w:t>无组织</w:t>
                  </w:r>
                </w:p>
              </w:tc>
              <w:tc>
                <w:tcPr>
                  <w:tcW w:w="943" w:type="pct"/>
                  <w:vMerge w:val="restart"/>
                  <w:vAlign w:val="center"/>
                </w:tcPr>
                <w:p>
                  <w:pPr>
                    <w:jc w:val="center"/>
                    <w:rPr>
                      <w:bCs/>
                      <w:kern w:val="0"/>
                      <w:szCs w:val="21"/>
                    </w:rPr>
                  </w:pPr>
                  <w:r>
                    <w:rPr>
                      <w:rFonts w:hint="eastAsia"/>
                      <w:bCs/>
                      <w:kern w:val="0"/>
                      <w:szCs w:val="21"/>
                    </w:rPr>
                    <w:t>非甲烷总烃</w:t>
                  </w:r>
                </w:p>
              </w:tc>
              <w:tc>
                <w:tcPr>
                  <w:tcW w:w="554" w:type="pct"/>
                  <w:vAlign w:val="center"/>
                </w:tcPr>
                <w:p>
                  <w:pPr>
                    <w:jc w:val="center"/>
                    <w:rPr>
                      <w:bCs/>
                      <w:kern w:val="0"/>
                      <w:szCs w:val="21"/>
                    </w:rPr>
                  </w:pPr>
                  <w:r>
                    <w:rPr>
                      <w:rFonts w:hint="eastAsia"/>
                      <w:bCs/>
                      <w:kern w:val="0"/>
                      <w:szCs w:val="21"/>
                    </w:rPr>
                    <w:t>30</w:t>
                  </w:r>
                </w:p>
              </w:tc>
              <w:tc>
                <w:tcPr>
                  <w:tcW w:w="582" w:type="pct"/>
                  <w:vAlign w:val="center"/>
                </w:tcPr>
                <w:p>
                  <w:pPr>
                    <w:jc w:val="center"/>
                    <w:rPr>
                      <w:bCs/>
                      <w:kern w:val="0"/>
                      <w:szCs w:val="21"/>
                    </w:rPr>
                  </w:pPr>
                  <w:r>
                    <w:rPr>
                      <w:rFonts w:hint="eastAsia"/>
                      <w:bCs/>
                      <w:kern w:val="0"/>
                      <w:szCs w:val="21"/>
                    </w:rPr>
                    <w:t>/</w:t>
                  </w:r>
                </w:p>
              </w:tc>
              <w:tc>
                <w:tcPr>
                  <w:tcW w:w="1265" w:type="pct"/>
                  <w:vMerge w:val="restart"/>
                  <w:vAlign w:val="center"/>
                </w:tcPr>
                <w:p>
                  <w:pPr>
                    <w:jc w:val="center"/>
                    <w:rPr>
                      <w:bCs/>
                      <w:kern w:val="0"/>
                      <w:szCs w:val="21"/>
                    </w:rPr>
                  </w:pPr>
                  <w:r>
                    <w:rPr>
                      <w:rFonts w:hint="eastAsia"/>
                      <w:bCs/>
                      <w:kern w:val="0"/>
                      <w:szCs w:val="21"/>
                    </w:rPr>
                    <w:t>(GB37822-2019)表A.1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24" w:type="pct"/>
                  <w:vMerge w:val="continue"/>
                  <w:vAlign w:val="center"/>
                </w:tcPr>
                <w:p>
                  <w:pPr>
                    <w:jc w:val="center"/>
                    <w:rPr>
                      <w:bCs/>
                      <w:kern w:val="0"/>
                      <w:szCs w:val="21"/>
                    </w:rPr>
                  </w:pPr>
                </w:p>
              </w:tc>
              <w:tc>
                <w:tcPr>
                  <w:tcW w:w="693" w:type="pct"/>
                  <w:vAlign w:val="center"/>
                </w:tcPr>
                <w:p>
                  <w:pPr>
                    <w:jc w:val="center"/>
                    <w:rPr>
                      <w:bCs/>
                      <w:kern w:val="0"/>
                      <w:szCs w:val="21"/>
                    </w:rPr>
                  </w:pPr>
                  <w:r>
                    <w:rPr>
                      <w:rFonts w:hint="eastAsia"/>
                      <w:bCs/>
                      <w:kern w:val="0"/>
                      <w:szCs w:val="21"/>
                    </w:rPr>
                    <w:t>1h平均值</w:t>
                  </w:r>
                </w:p>
              </w:tc>
              <w:tc>
                <w:tcPr>
                  <w:tcW w:w="536" w:type="pct"/>
                  <w:vMerge w:val="continue"/>
                  <w:vAlign w:val="center"/>
                </w:tcPr>
                <w:p>
                  <w:pPr>
                    <w:jc w:val="center"/>
                    <w:rPr>
                      <w:bCs/>
                      <w:kern w:val="0"/>
                      <w:szCs w:val="21"/>
                    </w:rPr>
                  </w:pPr>
                </w:p>
              </w:tc>
              <w:tc>
                <w:tcPr>
                  <w:tcW w:w="943" w:type="pct"/>
                  <w:vMerge w:val="continue"/>
                  <w:vAlign w:val="center"/>
                </w:tcPr>
                <w:p>
                  <w:pPr>
                    <w:jc w:val="center"/>
                    <w:rPr>
                      <w:bCs/>
                      <w:kern w:val="0"/>
                      <w:szCs w:val="21"/>
                    </w:rPr>
                  </w:pPr>
                </w:p>
              </w:tc>
              <w:tc>
                <w:tcPr>
                  <w:tcW w:w="554" w:type="pct"/>
                  <w:vAlign w:val="center"/>
                </w:tcPr>
                <w:p>
                  <w:pPr>
                    <w:jc w:val="center"/>
                    <w:rPr>
                      <w:bCs/>
                      <w:kern w:val="0"/>
                      <w:szCs w:val="21"/>
                    </w:rPr>
                  </w:pPr>
                  <w:r>
                    <w:rPr>
                      <w:rFonts w:hint="eastAsia"/>
                      <w:bCs/>
                      <w:kern w:val="0"/>
                      <w:szCs w:val="21"/>
                    </w:rPr>
                    <w:t>10</w:t>
                  </w:r>
                </w:p>
              </w:tc>
              <w:tc>
                <w:tcPr>
                  <w:tcW w:w="582" w:type="pct"/>
                  <w:vAlign w:val="center"/>
                </w:tcPr>
                <w:p>
                  <w:pPr>
                    <w:jc w:val="center"/>
                    <w:rPr>
                      <w:bCs/>
                      <w:kern w:val="0"/>
                      <w:szCs w:val="21"/>
                    </w:rPr>
                  </w:pPr>
                  <w:r>
                    <w:rPr>
                      <w:rFonts w:hint="eastAsia"/>
                      <w:bCs/>
                      <w:kern w:val="0"/>
                      <w:szCs w:val="21"/>
                    </w:rPr>
                    <w:t>/</w:t>
                  </w:r>
                </w:p>
              </w:tc>
              <w:tc>
                <w:tcPr>
                  <w:tcW w:w="1265" w:type="pct"/>
                  <w:vMerge w:val="continue"/>
                </w:tcPr>
                <w:p>
                  <w:pPr>
                    <w:jc w:val="center"/>
                    <w:rPr>
                      <w:bCs/>
                      <w:kern w:val="0"/>
                      <w:szCs w:val="21"/>
                    </w:rPr>
                  </w:pPr>
                </w:p>
              </w:tc>
            </w:tr>
          </w:tbl>
          <w:p>
            <w:pPr>
              <w:adjustRightInd w:val="0"/>
              <w:spacing w:before="120" w:beforeLines="50" w:line="360" w:lineRule="auto"/>
              <w:rPr>
                <w:kern w:val="0"/>
                <w:sz w:val="24"/>
              </w:rPr>
            </w:pPr>
            <w:r>
              <w:rPr>
                <w:b/>
                <w:bCs/>
                <w:kern w:val="0"/>
                <w:sz w:val="24"/>
              </w:rPr>
              <w:t>2、水污染物排放标准</w:t>
            </w:r>
          </w:p>
          <w:p>
            <w:pPr>
              <w:spacing w:line="360" w:lineRule="auto"/>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项目生活污水经处理达到《污水综合排放标准》（GB8978-1996）三级标准和湘阴县第二污水处理厂进水水质标准后，排入湘阴县第二污水处理厂处理，处理标准后排入洋沙河至洋沙湖，最终受纳水体为湘江。</w:t>
            </w:r>
          </w:p>
          <w:p>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w:t>
            </w:r>
            <w:r>
              <w:rPr>
                <w:rFonts w:hint="eastAsia"/>
                <w:b/>
                <w:color w:val="000000" w:themeColor="text1"/>
                <w:kern w:val="0"/>
                <w:szCs w:val="21"/>
                <w14:textFill>
                  <w14:solidFill>
                    <w14:schemeClr w14:val="tx1"/>
                  </w14:solidFill>
                </w14:textFill>
              </w:rPr>
              <w:t xml:space="preserve">3-6 </w:t>
            </w:r>
            <w:r>
              <w:rPr>
                <w:b/>
                <w:color w:val="000000" w:themeColor="text1"/>
                <w:kern w:val="0"/>
                <w:szCs w:val="21"/>
                <w14:textFill>
                  <w14:solidFill>
                    <w14:schemeClr w14:val="tx1"/>
                  </w14:solidFill>
                </w14:textFill>
              </w:rPr>
              <w:t xml:space="preserve">  污水综合排放标准    单位：mg/L（pH除外）</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755"/>
              <w:gridCol w:w="746"/>
              <w:gridCol w:w="932"/>
              <w:gridCol w:w="937"/>
              <w:gridCol w:w="937"/>
              <w:gridCol w:w="93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0"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水质因子</w:t>
                  </w:r>
                </w:p>
              </w:tc>
              <w:tc>
                <w:tcPr>
                  <w:tcW w:w="465"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459"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574"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TN</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0"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GB8978-1996</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（三级）</w:t>
                  </w:r>
                </w:p>
              </w:tc>
              <w:tc>
                <w:tcPr>
                  <w:tcW w:w="465"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459"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74"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0" w:type="pct"/>
                  <w:tcBorders>
                    <w:tl2br w:val="nil"/>
                    <w:tr2bl w:val="nil"/>
                  </w:tcBorders>
                  <w:vAlign w:val="center"/>
                </w:tcPr>
                <w:p>
                  <w:pPr>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污水处理厂</w:t>
                  </w:r>
                  <w:r>
                    <w:rPr>
                      <w:rFonts w:hAnsi="宋体"/>
                      <w:color w:val="000000" w:themeColor="text1"/>
                      <w:szCs w:val="21"/>
                      <w14:textFill>
                        <w14:solidFill>
                          <w14:schemeClr w14:val="tx1"/>
                        </w14:solidFill>
                      </w14:textFill>
                    </w:rPr>
                    <w:t>设计进水水质</w:t>
                  </w:r>
                </w:p>
              </w:tc>
              <w:tc>
                <w:tcPr>
                  <w:tcW w:w="465"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459"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500</w:t>
                  </w:r>
                </w:p>
              </w:tc>
              <w:tc>
                <w:tcPr>
                  <w:tcW w:w="574"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400</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350</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45</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70</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0"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本项目执行标准</w:t>
                  </w:r>
                </w:p>
              </w:tc>
              <w:tc>
                <w:tcPr>
                  <w:tcW w:w="465"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459"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500</w:t>
                  </w:r>
                </w:p>
              </w:tc>
              <w:tc>
                <w:tcPr>
                  <w:tcW w:w="574"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400</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300</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45</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70</w:t>
                  </w:r>
                </w:p>
              </w:tc>
              <w:tc>
                <w:tcPr>
                  <w:tcW w:w="577" w:type="pct"/>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w:t>
                  </w:r>
                </w:p>
              </w:tc>
            </w:tr>
          </w:tbl>
          <w:p>
            <w:pPr>
              <w:adjustRightInd w:val="0"/>
              <w:spacing w:before="120" w:beforeLines="50" w:line="360" w:lineRule="auto"/>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3、噪声排放标准</w:t>
            </w:r>
          </w:p>
          <w:p>
            <w:pPr>
              <w:adjustRightIn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施工期：执行</w:t>
            </w:r>
            <w:r>
              <w:rPr>
                <w:color w:val="000000" w:themeColor="text1"/>
                <w:kern w:val="0"/>
                <w:sz w:val="24"/>
                <w14:textFill>
                  <w14:solidFill>
                    <w14:schemeClr w14:val="tx1"/>
                  </w14:solidFill>
                </w14:textFill>
              </w:rPr>
              <w:t>《建筑施工场界环境噪声排放标准》（GB12523-2011）</w:t>
            </w:r>
            <w:r>
              <w:rPr>
                <w:rFonts w:hint="eastAsia"/>
                <w:color w:val="000000" w:themeColor="text1"/>
                <w:kern w:val="0"/>
                <w:sz w:val="24"/>
                <w14:textFill>
                  <w14:solidFill>
                    <w14:schemeClr w14:val="tx1"/>
                  </w14:solidFill>
                </w14:textFill>
              </w:rPr>
              <w:t>。</w:t>
            </w:r>
          </w:p>
          <w:p>
            <w:pPr>
              <w:adjustRightIn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运行期：</w:t>
            </w:r>
            <w:r>
              <w:rPr>
                <w:color w:val="000000" w:themeColor="text1"/>
                <w:kern w:val="0"/>
                <w:sz w:val="24"/>
                <w14:textFill>
                  <w14:solidFill>
                    <w14:schemeClr w14:val="tx1"/>
                  </w14:solidFill>
                </w14:textFill>
              </w:rPr>
              <w:t>项目运营期厂界噪声执行《工业企业厂界环境噪声排放标准》（GB12348-2008）表1中</w:t>
            </w: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类标准，具体标准值见下表：</w:t>
            </w:r>
          </w:p>
          <w:p>
            <w:pPr>
              <w:adjustRightIn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表3-</w:t>
            </w:r>
            <w:r>
              <w:rPr>
                <w:rFonts w:hint="eastAsia"/>
                <w:b/>
                <w:bCs/>
                <w:color w:val="000000" w:themeColor="text1"/>
                <w:kern w:val="0"/>
                <w:szCs w:val="21"/>
                <w14:textFill>
                  <w14:solidFill>
                    <w14:schemeClr w14:val="tx1"/>
                  </w14:solidFill>
                </w14:textFill>
              </w:rPr>
              <w:t>7</w:t>
            </w:r>
            <w:r>
              <w:rPr>
                <w:b/>
                <w:bCs/>
                <w:color w:val="000000" w:themeColor="text1"/>
                <w:kern w:val="0"/>
                <w:szCs w:val="21"/>
                <w14:textFill>
                  <w14:solidFill>
                    <w14:schemeClr w14:val="tx1"/>
                  </w14:solidFill>
                </w14:textFill>
              </w:rPr>
              <w:t xml:space="preserve">  工业企业厂界噪声标准    单位：dB (A)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562"/>
              <w:gridCol w:w="5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77" w:type="dxa"/>
                  <w:vAlign w:val="center"/>
                </w:tcPr>
                <w:p>
                  <w:pPr>
                    <w:adjustRightIn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昼间</w:t>
                  </w:r>
                </w:p>
              </w:tc>
              <w:tc>
                <w:tcPr>
                  <w:tcW w:w="1535" w:type="dxa"/>
                  <w:vAlign w:val="center"/>
                </w:tcPr>
                <w:p>
                  <w:pPr>
                    <w:adjustRightIn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夜间</w:t>
                  </w:r>
                </w:p>
              </w:tc>
              <w:tc>
                <w:tcPr>
                  <w:tcW w:w="5062" w:type="dxa"/>
                  <w:vAlign w:val="center"/>
                </w:tcPr>
                <w:p>
                  <w:pPr>
                    <w:adjustRightIn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77" w:type="dxa"/>
                  <w:vAlign w:val="center"/>
                </w:tcPr>
                <w:p>
                  <w:pPr>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5</w:t>
                  </w:r>
                </w:p>
              </w:tc>
              <w:tc>
                <w:tcPr>
                  <w:tcW w:w="1535" w:type="dxa"/>
                  <w:vAlign w:val="center"/>
                </w:tcPr>
                <w:p>
                  <w:pPr>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5</w:t>
                  </w:r>
                </w:p>
              </w:tc>
              <w:tc>
                <w:tcPr>
                  <w:tcW w:w="5062" w:type="dxa"/>
                  <w:vAlign w:val="center"/>
                </w:tcPr>
                <w:p>
                  <w:pPr>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（GB12348-2008）</w:t>
                  </w:r>
                  <w:r>
                    <w:rPr>
                      <w:color w:val="000000" w:themeColor="text1"/>
                      <w:szCs w:val="21"/>
                      <w14:textFill>
                        <w14:solidFill>
                          <w14:schemeClr w14:val="tx1"/>
                        </w14:solidFill>
                      </w14:textFill>
                    </w:rPr>
                    <w:t>表1中3类标准</w:t>
                  </w:r>
                </w:p>
              </w:tc>
            </w:tr>
          </w:tbl>
          <w:p>
            <w:pPr>
              <w:adjustRightInd w:val="0"/>
              <w:spacing w:before="120" w:beforeLines="50" w:line="360" w:lineRule="auto"/>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4、固废贮存、处置标准</w:t>
            </w:r>
          </w:p>
          <w:p>
            <w:pPr>
              <w:adjustRightInd w:val="0"/>
              <w:spacing w:line="360" w:lineRule="auto"/>
              <w:ind w:firstLine="480" w:firstLineChars="200"/>
              <w:rPr>
                <w:color w:val="0000FF"/>
                <w:kern w:val="0"/>
                <w:szCs w:val="21"/>
              </w:rPr>
            </w:pPr>
            <w:r>
              <w:rPr>
                <w:color w:val="000000" w:themeColor="text1"/>
                <w:kern w:val="0"/>
                <w:sz w:val="24"/>
                <w14:textFill>
                  <w14:solidFill>
                    <w14:schemeClr w14:val="tx1"/>
                  </w14:solidFill>
                </w14:textFill>
              </w:rPr>
              <w:t>一般工业固废在厂内暂存执行《一般工业</w:t>
            </w:r>
            <w:r>
              <w:rPr>
                <w:rFonts w:hint="eastAsia"/>
                <w:color w:val="000000" w:themeColor="text1"/>
                <w:kern w:val="0"/>
                <w:sz w:val="24"/>
                <w14:textFill>
                  <w14:solidFill>
                    <w14:schemeClr w14:val="tx1"/>
                  </w14:solidFill>
                </w14:textFill>
              </w:rPr>
              <w:t>固体</w:t>
            </w:r>
            <w:r>
              <w:rPr>
                <w:color w:val="000000" w:themeColor="text1"/>
                <w:kern w:val="0"/>
                <w:sz w:val="24"/>
                <w14:textFill>
                  <w14:solidFill>
                    <w14:schemeClr w14:val="tx1"/>
                  </w14:solidFill>
                </w14:textFill>
              </w:rPr>
              <w:t>废物贮存和填埋污染控制标准》（GB18599-2020）</w:t>
            </w:r>
            <w:r>
              <w:rPr>
                <w:rFonts w:hint="eastAsia"/>
              </w:rPr>
              <w:t>，</w:t>
            </w:r>
            <w:r>
              <w:rPr>
                <w:rFonts w:hint="eastAsia"/>
                <w:color w:val="000000" w:themeColor="text1"/>
                <w:kern w:val="0"/>
                <w:sz w:val="24"/>
                <w14:textFill>
                  <w14:solidFill>
                    <w14:schemeClr w14:val="tx1"/>
                  </w14:solidFill>
                </w14:textFill>
              </w:rPr>
              <w:t>危险固体废物执行《危险废物贮存污染控制标准》（GB18597-2023）。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23" w:type="dxa"/>
            <w:vAlign w:val="center"/>
          </w:tcPr>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adjustRightInd w:val="0"/>
              <w:snapToGrid w:val="0"/>
              <w:jc w:val="center"/>
              <w:rPr>
                <w:kern w:val="0"/>
                <w:szCs w:val="21"/>
              </w:rPr>
            </w:pPr>
            <w:r>
              <w:rPr>
                <w:kern w:val="0"/>
                <w:szCs w:val="21"/>
              </w:rPr>
              <w:t>指标</w:t>
            </w:r>
          </w:p>
        </w:tc>
        <w:tc>
          <w:tcPr>
            <w:tcW w:w="8338" w:type="dxa"/>
            <w:vAlign w:val="center"/>
          </w:tcPr>
          <w:p>
            <w:pPr>
              <w:spacing w:line="360" w:lineRule="auto"/>
              <w:ind w:firstLine="480" w:firstLineChars="200"/>
              <w:rPr>
                <w:sz w:val="24"/>
              </w:rPr>
            </w:pPr>
            <w:r>
              <w:rPr>
                <w:sz w:val="24"/>
              </w:rPr>
              <w:t>依据湖南省人民政府办公厅关于印发《湖南省主要污染物排污权有偿使用和交易管理办法》的通知湘政办发〔2022〕23号，湖南省对化学需氧量、氨氮、二氧化硫、氮氧化物、铅、镉、砷、汞、铬、挥发性有机物、总磷等十一类污染物实施总量控制。</w:t>
            </w:r>
          </w:p>
          <w:p>
            <w:pPr>
              <w:spacing w:line="360" w:lineRule="auto"/>
              <w:ind w:firstLine="480" w:firstLineChars="200"/>
              <w:rPr>
                <w:sz w:val="24"/>
              </w:rPr>
            </w:pPr>
            <w:r>
              <w:rPr>
                <w:sz w:val="24"/>
              </w:rPr>
              <w:t>（1）水污染物控制指标：</w:t>
            </w:r>
            <w:r>
              <w:rPr>
                <w:rFonts w:hint="eastAsia"/>
                <w:sz w:val="24"/>
              </w:rPr>
              <w:t>本项目主要为生活污水，不涉及生产废水排放</w:t>
            </w:r>
            <w:r>
              <w:rPr>
                <w:sz w:val="24"/>
              </w:rPr>
              <w:t>。</w:t>
            </w:r>
          </w:p>
          <w:p>
            <w:pPr>
              <w:spacing w:line="360" w:lineRule="auto"/>
              <w:ind w:firstLine="480" w:firstLineChars="200"/>
              <w:rPr>
                <w:sz w:val="24"/>
                <w:u w:val="single"/>
              </w:rPr>
            </w:pPr>
            <w:r>
              <w:rPr>
                <w:sz w:val="24"/>
                <w:u w:val="single"/>
              </w:rPr>
              <w:t>（2）大气总量控制指标：</w:t>
            </w:r>
            <w:r>
              <w:rPr>
                <w:rFonts w:hint="eastAsia"/>
                <w:sz w:val="24"/>
                <w:u w:val="single"/>
              </w:rPr>
              <w:t>项目热压、喷漆、晾干等工序涉及挥发性有机物，排放挥发性有机物</w:t>
            </w:r>
            <w:r>
              <w:rPr>
                <w:rFonts w:hint="eastAsia"/>
                <w:sz w:val="24"/>
                <w:u w:val="single"/>
                <w:lang w:val="en-US" w:eastAsia="zh-CN"/>
              </w:rPr>
              <w:t>0.881</w:t>
            </w:r>
            <w:r>
              <w:rPr>
                <w:rFonts w:hint="eastAsia"/>
                <w:sz w:val="24"/>
                <w:u w:val="single"/>
              </w:rPr>
              <w:t>t/a</w:t>
            </w:r>
            <w:r>
              <w:rPr>
                <w:sz w:val="24"/>
                <w:u w:val="single"/>
              </w:rPr>
              <w:t>。</w:t>
            </w:r>
          </w:p>
          <w:p>
            <w:pPr>
              <w:spacing w:line="360" w:lineRule="auto"/>
              <w:rPr>
                <w:bCs/>
                <w:szCs w:val="21"/>
              </w:rPr>
            </w:pPr>
          </w:p>
        </w:tc>
      </w:tr>
    </w:tbl>
    <w:p>
      <w:pPr>
        <w:pStyle w:val="28"/>
        <w:spacing w:before="120" w:beforeLines="50" w:beforeAutospacing="0" w:after="120" w:afterLines="5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9" w:name="_Toc148"/>
      <w:r>
        <w:rPr>
          <w:rFonts w:ascii="Times New Roman" w:hAnsi="Times New Roman" w:eastAsia="黑体"/>
          <w:snapToGrid w:val="0"/>
          <w:sz w:val="30"/>
          <w:szCs w:val="30"/>
        </w:rPr>
        <w:t>四、主要环境影响和保护措施</w:t>
      </w:r>
      <w:bookmarkEnd w:id="9"/>
    </w:p>
    <w:tbl>
      <w:tblPr>
        <w:tblStyle w:val="3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3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510" w:type="dxa"/>
            <w:tcMar>
              <w:left w:w="28" w:type="dxa"/>
              <w:right w:w="28" w:type="dxa"/>
            </w:tcMar>
            <w:vAlign w:val="center"/>
          </w:tcPr>
          <w:p>
            <w:pPr>
              <w:pStyle w:val="28"/>
              <w:adjustRightInd w:val="0"/>
              <w:snapToGrid w:val="0"/>
              <w:spacing w:before="0" w:beforeAutospacing="0" w:after="0" w:afterAutospacing="0"/>
              <w:jc w:val="center"/>
              <w:rPr>
                <w:rFonts w:ascii="Times New Roman" w:hAnsi="Times New Roman"/>
                <w:bCs/>
                <w:color w:val="0000FF"/>
                <w:kern w:val="2"/>
                <w:szCs w:val="24"/>
              </w:rPr>
            </w:pPr>
            <w:r>
              <w:rPr>
                <w:rFonts w:ascii="Times New Roman" w:hAnsi="Times New Roman"/>
                <w:kern w:val="2"/>
                <w:szCs w:val="24"/>
              </w:rPr>
              <w:t>施工期环境保护措施</w:t>
            </w:r>
          </w:p>
        </w:tc>
        <w:tc>
          <w:tcPr>
            <w:tcW w:w="8398" w:type="dxa"/>
            <w:vAlign w:val="center"/>
          </w:tcPr>
          <w:p>
            <w:pPr>
              <w:keepNext/>
              <w:tabs>
                <w:tab w:val="left" w:pos="720"/>
              </w:tabs>
              <w:overflowPunct w:val="0"/>
              <w:spacing w:line="360" w:lineRule="auto"/>
              <w:rPr>
                <w:b/>
                <w:bCs/>
                <w:sz w:val="24"/>
              </w:rPr>
            </w:pPr>
            <w:r>
              <w:rPr>
                <w:rFonts w:hint="eastAsia"/>
                <w:b/>
                <w:bCs/>
                <w:sz w:val="24"/>
              </w:rPr>
              <w:t>一、</w:t>
            </w:r>
            <w:r>
              <w:rPr>
                <w:b/>
                <w:bCs/>
                <w:sz w:val="24"/>
              </w:rPr>
              <w:t>施工期环境空气的防治污染措施</w:t>
            </w:r>
          </w:p>
          <w:p>
            <w:pPr>
              <w:widowControl/>
              <w:spacing w:line="360" w:lineRule="auto"/>
              <w:jc w:val="left"/>
              <w:rPr>
                <w:b/>
                <w:bCs/>
                <w:sz w:val="24"/>
                <w:szCs w:val="20"/>
              </w:rPr>
            </w:pPr>
            <w:r>
              <w:rPr>
                <w:rFonts w:hint="eastAsia"/>
                <w:b/>
                <w:bCs/>
                <w:sz w:val="24"/>
                <w:szCs w:val="20"/>
              </w:rPr>
              <w:t>1、废气</w:t>
            </w:r>
          </w:p>
          <w:p>
            <w:pPr>
              <w:widowControl/>
              <w:spacing w:line="360" w:lineRule="auto"/>
              <w:ind w:firstLine="480" w:firstLineChars="200"/>
              <w:jc w:val="left"/>
              <w:rPr>
                <w:sz w:val="24"/>
                <w:szCs w:val="20"/>
              </w:rPr>
            </w:pPr>
            <w:r>
              <w:rPr>
                <w:rFonts w:hint="eastAsia"/>
                <w:sz w:val="24"/>
                <w:szCs w:val="20"/>
              </w:rPr>
              <w:t>施工期大气污染源主要为施工扬尘、机械和运输设备尾气、运输扬尘。</w:t>
            </w:r>
          </w:p>
          <w:p>
            <w:pPr>
              <w:widowControl/>
              <w:spacing w:line="360" w:lineRule="auto"/>
              <w:ind w:firstLine="480" w:firstLineChars="200"/>
              <w:jc w:val="left"/>
              <w:rPr>
                <w:sz w:val="24"/>
                <w:szCs w:val="20"/>
              </w:rPr>
            </w:pPr>
            <w:r>
              <w:rPr>
                <w:rFonts w:hint="eastAsia"/>
                <w:sz w:val="24"/>
                <w:szCs w:val="20"/>
              </w:rPr>
              <w:t>施工扬尘：土方挖掘、堆放、清运、回填等作业过程中产生扬尘污染，其扬尘污染与作业方式、泥土含湿量、场地压实程度、风速大小等因素有关。项目方拟对施工场地进行洒水降尘处理，在洒水工作完成后，能够控制近70%的粉尘，同时项目开挖面积较少，扬尘排放量较少。</w:t>
            </w:r>
          </w:p>
          <w:p>
            <w:pPr>
              <w:widowControl/>
              <w:spacing w:line="360" w:lineRule="auto"/>
              <w:ind w:firstLine="480" w:firstLineChars="200"/>
              <w:jc w:val="left"/>
              <w:rPr>
                <w:sz w:val="24"/>
                <w:szCs w:val="20"/>
              </w:rPr>
            </w:pPr>
            <w:r>
              <w:rPr>
                <w:rFonts w:hint="eastAsia"/>
                <w:sz w:val="24"/>
                <w:szCs w:val="20"/>
              </w:rPr>
              <w:t>施工机械和车辆尾气：施工过程中各种工程机械和运输车辆在燃烧汽油、柴油时排放少量尾气。尾气中含有THC、颗粒物、一氧化碳、氮氧化物等大气污染物，排放后会对施工现场产生一定影响。本项目只需建设污水处理站，无需重型机械及车辆，尾气排放量较少。</w:t>
            </w:r>
          </w:p>
          <w:p>
            <w:pPr>
              <w:widowControl/>
              <w:spacing w:line="360" w:lineRule="auto"/>
              <w:ind w:firstLine="480" w:firstLineChars="200"/>
              <w:jc w:val="left"/>
              <w:rPr>
                <w:sz w:val="24"/>
                <w:szCs w:val="20"/>
              </w:rPr>
            </w:pPr>
            <w:r>
              <w:rPr>
                <w:rFonts w:hint="eastAsia"/>
                <w:sz w:val="24"/>
                <w:szCs w:val="20"/>
              </w:rPr>
              <w:t>运输扬尘：施工运输车辆往来将产生道路扬尘污染，运输车辆产生的扬尘与路面积尘量、积尘湿度、车辆行驶速度、风速大小等因素有关。项目运输车辆为轻型货车，运输量较少，扬尘产生量不大。</w:t>
            </w:r>
          </w:p>
          <w:p>
            <w:pPr>
              <w:widowControl/>
              <w:spacing w:line="360" w:lineRule="auto"/>
              <w:ind w:firstLine="480" w:firstLineChars="200"/>
              <w:jc w:val="left"/>
              <w:rPr>
                <w:sz w:val="24"/>
                <w:szCs w:val="20"/>
              </w:rPr>
            </w:pPr>
            <w:r>
              <w:rPr>
                <w:rFonts w:hint="eastAsia"/>
                <w:sz w:val="24"/>
                <w:szCs w:val="20"/>
              </w:rPr>
              <w:t>项目施工期间大气环境应采取的主要防治措施如下：</w:t>
            </w:r>
          </w:p>
          <w:p>
            <w:pPr>
              <w:widowControl/>
              <w:spacing w:line="360" w:lineRule="auto"/>
              <w:ind w:firstLine="480" w:firstLineChars="200"/>
              <w:jc w:val="left"/>
              <w:rPr>
                <w:sz w:val="24"/>
                <w:szCs w:val="20"/>
              </w:rPr>
            </w:pPr>
            <w:r>
              <w:rPr>
                <w:rFonts w:hint="eastAsia"/>
                <w:sz w:val="24"/>
                <w:szCs w:val="20"/>
              </w:rPr>
              <w:t>①施工工地设置围栏，减少影响距离；</w:t>
            </w:r>
          </w:p>
          <w:p>
            <w:pPr>
              <w:widowControl/>
              <w:spacing w:line="360" w:lineRule="auto"/>
              <w:ind w:firstLine="480" w:firstLineChars="200"/>
              <w:jc w:val="left"/>
              <w:rPr>
                <w:sz w:val="24"/>
                <w:szCs w:val="20"/>
              </w:rPr>
            </w:pPr>
            <w:r>
              <w:rPr>
                <w:rFonts w:hint="eastAsia"/>
                <w:sz w:val="24"/>
                <w:szCs w:val="20"/>
              </w:rPr>
              <w:t>②施工现场主要道路应进行硬化处理，并确保定时洒水，确保场内道路无扬尘；</w:t>
            </w:r>
          </w:p>
          <w:p>
            <w:pPr>
              <w:widowControl/>
              <w:spacing w:line="360" w:lineRule="auto"/>
              <w:ind w:firstLine="480" w:firstLineChars="200"/>
              <w:jc w:val="left"/>
              <w:rPr>
                <w:sz w:val="24"/>
                <w:szCs w:val="20"/>
              </w:rPr>
            </w:pPr>
            <w:r>
              <w:rPr>
                <w:rFonts w:hint="eastAsia"/>
                <w:sz w:val="24"/>
                <w:szCs w:val="20"/>
              </w:rPr>
              <w:t>③施工现场主要出入口处应设置洗车平台，配置车辆冲洗装置，驶出施工现场的机动车辆应冲洗干净后方可上路行驶。</w:t>
            </w:r>
          </w:p>
          <w:p>
            <w:pPr>
              <w:widowControl/>
              <w:spacing w:line="360" w:lineRule="auto"/>
              <w:ind w:firstLine="480" w:firstLineChars="200"/>
              <w:jc w:val="left"/>
              <w:rPr>
                <w:sz w:val="24"/>
                <w:szCs w:val="20"/>
              </w:rPr>
            </w:pPr>
            <w:r>
              <w:rPr>
                <w:rFonts w:hint="eastAsia"/>
                <w:sz w:val="24"/>
                <w:szCs w:val="20"/>
              </w:rPr>
              <w:t>④场地平整、土石方施工工地采用洒水、碾压、覆盖、绿化、硬化相结合的扬尘防治措施。</w:t>
            </w:r>
          </w:p>
          <w:p>
            <w:pPr>
              <w:widowControl/>
              <w:spacing w:line="360" w:lineRule="auto"/>
              <w:ind w:firstLine="480" w:firstLineChars="200"/>
              <w:jc w:val="left"/>
              <w:rPr>
                <w:sz w:val="24"/>
                <w:szCs w:val="20"/>
              </w:rPr>
            </w:pPr>
            <w:r>
              <w:rPr>
                <w:rFonts w:hint="eastAsia"/>
                <w:sz w:val="24"/>
                <w:szCs w:val="20"/>
              </w:rPr>
              <w:t>⑤施工结束时，应及时对施工占用场恢复地面道路及植被。</w:t>
            </w:r>
          </w:p>
          <w:p>
            <w:pPr>
              <w:widowControl/>
              <w:spacing w:line="360" w:lineRule="auto"/>
              <w:jc w:val="left"/>
              <w:rPr>
                <w:b/>
                <w:bCs/>
                <w:sz w:val="24"/>
                <w:szCs w:val="20"/>
              </w:rPr>
            </w:pPr>
            <w:r>
              <w:rPr>
                <w:rFonts w:hint="eastAsia"/>
                <w:b/>
                <w:bCs/>
                <w:sz w:val="24"/>
                <w:szCs w:val="20"/>
              </w:rPr>
              <w:t>2、废水</w:t>
            </w:r>
          </w:p>
          <w:p>
            <w:pPr>
              <w:widowControl/>
              <w:spacing w:line="360" w:lineRule="auto"/>
              <w:ind w:firstLine="480" w:firstLineChars="200"/>
              <w:jc w:val="left"/>
              <w:rPr>
                <w:sz w:val="24"/>
                <w:szCs w:val="20"/>
              </w:rPr>
            </w:pPr>
            <w:r>
              <w:rPr>
                <w:rFonts w:hint="eastAsia"/>
                <w:sz w:val="24"/>
                <w:szCs w:val="20"/>
              </w:rPr>
              <w:t>施工期废水主要为施工人员生活污水、施工废水。</w:t>
            </w:r>
          </w:p>
          <w:p>
            <w:pPr>
              <w:widowControl/>
              <w:spacing w:line="360" w:lineRule="auto"/>
              <w:ind w:firstLine="480" w:firstLineChars="200"/>
              <w:jc w:val="left"/>
              <w:rPr>
                <w:sz w:val="24"/>
                <w:szCs w:val="20"/>
              </w:rPr>
            </w:pPr>
            <w:r>
              <w:rPr>
                <w:rFonts w:hint="eastAsia"/>
                <w:sz w:val="24"/>
                <w:szCs w:val="20"/>
              </w:rPr>
              <w:t>项目施工期施工人员多为当地居民，其他施工管理与设计、监理人员均临时租住于当地的民居中，且租住较为方便。在各施工场地均不设施工营地，且施工人员卫生用水均至当地居民家中，因此不做分析，所以施工场地无生活污水排放。</w:t>
            </w:r>
          </w:p>
          <w:p>
            <w:pPr>
              <w:widowControl/>
              <w:spacing w:line="360" w:lineRule="auto"/>
              <w:ind w:firstLine="480" w:firstLineChars="200"/>
              <w:jc w:val="left"/>
              <w:rPr>
                <w:sz w:val="24"/>
                <w:szCs w:val="20"/>
              </w:rPr>
            </w:pPr>
            <w:r>
              <w:rPr>
                <w:rFonts w:hint="eastAsia"/>
                <w:sz w:val="24"/>
                <w:szCs w:val="20"/>
              </w:rPr>
              <w:t>项目施工期间产生的废水主要为建筑施工废水。建筑施工废水包括结构阶段混凝土养护排水。污染因子主要为固体悬浮物（含量与施工机械、工程性质及工程进度有关，一般含量为500~4000mg/L）。建筑施工废水经临时沉淀池澄清后可循环使用，用于施工场地洒水抑尘，不外排。</w:t>
            </w:r>
          </w:p>
          <w:p>
            <w:pPr>
              <w:widowControl/>
              <w:spacing w:line="360" w:lineRule="auto"/>
              <w:ind w:firstLine="480" w:firstLineChars="200"/>
              <w:jc w:val="left"/>
              <w:rPr>
                <w:sz w:val="24"/>
                <w:szCs w:val="20"/>
              </w:rPr>
            </w:pPr>
            <w:r>
              <w:rPr>
                <w:rFonts w:hint="eastAsia"/>
                <w:sz w:val="24"/>
                <w:szCs w:val="20"/>
              </w:rPr>
              <w:t>经采取以上措施后，施工废水和施工生活污水均能做到合理处理，措施可行，对周围地表水环境影响不大。</w:t>
            </w:r>
          </w:p>
          <w:p>
            <w:pPr>
              <w:widowControl/>
              <w:spacing w:line="360" w:lineRule="auto"/>
              <w:jc w:val="left"/>
              <w:rPr>
                <w:b/>
                <w:bCs/>
                <w:sz w:val="24"/>
                <w:szCs w:val="20"/>
              </w:rPr>
            </w:pPr>
            <w:r>
              <w:rPr>
                <w:rFonts w:hint="eastAsia"/>
                <w:b/>
                <w:bCs/>
                <w:sz w:val="24"/>
                <w:szCs w:val="20"/>
              </w:rPr>
              <w:t>3、噪声</w:t>
            </w:r>
          </w:p>
          <w:p>
            <w:pPr>
              <w:widowControl/>
              <w:spacing w:line="360" w:lineRule="auto"/>
              <w:ind w:firstLine="480" w:firstLineChars="200"/>
              <w:jc w:val="left"/>
              <w:rPr>
                <w:sz w:val="24"/>
                <w:szCs w:val="20"/>
              </w:rPr>
            </w:pPr>
            <w:r>
              <w:rPr>
                <w:rFonts w:hint="eastAsia"/>
                <w:sz w:val="24"/>
                <w:szCs w:val="20"/>
              </w:rPr>
              <w:t>施工期噪声主要包括施工场地各类机械设备噪声、施工作业产生的噪声以及运输车辆造成的交通噪声等，对声环境影响最大的是机械噪声。机械噪声主要由施工机械造成，如挖掘机、空压机等，以点声源为主，源强约85～100dB（A）。施工运输车辆噪声主要是载重车、混凝土罐车等噪声，源强约80～90dB（A）。</w:t>
            </w:r>
          </w:p>
          <w:p>
            <w:pPr>
              <w:widowControl/>
              <w:spacing w:line="360" w:lineRule="auto"/>
              <w:ind w:firstLine="480" w:firstLineChars="200"/>
              <w:jc w:val="left"/>
              <w:rPr>
                <w:sz w:val="24"/>
                <w:szCs w:val="20"/>
              </w:rPr>
            </w:pPr>
            <w:r>
              <w:rPr>
                <w:rFonts w:hint="eastAsia"/>
                <w:sz w:val="24"/>
                <w:szCs w:val="20"/>
              </w:rPr>
              <w:t>为有效控制施工期噪声对区域声环境影响，本环评建议建设单位采取如下噪声防治措施：</w:t>
            </w:r>
          </w:p>
          <w:p>
            <w:pPr>
              <w:widowControl/>
              <w:spacing w:line="360" w:lineRule="auto"/>
              <w:ind w:firstLine="480" w:firstLineChars="200"/>
              <w:jc w:val="left"/>
              <w:rPr>
                <w:sz w:val="24"/>
                <w:szCs w:val="20"/>
              </w:rPr>
            </w:pPr>
            <w:r>
              <w:rPr>
                <w:rFonts w:hint="eastAsia"/>
                <w:sz w:val="24"/>
                <w:szCs w:val="20"/>
              </w:rPr>
              <w:t>①合理选择施工机械、施工方法，②合理安排施工时间，③优化物料运输车辆运输路线，运输车辆出入地点应尽量远离环境敏感点，车辆出入施工场地时应减速行驶、禁止鸣笛，以减轻运输车辆噪声对道路两侧居民的影响。④采取隔声、减振措施，⑤加强施工作业管理，确保文明施工，提高施工管理和操作人员的环保意识，文明施工，尽量避免施工噪声扰民。</w:t>
            </w:r>
          </w:p>
          <w:p>
            <w:pPr>
              <w:widowControl/>
              <w:spacing w:line="360" w:lineRule="auto"/>
              <w:ind w:firstLine="480" w:firstLineChars="200"/>
              <w:jc w:val="left"/>
              <w:rPr>
                <w:sz w:val="24"/>
                <w:szCs w:val="20"/>
              </w:rPr>
            </w:pPr>
            <w:r>
              <w:rPr>
                <w:rFonts w:hint="eastAsia"/>
                <w:sz w:val="24"/>
                <w:szCs w:val="20"/>
              </w:rPr>
              <w:t>采取上述措施后，可大大降低施工噪声对周边环境的影响，且施工期结束后相应的噪声污染即随之消失，不会对周围环境产生长期不良影响。</w:t>
            </w:r>
          </w:p>
          <w:p>
            <w:pPr>
              <w:widowControl/>
              <w:spacing w:line="360" w:lineRule="auto"/>
              <w:jc w:val="left"/>
              <w:rPr>
                <w:b/>
                <w:bCs/>
                <w:sz w:val="24"/>
                <w:szCs w:val="20"/>
              </w:rPr>
            </w:pPr>
            <w:r>
              <w:rPr>
                <w:rFonts w:hint="eastAsia"/>
                <w:b/>
                <w:bCs/>
                <w:sz w:val="24"/>
                <w:szCs w:val="20"/>
              </w:rPr>
              <w:t>4、固体废物</w:t>
            </w:r>
          </w:p>
          <w:p>
            <w:pPr>
              <w:widowControl/>
              <w:spacing w:line="360" w:lineRule="auto"/>
              <w:ind w:firstLine="480" w:firstLineChars="200"/>
              <w:jc w:val="left"/>
              <w:rPr>
                <w:sz w:val="24"/>
                <w:szCs w:val="20"/>
              </w:rPr>
            </w:pPr>
            <w:r>
              <w:rPr>
                <w:rFonts w:hint="eastAsia"/>
                <w:sz w:val="24"/>
                <w:szCs w:val="20"/>
              </w:rPr>
              <w:t>施工期固废主要有土石方、施工人员生活垃圾和建筑垃圾。</w:t>
            </w:r>
          </w:p>
          <w:p>
            <w:pPr>
              <w:widowControl/>
              <w:spacing w:line="360" w:lineRule="auto"/>
              <w:ind w:firstLine="480" w:firstLineChars="200"/>
              <w:jc w:val="left"/>
              <w:rPr>
                <w:sz w:val="24"/>
                <w:szCs w:val="20"/>
              </w:rPr>
            </w:pPr>
            <w:r>
              <w:rPr>
                <w:rFonts w:hint="eastAsia"/>
                <w:sz w:val="24"/>
                <w:szCs w:val="20"/>
              </w:rPr>
              <w:t>施工过程中产生的固废主要为开挖土石方，项目施工期间产生的土石方，用于周边绿化，如有多余土方则委托相关渣土公司清运。</w:t>
            </w:r>
          </w:p>
          <w:p>
            <w:pPr>
              <w:widowControl/>
              <w:spacing w:line="360" w:lineRule="auto"/>
              <w:ind w:firstLine="480" w:firstLineChars="200"/>
              <w:jc w:val="left"/>
              <w:rPr>
                <w:sz w:val="24"/>
                <w:szCs w:val="20"/>
              </w:rPr>
            </w:pPr>
            <w:r>
              <w:rPr>
                <w:rFonts w:hint="eastAsia"/>
                <w:sz w:val="24"/>
                <w:szCs w:val="20"/>
              </w:rPr>
              <w:t>生活垃圾：施工高峰期施工人数约40人/d，生活垃圾产生量以0.5kg/人·d计算，生活垃圾产生量20kg/d。施工期为4个月，则生活垃圾产生量共约0.8t，生活垃圾经收集后由环卫部门处理。</w:t>
            </w:r>
          </w:p>
          <w:p>
            <w:pPr>
              <w:widowControl/>
              <w:spacing w:line="360" w:lineRule="auto"/>
              <w:ind w:firstLine="480" w:firstLineChars="200"/>
              <w:jc w:val="left"/>
              <w:rPr>
                <w:sz w:val="24"/>
                <w:szCs w:val="20"/>
              </w:rPr>
            </w:pPr>
            <w:r>
              <w:rPr>
                <w:rFonts w:hint="eastAsia"/>
                <w:sz w:val="24"/>
                <w:szCs w:val="20"/>
              </w:rPr>
              <w:t>建筑垃圾：主要为混凝土块、碎砖、废包装、废木材、建筑边角料等。项目工程量不大，建筑垃圾按建筑垃圾产生量不大，建筑垃圾由专业建筑垃圾运输车按照渣土办规定路线运至指定场地，尽量减少施工垃圾对环境的不利影响。建筑工程施工现场应当专门设置集中堆放建筑垃圾的场地，并在48小时内完成清运送至指定的场所处置，不能按时完成清运的建筑垃圾，应采取围挡、遮盖等防尘措施；施工人员生活垃圾统一收集后委托环卫部门处理。</w:t>
            </w:r>
          </w:p>
          <w:p>
            <w:pPr>
              <w:widowControl/>
              <w:spacing w:line="360" w:lineRule="auto"/>
              <w:ind w:firstLine="480" w:firstLineChars="200"/>
              <w:jc w:val="left"/>
              <w:rPr>
                <w:color w:val="0000FF"/>
                <w:sz w:val="24"/>
              </w:rPr>
            </w:pPr>
            <w:r>
              <w:rPr>
                <w:rFonts w:hint="eastAsia"/>
                <w:sz w:val="24"/>
                <w:szCs w:val="20"/>
              </w:rPr>
              <w:t>通过上述措施可使施工固体废物得到妥善处置，不会对周围环境产生不良影响。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510" w:type="dxa"/>
            <w:tcMar>
              <w:left w:w="28" w:type="dxa"/>
              <w:right w:w="28" w:type="dxa"/>
            </w:tcMar>
            <w:vAlign w:val="center"/>
          </w:tcPr>
          <w:p>
            <w:pPr>
              <w:pStyle w:val="28"/>
              <w:adjustRightInd w:val="0"/>
              <w:snapToGrid w:val="0"/>
              <w:spacing w:before="0" w:beforeAutospacing="0" w:after="0" w:afterAutospacing="0"/>
              <w:jc w:val="center"/>
              <w:rPr>
                <w:rFonts w:ascii="Times New Roman" w:hAnsi="Times New Roman"/>
                <w:kern w:val="2"/>
                <w:szCs w:val="24"/>
              </w:rPr>
            </w:pPr>
            <w:r>
              <w:rPr>
                <w:rFonts w:ascii="Times New Roman" w:hAnsi="Times New Roman"/>
                <w:szCs w:val="24"/>
              </w:rPr>
              <w:t>运</w:t>
            </w:r>
            <w:r>
              <w:rPr>
                <w:rFonts w:ascii="Times New Roman" w:hAnsi="Times New Roman"/>
                <w:kern w:val="2"/>
                <w:szCs w:val="24"/>
              </w:rPr>
              <w:t>营</w:t>
            </w:r>
          </w:p>
          <w:p>
            <w:pPr>
              <w:pStyle w:val="28"/>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pPr>
              <w:pStyle w:val="28"/>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境影</w:t>
            </w:r>
          </w:p>
          <w:p>
            <w:pPr>
              <w:pStyle w:val="28"/>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响和</w:t>
            </w:r>
          </w:p>
          <w:p>
            <w:pPr>
              <w:pStyle w:val="28"/>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保护</w:t>
            </w:r>
          </w:p>
          <w:p>
            <w:pPr>
              <w:pStyle w:val="28"/>
              <w:adjustRightInd w:val="0"/>
              <w:snapToGrid w:val="0"/>
              <w:spacing w:before="0" w:beforeAutospacing="0" w:after="0" w:afterAutospacing="0"/>
              <w:jc w:val="center"/>
              <w:rPr>
                <w:rFonts w:ascii="Times New Roman" w:hAnsi="Times New Roman"/>
                <w:color w:val="0000FF"/>
                <w:szCs w:val="24"/>
              </w:rPr>
            </w:pPr>
            <w:r>
              <w:rPr>
                <w:rFonts w:ascii="Times New Roman" w:hAnsi="Times New Roman"/>
                <w:kern w:val="2"/>
                <w:szCs w:val="24"/>
              </w:rPr>
              <w:t>措施</w:t>
            </w:r>
          </w:p>
        </w:tc>
        <w:tc>
          <w:tcPr>
            <w:tcW w:w="8398" w:type="dxa"/>
            <w:vAlign w:val="center"/>
          </w:tcPr>
          <w:p>
            <w:pPr>
              <w:pStyle w:val="12"/>
              <w:snapToGrid/>
              <w:spacing w:before="0" w:after="0" w:line="360" w:lineRule="auto"/>
              <w:ind w:right="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1、废气</w:t>
            </w:r>
          </w:p>
          <w:p>
            <w:pPr>
              <w:pStyle w:val="12"/>
              <w:snapToGrid/>
              <w:spacing w:before="0" w:after="0" w:line="360" w:lineRule="auto"/>
              <w:ind w:right="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w:t>
            </w:r>
            <w:r>
              <w:rPr>
                <w:rFonts w:hint="eastAsia"/>
                <w:b/>
                <w:bCs/>
                <w:color w:val="000000" w:themeColor="text1"/>
                <w:sz w:val="24"/>
                <w:szCs w:val="24"/>
                <w14:textFill>
                  <w14:solidFill>
                    <w14:schemeClr w14:val="tx1"/>
                  </w14:solidFill>
                </w14:textFill>
              </w:rPr>
              <w:t>1</w:t>
            </w:r>
            <w:r>
              <w:rPr>
                <w:b/>
                <w:bCs/>
                <w:color w:val="000000" w:themeColor="text1"/>
                <w:sz w:val="24"/>
                <w:szCs w:val="24"/>
                <w14:textFill>
                  <w14:solidFill>
                    <w14:schemeClr w14:val="tx1"/>
                  </w14:solidFill>
                </w14:textFill>
              </w:rPr>
              <w:t>、废气污染源源强核算过程说明</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本项目废气有下料产生的粉尘、砂光产生的粉尘、机加工产生的粉尘、腻子粉打磨产生的粉尘、热压产生的有机废气、喷漆废气、晾干废气。</w:t>
            </w:r>
          </w:p>
          <w:p>
            <w:pPr>
              <w:pStyle w:val="12"/>
              <w:spacing w:before="0" w:after="0" w:line="360" w:lineRule="auto"/>
              <w:ind w:right="0" w:firstLine="480" w:firstLineChars="20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（1）下料粉尘</w:t>
            </w:r>
            <w:r>
              <w:rPr>
                <w:rFonts w:hint="eastAsia"/>
                <w:color w:val="000000" w:themeColor="text1"/>
                <w:sz w:val="24"/>
                <w:szCs w:val="24"/>
                <w:lang w:val="en-US" w:eastAsia="zh-CN"/>
                <w14:textFill>
                  <w14:solidFill>
                    <w14:schemeClr w14:val="tx1"/>
                  </w14:solidFill>
                </w14:textFill>
              </w:rPr>
              <w:t xml:space="preserve">  </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需对外购夹板等木材进行开料等加工，下料工序位于3#栋车间，工作时间为每天1班，每班8个小时，全年工作300天。该工序加工将产生木质粉尘，因此该粉尘采用集气罩统一收集后进入布袋除尘后通过排气筒排放。</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参照《排放源统计调查产排污核算方法和系数手册》中《211木质家具制造行业系数手册》</w:t>
            </w:r>
            <w:r>
              <w:rPr>
                <w:color w:val="000000" w:themeColor="text1"/>
                <w:sz w:val="24"/>
                <w:szCs w:val="24"/>
                <w14:textFill>
                  <w14:solidFill>
                    <w14:schemeClr w14:val="tx1"/>
                  </w14:solidFill>
                </w14:textFill>
              </w:rPr>
              <w:t xml:space="preserve">2110 </w:t>
            </w:r>
            <w:r>
              <w:rPr>
                <w:rFonts w:hint="eastAsia"/>
                <w:color w:val="000000" w:themeColor="text1"/>
                <w:sz w:val="24"/>
                <w:szCs w:val="24"/>
                <w14:textFill>
                  <w14:solidFill>
                    <w14:schemeClr w14:val="tx1"/>
                  </w14:solidFill>
                </w14:textFill>
              </w:rPr>
              <w:t>木质家具制造行业系数表下料工序颗粒物产生系数为150克/立方米-原料；根据建设单位提供的原辅材料表，本项目年消耗板材约10000m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，计算可得产生1.5t/a的颗粒物。</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拟在下料机械设备的刀头口设置跟随的吸气式喇叭口，通过吸风收集后进入布袋除尘处理，设置一台风机风量为3000m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/h的风机，使喇叭口吸气风速不小于0.5m/s，收集效率按80%计算，前段加工将产生木质粉尘，其粉尘颗粒较大，易于沉降。参照《</w:t>
            </w:r>
            <w:r>
              <w:rPr>
                <w:color w:val="000000" w:themeColor="text1"/>
                <w:sz w:val="24"/>
                <w:szCs w:val="24"/>
                <w14:textFill>
                  <w14:solidFill>
                    <w14:schemeClr w14:val="tx1"/>
                  </w14:solidFill>
                </w14:textFill>
              </w:rPr>
              <w:t xml:space="preserve">2110 </w:t>
            </w:r>
            <w:r>
              <w:rPr>
                <w:rFonts w:hint="eastAsia"/>
                <w:color w:val="000000" w:themeColor="text1"/>
                <w:sz w:val="24"/>
                <w:szCs w:val="24"/>
                <w14:textFill>
                  <w14:solidFill>
                    <w14:schemeClr w14:val="tx1"/>
                  </w14:solidFill>
                </w14:textFill>
              </w:rPr>
              <w:t>木质家具制造行业系数表》布袋除尘装置粉尘处理效率取90%，尾气通过1#排气筒高空排放。</w:t>
            </w:r>
          </w:p>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表4-1    下料工序有组织产排污情况一览表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702"/>
              <w:gridCol w:w="713"/>
              <w:gridCol w:w="903"/>
              <w:gridCol w:w="1095"/>
              <w:gridCol w:w="1200"/>
              <w:gridCol w:w="810"/>
              <w:gridCol w:w="1035"/>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污染源</w:t>
                  </w:r>
                </w:p>
              </w:tc>
              <w:tc>
                <w:tcPr>
                  <w:tcW w:w="702"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污染因子</w:t>
                  </w:r>
                </w:p>
              </w:tc>
              <w:tc>
                <w:tcPr>
                  <w:tcW w:w="2711" w:type="dxa"/>
                  <w:gridSpan w:val="3"/>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c>
                <w:tcPr>
                  <w:tcW w:w="1200"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采取措施</w:t>
                  </w:r>
                </w:p>
              </w:tc>
              <w:tc>
                <w:tcPr>
                  <w:tcW w:w="3004" w:type="dxa"/>
                  <w:gridSpan w:val="3"/>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702"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713"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产生量t/a</w:t>
                  </w:r>
                </w:p>
              </w:tc>
              <w:tc>
                <w:tcPr>
                  <w:tcW w:w="903"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产生速率kg/h</w:t>
                  </w:r>
                </w:p>
              </w:tc>
              <w:tc>
                <w:tcPr>
                  <w:tcW w:w="109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产生浓度mg/m</w:t>
                  </w:r>
                  <w:r>
                    <w:rPr>
                      <w:color w:val="000000" w:themeColor="text1"/>
                      <w:sz w:val="21"/>
                      <w:szCs w:val="21"/>
                      <w:vertAlign w:val="superscript"/>
                      <w14:textFill>
                        <w14:solidFill>
                          <w14:schemeClr w14:val="tx1"/>
                        </w14:solidFill>
                      </w14:textFill>
                    </w:rPr>
                    <w:t>3</w:t>
                  </w:r>
                </w:p>
              </w:tc>
              <w:tc>
                <w:tcPr>
                  <w:tcW w:w="1200"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81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排放量t/a</w:t>
                  </w:r>
                </w:p>
              </w:tc>
              <w:tc>
                <w:tcPr>
                  <w:tcW w:w="103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排放速率kg/h</w:t>
                  </w:r>
                </w:p>
              </w:tc>
              <w:tc>
                <w:tcPr>
                  <w:tcW w:w="1159"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排放浓度mg/m</w:t>
                  </w:r>
                  <w:r>
                    <w:rPr>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下料</w:t>
                  </w:r>
                </w:p>
              </w:tc>
              <w:tc>
                <w:tcPr>
                  <w:tcW w:w="702"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7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1.2 </w:t>
                  </w:r>
                </w:p>
              </w:tc>
              <w:tc>
                <w:tcPr>
                  <w:tcW w:w="903"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0.5 </w:t>
                  </w:r>
                </w:p>
              </w:tc>
              <w:tc>
                <w:tcPr>
                  <w:tcW w:w="109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166.667 </w:t>
                  </w:r>
                </w:p>
              </w:tc>
              <w:tc>
                <w:tcPr>
                  <w:tcW w:w="120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布袋除尘</w:t>
                  </w:r>
                </w:p>
              </w:tc>
              <w:tc>
                <w:tcPr>
                  <w:tcW w:w="810"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1035"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1159"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16.67 </w:t>
                  </w:r>
                </w:p>
              </w:tc>
            </w:tr>
          </w:tbl>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表4-2    下料工序无组织产排污情况一览表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702"/>
              <w:gridCol w:w="1136"/>
              <w:gridCol w:w="1575"/>
              <w:gridCol w:w="1200"/>
              <w:gridCol w:w="1455"/>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污染源</w:t>
                  </w:r>
                </w:p>
              </w:tc>
              <w:tc>
                <w:tcPr>
                  <w:tcW w:w="702"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污染因子</w:t>
                  </w:r>
                </w:p>
              </w:tc>
              <w:tc>
                <w:tcPr>
                  <w:tcW w:w="2711" w:type="dxa"/>
                  <w:gridSpan w:val="2"/>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w:t>
                  </w:r>
                </w:p>
              </w:tc>
              <w:tc>
                <w:tcPr>
                  <w:tcW w:w="1200"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采取措施</w:t>
                  </w:r>
                </w:p>
              </w:tc>
              <w:tc>
                <w:tcPr>
                  <w:tcW w:w="3004" w:type="dxa"/>
                  <w:gridSpan w:val="2"/>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702"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1136"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产生量t/a</w:t>
                  </w:r>
                </w:p>
              </w:tc>
              <w:tc>
                <w:tcPr>
                  <w:tcW w:w="157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产生速率kg/h</w:t>
                  </w:r>
                </w:p>
              </w:tc>
              <w:tc>
                <w:tcPr>
                  <w:tcW w:w="1200"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145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排放量t/a</w:t>
                  </w:r>
                </w:p>
              </w:tc>
              <w:tc>
                <w:tcPr>
                  <w:tcW w:w="1549"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下料</w:t>
                  </w:r>
                </w:p>
              </w:tc>
              <w:tc>
                <w:tcPr>
                  <w:tcW w:w="702"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1136"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0.30 </w:t>
                  </w:r>
                </w:p>
              </w:tc>
              <w:tc>
                <w:tcPr>
                  <w:tcW w:w="1575"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1200"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55"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1549"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w:t>
                  </w:r>
                </w:p>
              </w:tc>
            </w:tr>
          </w:tbl>
          <w:p>
            <w:pPr>
              <w:pStyle w:val="12"/>
              <w:numPr>
                <w:ilvl w:val="0"/>
                <w:numId w:val="7"/>
              </w:numPr>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砂光粉尘</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项目门板冷压之后厚度不一，需要使用机械设备对其厚度进行统一，使用打磨机进行打磨，参考《211木质家具制造行业系数手册》中</w:t>
            </w:r>
            <w:r>
              <w:rPr>
                <w:color w:val="000000" w:themeColor="text1"/>
                <w:sz w:val="24"/>
                <w:szCs w:val="24"/>
                <w14:textFill>
                  <w14:solidFill>
                    <w14:schemeClr w14:val="tx1"/>
                  </w14:solidFill>
                </w14:textFill>
              </w:rPr>
              <w:t>2110</w:t>
            </w:r>
            <w:r>
              <w:rPr>
                <w:rFonts w:hint="eastAsia"/>
                <w:color w:val="000000" w:themeColor="text1"/>
                <w:sz w:val="24"/>
                <w:szCs w:val="24"/>
                <w14:textFill>
                  <w14:solidFill>
                    <w14:schemeClr w14:val="tx1"/>
                  </w14:solidFill>
                </w14:textFill>
              </w:rPr>
              <w:t>木质家具制造行业系数表（续8）磨光系数颗粒物取23.5g/m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产品，需要砂光的面积约为135000m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（包括喷漆门和免漆门总面积），产生3.172t/a的颗粒物，经过设备自带的集尘装置收集后通过“布袋除尘”尾气经排气筒高空排放，设备自带收集装置效率按90%计，风机风量设置3000m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/h，参照《</w:t>
            </w:r>
            <w:r>
              <w:rPr>
                <w:color w:val="000000" w:themeColor="text1"/>
                <w:sz w:val="24"/>
                <w:szCs w:val="24"/>
                <w14:textFill>
                  <w14:solidFill>
                    <w14:schemeClr w14:val="tx1"/>
                  </w14:solidFill>
                </w14:textFill>
              </w:rPr>
              <w:t xml:space="preserve">2110 </w:t>
            </w:r>
            <w:r>
              <w:rPr>
                <w:rFonts w:hint="eastAsia"/>
                <w:color w:val="000000" w:themeColor="text1"/>
                <w:sz w:val="24"/>
                <w:szCs w:val="24"/>
                <w14:textFill>
                  <w14:solidFill>
                    <w14:schemeClr w14:val="tx1"/>
                  </w14:solidFill>
                </w14:textFill>
              </w:rPr>
              <w:t>木质家具制造行业系数表》布袋除尘装置粉尘处理效率取90%，尾气通过2#排气筒高空排放。</w:t>
            </w:r>
          </w:p>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表4-3    砂光工序有组织产排污情况一览表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702"/>
              <w:gridCol w:w="713"/>
              <w:gridCol w:w="903"/>
              <w:gridCol w:w="1095"/>
              <w:gridCol w:w="1200"/>
              <w:gridCol w:w="810"/>
              <w:gridCol w:w="1035"/>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污染源</w:t>
                  </w:r>
                </w:p>
              </w:tc>
              <w:tc>
                <w:tcPr>
                  <w:tcW w:w="702"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污染因子</w:t>
                  </w:r>
                </w:p>
              </w:tc>
              <w:tc>
                <w:tcPr>
                  <w:tcW w:w="2711" w:type="dxa"/>
                  <w:gridSpan w:val="3"/>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c>
                <w:tcPr>
                  <w:tcW w:w="1200"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采取措施</w:t>
                  </w:r>
                </w:p>
              </w:tc>
              <w:tc>
                <w:tcPr>
                  <w:tcW w:w="3004" w:type="dxa"/>
                  <w:gridSpan w:val="3"/>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55"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702"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713"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产生量t/a</w:t>
                  </w:r>
                </w:p>
              </w:tc>
              <w:tc>
                <w:tcPr>
                  <w:tcW w:w="903"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产生速率kg/h</w:t>
                  </w:r>
                </w:p>
              </w:tc>
              <w:tc>
                <w:tcPr>
                  <w:tcW w:w="109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产生浓度mg/m</w:t>
                  </w:r>
                  <w:r>
                    <w:rPr>
                      <w:color w:val="000000" w:themeColor="text1"/>
                      <w:sz w:val="21"/>
                      <w:szCs w:val="21"/>
                      <w:vertAlign w:val="superscript"/>
                      <w14:textFill>
                        <w14:solidFill>
                          <w14:schemeClr w14:val="tx1"/>
                        </w14:solidFill>
                      </w14:textFill>
                    </w:rPr>
                    <w:t>3</w:t>
                  </w:r>
                </w:p>
              </w:tc>
              <w:tc>
                <w:tcPr>
                  <w:tcW w:w="1200"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81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排放量t/a</w:t>
                  </w:r>
                </w:p>
              </w:tc>
              <w:tc>
                <w:tcPr>
                  <w:tcW w:w="103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排放速率kg/h</w:t>
                  </w:r>
                </w:p>
              </w:tc>
              <w:tc>
                <w:tcPr>
                  <w:tcW w:w="1159"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排放浓度mg/m</w:t>
                  </w:r>
                  <w:r>
                    <w:rPr>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5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砂光</w:t>
                  </w:r>
                </w:p>
              </w:tc>
              <w:tc>
                <w:tcPr>
                  <w:tcW w:w="702"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713"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3.074 </w:t>
                  </w:r>
                </w:p>
              </w:tc>
              <w:tc>
                <w:tcPr>
                  <w:tcW w:w="903"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1.281 </w:t>
                  </w:r>
                </w:p>
              </w:tc>
              <w:tc>
                <w:tcPr>
                  <w:tcW w:w="1095"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426.938 </w:t>
                  </w:r>
                </w:p>
              </w:tc>
              <w:tc>
                <w:tcPr>
                  <w:tcW w:w="1200"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布袋除尘</w:t>
                  </w:r>
                </w:p>
              </w:tc>
              <w:tc>
                <w:tcPr>
                  <w:tcW w:w="810"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0.307 </w:t>
                  </w:r>
                </w:p>
              </w:tc>
              <w:tc>
                <w:tcPr>
                  <w:tcW w:w="1035"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0.128 </w:t>
                  </w:r>
                </w:p>
              </w:tc>
              <w:tc>
                <w:tcPr>
                  <w:tcW w:w="1159"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42.694 </w:t>
                  </w:r>
                </w:p>
              </w:tc>
            </w:tr>
          </w:tbl>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表4-4   砂光工序无组织产排污情况一览表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702"/>
              <w:gridCol w:w="1136"/>
              <w:gridCol w:w="1575"/>
              <w:gridCol w:w="1200"/>
              <w:gridCol w:w="1455"/>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污染源</w:t>
                  </w:r>
                </w:p>
              </w:tc>
              <w:tc>
                <w:tcPr>
                  <w:tcW w:w="702"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污染因子</w:t>
                  </w:r>
                </w:p>
              </w:tc>
              <w:tc>
                <w:tcPr>
                  <w:tcW w:w="2711" w:type="dxa"/>
                  <w:gridSpan w:val="2"/>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w:t>
                  </w:r>
                </w:p>
              </w:tc>
              <w:tc>
                <w:tcPr>
                  <w:tcW w:w="1200"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采取措施</w:t>
                  </w:r>
                </w:p>
              </w:tc>
              <w:tc>
                <w:tcPr>
                  <w:tcW w:w="3004" w:type="dxa"/>
                  <w:gridSpan w:val="2"/>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702"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1136"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产生量t/a</w:t>
                  </w:r>
                </w:p>
              </w:tc>
              <w:tc>
                <w:tcPr>
                  <w:tcW w:w="157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产生速率kg/h</w:t>
                  </w:r>
                </w:p>
              </w:tc>
              <w:tc>
                <w:tcPr>
                  <w:tcW w:w="1200"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145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排放量t/a</w:t>
                  </w:r>
                </w:p>
              </w:tc>
              <w:tc>
                <w:tcPr>
                  <w:tcW w:w="1549"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砂光</w:t>
                  </w:r>
                </w:p>
              </w:tc>
              <w:tc>
                <w:tcPr>
                  <w:tcW w:w="702"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1136"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0.342 </w:t>
                  </w:r>
                </w:p>
              </w:tc>
              <w:tc>
                <w:tcPr>
                  <w:tcW w:w="1575"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0.142 </w:t>
                  </w:r>
                </w:p>
              </w:tc>
              <w:tc>
                <w:tcPr>
                  <w:tcW w:w="1200"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55"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0.342 </w:t>
                  </w:r>
                </w:p>
              </w:tc>
              <w:tc>
                <w:tcPr>
                  <w:tcW w:w="1549"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0.142 </w:t>
                  </w:r>
                </w:p>
              </w:tc>
            </w:tr>
          </w:tbl>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（3）热压废气</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面板与填充料经过热压粘结在一起，采用</w:t>
            </w:r>
            <w:r>
              <w:rPr>
                <w:rFonts w:hint="eastAsia"/>
                <w:sz w:val="24"/>
              </w:rPr>
              <w:t>水基胶</w:t>
            </w:r>
            <w:r>
              <w:rPr>
                <w:rFonts w:hint="eastAsia"/>
                <w:color w:val="000000" w:themeColor="text1"/>
                <w:sz w:val="24"/>
                <w:szCs w:val="24"/>
                <w14:textFill>
                  <w14:solidFill>
                    <w14:schemeClr w14:val="tx1"/>
                  </w14:solidFill>
                </w14:textFill>
              </w:rPr>
              <w:t>作为粘结剂，根据产品方案一览表可知，喷漆门总共有45000m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，免喷漆门</w:t>
            </w:r>
            <w:r>
              <w:rPr>
                <w:rFonts w:hint="eastAsia"/>
                <w:color w:val="000000" w:themeColor="text1"/>
                <w:sz w:val="24"/>
                <w:szCs w:val="24"/>
                <w:lang w:eastAsia="zh-CN"/>
                <w14:textFill>
                  <w14:solidFill>
                    <w14:schemeClr w14:val="tx1"/>
                  </w14:solidFill>
                </w14:textFill>
              </w:rPr>
              <w:t>总共</w:t>
            </w:r>
            <w:r>
              <w:rPr>
                <w:rFonts w:hint="eastAsia"/>
                <w:color w:val="000000" w:themeColor="text1"/>
                <w:sz w:val="24"/>
                <w:szCs w:val="24"/>
                <w14:textFill>
                  <w14:solidFill>
                    <w14:schemeClr w14:val="tx1"/>
                  </w14:solidFill>
                </w14:textFill>
              </w:rPr>
              <w:t>有90000m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，合计涂胶面积135000m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，根据</w:t>
            </w:r>
            <w:r>
              <w:rPr>
                <w:rFonts w:hint="eastAsia"/>
                <w:sz w:val="24"/>
              </w:rPr>
              <w:t>水基胶</w:t>
            </w:r>
            <w:r>
              <w:rPr>
                <w:rFonts w:hint="eastAsia"/>
                <w:color w:val="000000" w:themeColor="text1"/>
                <w:sz w:val="24"/>
                <w:szCs w:val="24"/>
                <w14:textFill>
                  <w14:solidFill>
                    <w14:schemeClr w14:val="tx1"/>
                  </w14:solidFill>
                </w14:textFill>
              </w:rPr>
              <w:t>的成分分析报告，挥发性有机物的含量为0.8%，按照最不利原则，估算挥发性有机物在</w:t>
            </w:r>
            <w:r>
              <w:rPr>
                <w:rFonts w:hint="eastAsia"/>
                <w:color w:val="000000" w:themeColor="text1"/>
                <w:sz w:val="24"/>
                <w:szCs w:val="24"/>
                <w:lang w:val="en-US" w:eastAsia="zh-CN"/>
                <w14:textFill>
                  <w14:solidFill>
                    <w14:schemeClr w14:val="tx1"/>
                  </w14:solidFill>
                </w14:textFill>
              </w:rPr>
              <w:t>热压</w:t>
            </w:r>
            <w:r>
              <w:rPr>
                <w:rFonts w:hint="eastAsia"/>
                <w:color w:val="000000" w:themeColor="text1"/>
                <w:sz w:val="24"/>
                <w:szCs w:val="24"/>
                <w14:textFill>
                  <w14:solidFill>
                    <w14:schemeClr w14:val="tx1"/>
                  </w14:solidFill>
                </w14:textFill>
              </w:rPr>
              <w:t>工序全部挥发，挥发性有机物的产生量为0.1944t/a，车间内无组织排放，排放速率0.081kg/h。</w:t>
            </w:r>
          </w:p>
          <w:p>
            <w:pPr>
              <w:pStyle w:val="12"/>
              <w:spacing w:before="0" w:after="0" w:line="360" w:lineRule="auto"/>
              <w:ind w:left="420" w:leftChars="200" w:right="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（4）机加工废气</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门板经过压合成型后，需要利用数控门锁合页机等机械设备铣槽位，只进行一些门锁合页安装槽、孔位的加工，此工序会产生颗粒物，在刀头部门加装集气喇叭，参照《排放源统计调查产排污核算方法和系数手册》中《211木质家具制造行业系数手册》</w:t>
            </w:r>
            <w:r>
              <w:rPr>
                <w:color w:val="000000" w:themeColor="text1"/>
                <w:sz w:val="24"/>
                <w:szCs w:val="24"/>
                <w14:textFill>
                  <w14:solidFill>
                    <w14:schemeClr w14:val="tx1"/>
                  </w14:solidFill>
                </w14:textFill>
              </w:rPr>
              <w:t xml:space="preserve">2110 </w:t>
            </w:r>
            <w:r>
              <w:rPr>
                <w:rFonts w:hint="eastAsia"/>
                <w:color w:val="000000" w:themeColor="text1"/>
                <w:sz w:val="24"/>
                <w:szCs w:val="24"/>
                <w14:textFill>
                  <w14:solidFill>
                    <w14:schemeClr w14:val="tx1"/>
                  </w14:solidFill>
                </w14:textFill>
              </w:rPr>
              <w:t>木质家具制造行业系数表下料工序产排污系数，颗粒物产生量为150克/立方米-原料，项目使用10000m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的原材料，共产生1.5t/a的颗粒物，喇叭口风速为0.5m/s的风速，设置一台风机风量为3000m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/h的风机，集气效率为80%，处理措施采用布袋除尘装置，参照《</w:t>
            </w:r>
            <w:r>
              <w:rPr>
                <w:color w:val="000000" w:themeColor="text1"/>
                <w:sz w:val="24"/>
                <w:szCs w:val="24"/>
                <w14:textFill>
                  <w14:solidFill>
                    <w14:schemeClr w14:val="tx1"/>
                  </w14:solidFill>
                </w14:textFill>
              </w:rPr>
              <w:t xml:space="preserve">2110 </w:t>
            </w:r>
            <w:r>
              <w:rPr>
                <w:rFonts w:hint="eastAsia"/>
                <w:color w:val="000000" w:themeColor="text1"/>
                <w:sz w:val="24"/>
                <w:szCs w:val="24"/>
                <w14:textFill>
                  <w14:solidFill>
                    <w14:schemeClr w14:val="tx1"/>
                  </w14:solidFill>
                </w14:textFill>
              </w:rPr>
              <w:t>木质家具制造行业系数表》布袋除尘装置粉尘处理效率取90%</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尾气通过3#排气筒高空排放。</w:t>
            </w:r>
          </w:p>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表4-7    机加工工序产排污情况一览表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35"/>
              <w:gridCol w:w="780"/>
              <w:gridCol w:w="900"/>
              <w:gridCol w:w="1245"/>
              <w:gridCol w:w="825"/>
              <w:gridCol w:w="810"/>
              <w:gridCol w:w="1035"/>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683"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污染源</w:t>
                  </w:r>
                </w:p>
              </w:tc>
              <w:tc>
                <w:tcPr>
                  <w:tcW w:w="735"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污染因子</w:t>
                  </w:r>
                </w:p>
              </w:tc>
              <w:tc>
                <w:tcPr>
                  <w:tcW w:w="2925" w:type="dxa"/>
                  <w:gridSpan w:val="3"/>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有组织</w:t>
                  </w:r>
                </w:p>
              </w:tc>
              <w:tc>
                <w:tcPr>
                  <w:tcW w:w="825"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采取措施</w:t>
                  </w:r>
                </w:p>
              </w:tc>
              <w:tc>
                <w:tcPr>
                  <w:tcW w:w="3004" w:type="dxa"/>
                  <w:gridSpan w:val="3"/>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3"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735"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78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产生量t/a</w:t>
                  </w:r>
                </w:p>
              </w:tc>
              <w:tc>
                <w:tcPr>
                  <w:tcW w:w="90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产生速率kg/h</w:t>
                  </w:r>
                </w:p>
              </w:tc>
              <w:tc>
                <w:tcPr>
                  <w:tcW w:w="124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产生浓度mg/m</w:t>
                  </w:r>
                  <w:r>
                    <w:rPr>
                      <w:rFonts w:hint="eastAsia"/>
                      <w:color w:val="000000" w:themeColor="text1"/>
                      <w:sz w:val="21"/>
                      <w:szCs w:val="21"/>
                      <w:vertAlign w:val="superscript"/>
                      <w14:textFill>
                        <w14:solidFill>
                          <w14:schemeClr w14:val="tx1"/>
                        </w14:solidFill>
                      </w14:textFill>
                    </w:rPr>
                    <w:t>3</w:t>
                  </w:r>
                </w:p>
              </w:tc>
              <w:tc>
                <w:tcPr>
                  <w:tcW w:w="825"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81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排放量t/a</w:t>
                  </w:r>
                </w:p>
              </w:tc>
              <w:tc>
                <w:tcPr>
                  <w:tcW w:w="103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排放速率kg/h</w:t>
                  </w:r>
                </w:p>
              </w:tc>
              <w:tc>
                <w:tcPr>
                  <w:tcW w:w="1159"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排放浓度mg/m</w:t>
                  </w:r>
                  <w:r>
                    <w:rPr>
                      <w:rFonts w:hint="eastAsia"/>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3"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机加工</w:t>
                  </w:r>
                </w:p>
              </w:tc>
              <w:tc>
                <w:tcPr>
                  <w:tcW w:w="73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780"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00"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45" w:type="dxa"/>
                  <w:vAlign w:val="center"/>
                </w:tcPr>
                <w:p>
                  <w:pPr>
                    <w:keepNext w:val="0"/>
                    <w:keepLines w:val="0"/>
                    <w:widowControl/>
                    <w:suppressLineNumbers w:val="0"/>
                    <w:jc w:val="center"/>
                    <w:textAlignment w:val="center"/>
                    <w:rPr>
                      <w:rFonts w:hint="default"/>
                      <w:color w:val="000000" w:themeColor="text1"/>
                      <w:kern w:val="0"/>
                      <w:szCs w:val="21"/>
                      <w:lang w:val="en-US"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166.6</w:t>
                  </w:r>
                  <w:r>
                    <w:rPr>
                      <w:rFonts w:hint="eastAsia" w:cs="Times New Roman"/>
                      <w:i w:val="0"/>
                      <w:iCs w:val="0"/>
                      <w:color w:val="000000"/>
                      <w:kern w:val="0"/>
                      <w:sz w:val="21"/>
                      <w:szCs w:val="21"/>
                      <w:u w:val="none"/>
                      <w:lang w:val="en-US" w:eastAsia="zh-CN" w:bidi="ar"/>
                    </w:rPr>
                    <w:t>7</w:t>
                  </w:r>
                </w:p>
              </w:tc>
              <w:tc>
                <w:tcPr>
                  <w:tcW w:w="825"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布袋除尘</w:t>
                  </w:r>
                </w:p>
              </w:tc>
              <w:tc>
                <w:tcPr>
                  <w:tcW w:w="810"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0.12 </w:t>
                  </w:r>
                </w:p>
              </w:tc>
              <w:tc>
                <w:tcPr>
                  <w:tcW w:w="1035"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1159"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16.667</w:t>
                  </w:r>
                </w:p>
              </w:tc>
            </w:tr>
          </w:tbl>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表4-8   机加工工序无组织产排污情况一览表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975"/>
              <w:gridCol w:w="1260"/>
              <w:gridCol w:w="1530"/>
              <w:gridCol w:w="720"/>
              <w:gridCol w:w="1455"/>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683"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污染源</w:t>
                  </w:r>
                </w:p>
              </w:tc>
              <w:tc>
                <w:tcPr>
                  <w:tcW w:w="975"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污染因子</w:t>
                  </w:r>
                </w:p>
              </w:tc>
              <w:tc>
                <w:tcPr>
                  <w:tcW w:w="2790" w:type="dxa"/>
                  <w:gridSpan w:val="2"/>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w:t>
                  </w:r>
                </w:p>
              </w:tc>
              <w:tc>
                <w:tcPr>
                  <w:tcW w:w="720"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采取措施</w:t>
                  </w:r>
                </w:p>
              </w:tc>
              <w:tc>
                <w:tcPr>
                  <w:tcW w:w="3004" w:type="dxa"/>
                  <w:gridSpan w:val="2"/>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3"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975"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126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产生量t/a</w:t>
                  </w:r>
                </w:p>
              </w:tc>
              <w:tc>
                <w:tcPr>
                  <w:tcW w:w="153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产生速率kg/h</w:t>
                  </w:r>
                </w:p>
              </w:tc>
              <w:tc>
                <w:tcPr>
                  <w:tcW w:w="720"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145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排放量t/a</w:t>
                  </w:r>
                </w:p>
              </w:tc>
              <w:tc>
                <w:tcPr>
                  <w:tcW w:w="1549"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683"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机加工</w:t>
                  </w:r>
                </w:p>
              </w:tc>
              <w:tc>
                <w:tcPr>
                  <w:tcW w:w="97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1260"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1530"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720"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55"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1549"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w:t>
                  </w:r>
                </w:p>
              </w:tc>
            </w:tr>
          </w:tbl>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（5）腻子粉打磨粉尘</w:t>
            </w:r>
          </w:p>
          <w:p>
            <w:pPr>
              <w:pStyle w:val="12"/>
              <w:spacing w:before="0" w:after="0" w:line="360" w:lineRule="auto"/>
              <w:ind w:right="0" w:firstLine="480" w:firstLineChars="20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在喷涂之前需要刮腻子粉，根据建设单位介绍，腻子粉用量大约为0.5kg/m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，项目共需刮腻子粉的有45000m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，计算可知使用腻子粉22.5t/a，参考《211木质家具制造行业系数手册》中</w:t>
            </w:r>
            <w:r>
              <w:rPr>
                <w:color w:val="000000" w:themeColor="text1"/>
                <w:sz w:val="24"/>
                <w:szCs w:val="24"/>
                <w14:textFill>
                  <w14:solidFill>
                    <w14:schemeClr w14:val="tx1"/>
                  </w14:solidFill>
                </w14:textFill>
              </w:rPr>
              <w:t>2110</w:t>
            </w:r>
            <w:r>
              <w:rPr>
                <w:rFonts w:hint="eastAsia"/>
                <w:color w:val="000000" w:themeColor="text1"/>
                <w:sz w:val="24"/>
                <w:szCs w:val="24"/>
                <w14:textFill>
                  <w14:solidFill>
                    <w14:schemeClr w14:val="tx1"/>
                  </w14:solidFill>
                </w14:textFill>
              </w:rPr>
              <w:t>木质家具制造行业系数表（续8）磨光系数颗粒物取23.5g/m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产品，产生1.06t/a的颗粒物，经过集气罩收集后通过“布袋除尘”尾气经4#排气筒高空排放</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收集效率取80%，</w:t>
            </w:r>
            <w:r>
              <w:rPr>
                <w:rFonts w:hint="eastAsia"/>
                <w:color w:val="000000" w:themeColor="text1"/>
                <w:sz w:val="24"/>
                <w:szCs w:val="24"/>
                <w14:textFill>
                  <w14:solidFill>
                    <w14:schemeClr w14:val="tx1"/>
                  </w14:solidFill>
                </w14:textFill>
              </w:rPr>
              <w:t>参照《</w:t>
            </w:r>
            <w:r>
              <w:rPr>
                <w:color w:val="000000" w:themeColor="text1"/>
                <w:sz w:val="24"/>
                <w:szCs w:val="24"/>
                <w14:textFill>
                  <w14:solidFill>
                    <w14:schemeClr w14:val="tx1"/>
                  </w14:solidFill>
                </w14:textFill>
              </w:rPr>
              <w:t xml:space="preserve">2110 </w:t>
            </w:r>
            <w:r>
              <w:rPr>
                <w:rFonts w:hint="eastAsia"/>
                <w:color w:val="000000" w:themeColor="text1"/>
                <w:sz w:val="24"/>
                <w:szCs w:val="24"/>
                <w14:textFill>
                  <w14:solidFill>
                    <w14:schemeClr w14:val="tx1"/>
                  </w14:solidFill>
                </w14:textFill>
              </w:rPr>
              <w:t>木质家具制造行业系数表》布袋除尘装置粉尘处理效率取90%</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尾气通过4#排气筒高空排放。</w:t>
            </w:r>
          </w:p>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表4-9    腻子粉打磨序产排污情况一览表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660"/>
              <w:gridCol w:w="750"/>
              <w:gridCol w:w="930"/>
              <w:gridCol w:w="1080"/>
              <w:gridCol w:w="1095"/>
              <w:gridCol w:w="810"/>
              <w:gridCol w:w="1035"/>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污染源</w:t>
                  </w:r>
                </w:p>
              </w:tc>
              <w:tc>
                <w:tcPr>
                  <w:tcW w:w="660"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污染因子</w:t>
                  </w:r>
                </w:p>
              </w:tc>
              <w:tc>
                <w:tcPr>
                  <w:tcW w:w="2760" w:type="dxa"/>
                  <w:gridSpan w:val="3"/>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c>
                <w:tcPr>
                  <w:tcW w:w="1095"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采取措施</w:t>
                  </w:r>
                </w:p>
              </w:tc>
              <w:tc>
                <w:tcPr>
                  <w:tcW w:w="3004" w:type="dxa"/>
                  <w:gridSpan w:val="3"/>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660"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75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产生量t/a</w:t>
                  </w:r>
                </w:p>
              </w:tc>
              <w:tc>
                <w:tcPr>
                  <w:tcW w:w="93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产生速率kg/h</w:t>
                  </w:r>
                </w:p>
              </w:tc>
              <w:tc>
                <w:tcPr>
                  <w:tcW w:w="108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产生浓度mg/m</w:t>
                  </w:r>
                  <w:r>
                    <w:rPr>
                      <w:color w:val="000000" w:themeColor="text1"/>
                      <w:sz w:val="21"/>
                      <w:szCs w:val="21"/>
                      <w:vertAlign w:val="superscript"/>
                      <w14:textFill>
                        <w14:solidFill>
                          <w14:schemeClr w14:val="tx1"/>
                        </w14:solidFill>
                      </w14:textFill>
                    </w:rPr>
                    <w:t>3</w:t>
                  </w:r>
                </w:p>
              </w:tc>
              <w:tc>
                <w:tcPr>
                  <w:tcW w:w="1095"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81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排放量t/a</w:t>
                  </w:r>
                </w:p>
              </w:tc>
              <w:tc>
                <w:tcPr>
                  <w:tcW w:w="103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排放速率kg/h</w:t>
                  </w:r>
                </w:p>
              </w:tc>
              <w:tc>
                <w:tcPr>
                  <w:tcW w:w="1159"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排放浓度mg/m</w:t>
                  </w:r>
                  <w:r>
                    <w:rPr>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机加工</w:t>
                  </w:r>
                </w:p>
              </w:tc>
              <w:tc>
                <w:tcPr>
                  <w:tcW w:w="660"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750"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0.846 </w:t>
                  </w:r>
                </w:p>
              </w:tc>
              <w:tc>
                <w:tcPr>
                  <w:tcW w:w="930"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0.353 </w:t>
                  </w:r>
                </w:p>
              </w:tc>
              <w:tc>
                <w:tcPr>
                  <w:tcW w:w="1080"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117.5</w:t>
                  </w:r>
                </w:p>
              </w:tc>
              <w:tc>
                <w:tcPr>
                  <w:tcW w:w="1095"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布袋除尘</w:t>
                  </w:r>
                </w:p>
              </w:tc>
              <w:tc>
                <w:tcPr>
                  <w:tcW w:w="810"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0.085 </w:t>
                  </w:r>
                </w:p>
              </w:tc>
              <w:tc>
                <w:tcPr>
                  <w:tcW w:w="1035"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0.035 </w:t>
                  </w:r>
                </w:p>
              </w:tc>
              <w:tc>
                <w:tcPr>
                  <w:tcW w:w="1159"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11.75</w:t>
                  </w:r>
                </w:p>
              </w:tc>
            </w:tr>
          </w:tbl>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表4-10    腻子粉打磨工序无组织产排污情况一览表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005"/>
              <w:gridCol w:w="1155"/>
              <w:gridCol w:w="1455"/>
              <w:gridCol w:w="825"/>
              <w:gridCol w:w="1455"/>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8"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污染源</w:t>
                  </w:r>
                </w:p>
              </w:tc>
              <w:tc>
                <w:tcPr>
                  <w:tcW w:w="1005"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污染因子</w:t>
                  </w:r>
                </w:p>
              </w:tc>
              <w:tc>
                <w:tcPr>
                  <w:tcW w:w="2610" w:type="dxa"/>
                  <w:gridSpan w:val="2"/>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w:t>
                  </w:r>
                </w:p>
              </w:tc>
              <w:tc>
                <w:tcPr>
                  <w:tcW w:w="825" w:type="dxa"/>
                  <w:vMerge w:val="restart"/>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采取措施</w:t>
                  </w:r>
                </w:p>
              </w:tc>
              <w:tc>
                <w:tcPr>
                  <w:tcW w:w="3004" w:type="dxa"/>
                  <w:gridSpan w:val="2"/>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8"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1005"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115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产生量t/a</w:t>
                  </w:r>
                </w:p>
              </w:tc>
              <w:tc>
                <w:tcPr>
                  <w:tcW w:w="145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产生速率kg/h</w:t>
                  </w:r>
                </w:p>
              </w:tc>
              <w:tc>
                <w:tcPr>
                  <w:tcW w:w="825" w:type="dxa"/>
                  <w:vMerge w:val="continue"/>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145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排放量t/a</w:t>
                  </w:r>
                </w:p>
              </w:tc>
              <w:tc>
                <w:tcPr>
                  <w:tcW w:w="1549"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8"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机加工</w:t>
                  </w:r>
                </w:p>
              </w:tc>
              <w:tc>
                <w:tcPr>
                  <w:tcW w:w="1005" w:type="dxa"/>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1155"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0.212 </w:t>
                  </w:r>
                </w:p>
              </w:tc>
              <w:tc>
                <w:tcPr>
                  <w:tcW w:w="1455"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0.088 </w:t>
                  </w:r>
                </w:p>
              </w:tc>
              <w:tc>
                <w:tcPr>
                  <w:tcW w:w="825"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55"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0.212 </w:t>
                  </w:r>
                </w:p>
              </w:tc>
              <w:tc>
                <w:tcPr>
                  <w:tcW w:w="1549"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0.088 </w:t>
                  </w:r>
                </w:p>
              </w:tc>
            </w:tr>
          </w:tbl>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（5）腻子粉晾干废气</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根据腻子粉成分分析报告，腻子粉挥发性有机物含量为3.7%，不含苯、甲苯、二甲苯等苯系物，将在晾干工序全部挥发，腻子粉使用量为22.5t/a，将在晾干房内产生0.8325t/a 的挥发性有机物，与晾干房废气一起核算。</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（6）喷漆有机废气</w:t>
            </w:r>
          </w:p>
          <w:p>
            <w:pPr>
              <w:pStyle w:val="28"/>
              <w:spacing w:before="0" w:beforeAutospacing="0" w:after="0" w:afterAutospacing="0" w:line="360" w:lineRule="auto"/>
              <w:ind w:firstLine="480" w:firstLineChars="200"/>
              <w:rPr>
                <w:rFonts w:ascii="Times New Roman" w:hAnsi="Times New Roman"/>
                <w:color w:val="000000" w:themeColor="text1"/>
                <w14:textFill>
                  <w14:solidFill>
                    <w14:schemeClr w14:val="tx1"/>
                  </w14:solidFill>
                </w14:textFill>
              </w:rPr>
            </w:pPr>
            <w:r>
              <w:rPr>
                <w:rFonts w:hint="eastAsia"/>
                <w:color w:val="000000" w:themeColor="text1"/>
                <w:szCs w:val="24"/>
                <w14:textFill>
                  <w14:solidFill>
                    <w14:schemeClr w14:val="tx1"/>
                  </w14:solidFill>
                </w14:textFill>
              </w:rPr>
              <w:t>项目喷漆废气包括喷漆及固化过程中产生的有机废气和漆雾。油漆由不</w:t>
            </w:r>
            <w:r>
              <w:rPr>
                <w:rFonts w:hint="eastAsia"/>
                <w:color w:val="000000" w:themeColor="text1"/>
                <w:szCs w:val="24"/>
                <w:lang w:eastAsia="zh-CN"/>
                <w14:textFill>
                  <w14:solidFill>
                    <w14:schemeClr w14:val="tx1"/>
                  </w14:solidFill>
                </w14:textFill>
              </w:rPr>
              <w:t>挥发分</w:t>
            </w:r>
            <w:r>
              <w:rPr>
                <w:rFonts w:hint="eastAsia"/>
                <w:color w:val="000000" w:themeColor="text1"/>
                <w:szCs w:val="24"/>
                <w14:textFill>
                  <w14:solidFill>
                    <w14:schemeClr w14:val="tx1"/>
                  </w14:solidFill>
                </w14:textFill>
              </w:rPr>
              <w:t>和</w:t>
            </w:r>
            <w:r>
              <w:rPr>
                <w:rFonts w:hint="eastAsia"/>
                <w:color w:val="000000" w:themeColor="text1"/>
                <w:szCs w:val="24"/>
                <w:lang w:eastAsia="zh-CN"/>
                <w14:textFill>
                  <w14:solidFill>
                    <w14:schemeClr w14:val="tx1"/>
                  </w14:solidFill>
                </w14:textFill>
              </w:rPr>
              <w:t>挥发分</w:t>
            </w:r>
            <w:r>
              <w:rPr>
                <w:rFonts w:hint="eastAsia"/>
                <w:color w:val="000000" w:themeColor="text1"/>
                <w:szCs w:val="24"/>
                <w14:textFill>
                  <w14:solidFill>
                    <w14:schemeClr w14:val="tx1"/>
                  </w14:solidFill>
                </w14:textFill>
              </w:rPr>
              <w:t>组成，不</w:t>
            </w:r>
            <w:r>
              <w:rPr>
                <w:rFonts w:hint="eastAsia"/>
                <w:color w:val="000000" w:themeColor="text1"/>
                <w:szCs w:val="24"/>
                <w:lang w:eastAsia="zh-CN"/>
                <w14:textFill>
                  <w14:solidFill>
                    <w14:schemeClr w14:val="tx1"/>
                  </w14:solidFill>
                </w14:textFill>
              </w:rPr>
              <w:t>挥发分</w:t>
            </w:r>
            <w:r>
              <w:rPr>
                <w:rFonts w:hint="eastAsia"/>
                <w:color w:val="000000" w:themeColor="text1"/>
                <w:szCs w:val="24"/>
                <w14:textFill>
                  <w14:solidFill>
                    <w14:schemeClr w14:val="tx1"/>
                  </w14:solidFill>
                </w14:textFill>
              </w:rPr>
              <w:t>包括成膜物质和辅助成膜物质，</w:t>
            </w:r>
            <w:r>
              <w:rPr>
                <w:rFonts w:hint="eastAsia"/>
                <w:color w:val="000000" w:themeColor="text1"/>
                <w:szCs w:val="24"/>
                <w:lang w:eastAsia="zh-CN"/>
                <w14:textFill>
                  <w14:solidFill>
                    <w14:schemeClr w14:val="tx1"/>
                  </w14:solidFill>
                </w14:textFill>
              </w:rPr>
              <w:t>挥发分</w:t>
            </w:r>
            <w:r>
              <w:rPr>
                <w:rFonts w:hint="eastAsia"/>
                <w:color w:val="000000" w:themeColor="text1"/>
                <w:szCs w:val="24"/>
                <w14:textFill>
                  <w14:solidFill>
                    <w14:schemeClr w14:val="tx1"/>
                  </w14:solidFill>
                </w14:textFill>
              </w:rPr>
              <w:t>指溶剂。喷烤漆废气中的有机气体来自油漆中有机溶剂的挥发，有机溶剂不会随油漆附着在喷漆物表面，在喷漆和固化过程将全部释放成有机废气。喷漆过程中油漆和溶</w:t>
            </w:r>
            <w:r>
              <w:rPr>
                <w:rFonts w:hint="eastAsia" w:ascii="Times New Roman" w:hAnsi="Times New Roman"/>
                <w:color w:val="000000" w:themeColor="text1"/>
                <w14:textFill>
                  <w14:solidFill>
                    <w14:schemeClr w14:val="tx1"/>
                  </w14:solidFill>
                </w14:textFill>
              </w:rPr>
              <w:t>剂雾化后形成的二相悬浮物逸散到空气中，形成漆雾，本项目油漆附着率取</w:t>
            </w:r>
            <w:r>
              <w:rPr>
                <w:rFonts w:hint="eastAsia" w:ascii="Times New Roman" w:hAnsi="Times New Roman"/>
                <w:color w:val="000000" w:themeColor="text1"/>
                <w:lang w:val="en-US" w:eastAsia="zh-CN"/>
                <w14:textFill>
                  <w14:solidFill>
                    <w14:schemeClr w14:val="tx1"/>
                  </w14:solidFill>
                </w14:textFill>
              </w:rPr>
              <w:t>60</w:t>
            </w:r>
            <w:r>
              <w:rPr>
                <w:rFonts w:hint="eastAsia" w:ascii="Times New Roman" w:hAnsi="Times New Roman"/>
                <w:color w:val="000000" w:themeColor="text1"/>
                <w14:textFill>
                  <w14:solidFill>
                    <w14:schemeClr w14:val="tx1"/>
                  </w14:solidFill>
                </w14:textFill>
              </w:rPr>
              <w:t>%，约有</w:t>
            </w:r>
            <w:r>
              <w:rPr>
                <w:rFonts w:hint="eastAsia" w:ascii="Times New Roman" w:hAnsi="Times New Roman"/>
                <w:color w:val="000000" w:themeColor="text1"/>
                <w:lang w:val="en-US" w:eastAsia="zh-CN"/>
                <w14:textFill>
                  <w14:solidFill>
                    <w14:schemeClr w14:val="tx1"/>
                  </w14:solidFill>
                </w14:textFill>
              </w:rPr>
              <w:t>40</w:t>
            </w:r>
            <w:r>
              <w:rPr>
                <w:rFonts w:hint="eastAsia" w:ascii="Times New Roman" w:hAnsi="Times New Roman"/>
                <w:color w:val="000000" w:themeColor="text1"/>
                <w14:textFill>
                  <w14:solidFill>
                    <w14:schemeClr w14:val="tx1"/>
                  </w14:solidFill>
                </w14:textFill>
              </w:rPr>
              <w:t>%的固份形成漆雾，本项目设置“水帘柜+过滤棉”处理措施对漆雾进行处理。</w:t>
            </w:r>
          </w:p>
          <w:p>
            <w:pPr>
              <w:pStyle w:val="28"/>
              <w:spacing w:before="0" w:beforeAutospacing="0" w:after="0" w:afterAutospacing="0" w:line="360" w:lineRule="auto"/>
              <w:ind w:firstLine="482" w:firstLineChars="200"/>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①油漆用量核算</w:t>
            </w:r>
          </w:p>
          <w:p>
            <w:pPr>
              <w:pStyle w:val="28"/>
              <w:spacing w:before="0" w:beforeAutospacing="0" w:after="0" w:afterAutospacing="0" w:line="360" w:lineRule="auto"/>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本项目设置有</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个</w:t>
            </w:r>
            <w:r>
              <w:rPr>
                <w:rFonts w:hint="eastAsia" w:ascii="Times New Roman" w:hAnsi="Times New Roman"/>
                <w:color w:val="000000" w:themeColor="text1"/>
                <w14:textFill>
                  <w14:solidFill>
                    <w14:schemeClr w14:val="tx1"/>
                  </w14:solidFill>
                </w14:textFill>
              </w:rPr>
              <w:t>底漆</w:t>
            </w:r>
            <w:r>
              <w:rPr>
                <w:rFonts w:ascii="Times New Roman" w:hAnsi="Times New Roman"/>
                <w:color w:val="000000" w:themeColor="text1"/>
                <w14:textFill>
                  <w14:solidFill>
                    <w14:schemeClr w14:val="tx1"/>
                  </w14:solidFill>
                </w14:textFill>
              </w:rPr>
              <w:t>喷漆房</w:t>
            </w:r>
            <w:r>
              <w:rPr>
                <w:rFonts w:hint="eastAsia" w:ascii="Times New Roman" w:hAnsi="Times New Roman"/>
                <w:color w:val="000000" w:themeColor="text1"/>
                <w14:textFill>
                  <w14:solidFill>
                    <w14:schemeClr w14:val="tx1"/>
                  </w14:solidFill>
                </w14:textFill>
              </w:rPr>
              <w:t>（1#喷漆房），2个面漆喷漆房（2#喷漆和3#喷漆房）</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喷漆房尺寸为长</w:t>
            </w:r>
            <w:r>
              <w:rPr>
                <w:rFonts w:hint="eastAsia" w:ascii="Times New Roman" w:hAnsi="Times New Roman"/>
                <w:color w:val="000000" w:themeColor="text1"/>
                <w14:textFill>
                  <w14:solidFill>
                    <w14:schemeClr w14:val="tx1"/>
                  </w14:solidFill>
                </w14:textFill>
              </w:rPr>
              <w:t>9</w:t>
            </w:r>
            <w:r>
              <w:rPr>
                <w:rFonts w:ascii="Times New Roman" w:hAnsi="Times New Roman"/>
                <w:color w:val="000000" w:themeColor="text1"/>
                <w14:textFill>
                  <w14:solidFill>
                    <w14:schemeClr w14:val="tx1"/>
                  </w14:solidFill>
                </w14:textFill>
              </w:rPr>
              <w:t>m*宽6m*高</w:t>
            </w:r>
            <w:r>
              <w:rPr>
                <w:rFonts w:hint="eastAsia" w:ascii="Times New Roman" w:hAnsi="Times New Roman"/>
                <w:color w:val="000000" w:themeColor="text1"/>
                <w14:textFill>
                  <w14:solidFill>
                    <w14:schemeClr w14:val="tx1"/>
                  </w14:solidFill>
                </w14:textFill>
              </w:rPr>
              <w:t>3.2</w:t>
            </w:r>
            <w:r>
              <w:rPr>
                <w:rFonts w:ascii="Times New Roman" w:hAnsi="Times New Roman"/>
                <w:color w:val="000000" w:themeColor="text1"/>
                <w14:textFill>
                  <w14:solidFill>
                    <w14:schemeClr w14:val="tx1"/>
                  </w14:solidFill>
                </w14:textFill>
              </w:rPr>
              <w:t>m</w:t>
            </w:r>
            <w:r>
              <w:rPr>
                <w:rFonts w:hint="eastAsia" w:ascii="Times New Roman" w:hAnsi="Times New Roman"/>
                <w:color w:val="000000" w:themeColor="text1"/>
                <w14:textFill>
                  <w14:solidFill>
                    <w14:schemeClr w14:val="tx1"/>
                  </w14:solidFill>
                </w14:textFill>
              </w:rPr>
              <w:t>、2#喷漆房尺寸为</w:t>
            </w:r>
            <w:r>
              <w:rPr>
                <w:rFonts w:ascii="Times New Roman" w:hAnsi="Times New Roman"/>
                <w:color w:val="000000" w:themeColor="text1"/>
                <w14:textFill>
                  <w14:solidFill>
                    <w14:schemeClr w14:val="tx1"/>
                  </w14:solidFill>
                </w14:textFill>
              </w:rPr>
              <w:t>长</w:t>
            </w:r>
            <w:r>
              <w:rPr>
                <w:rFonts w:hint="eastAsia" w:ascii="Times New Roman" w:hAnsi="Times New Roman"/>
                <w:color w:val="000000" w:themeColor="text1"/>
                <w14:textFill>
                  <w14:solidFill>
                    <w14:schemeClr w14:val="tx1"/>
                  </w14:solidFill>
                </w14:textFill>
              </w:rPr>
              <w:t>9</w:t>
            </w:r>
            <w:r>
              <w:rPr>
                <w:rFonts w:ascii="Times New Roman" w:hAnsi="Times New Roman"/>
                <w:color w:val="000000" w:themeColor="text1"/>
                <w14:textFill>
                  <w14:solidFill>
                    <w14:schemeClr w14:val="tx1"/>
                  </w14:solidFill>
                </w14:textFill>
              </w:rPr>
              <w:t>m*宽6m*高</w:t>
            </w:r>
            <w:r>
              <w:rPr>
                <w:rFonts w:hint="eastAsia" w:ascii="Times New Roman" w:hAnsi="Times New Roman"/>
                <w:color w:val="000000" w:themeColor="text1"/>
                <w14:textFill>
                  <w14:solidFill>
                    <w14:schemeClr w14:val="tx1"/>
                  </w14:solidFill>
                </w14:textFill>
              </w:rPr>
              <w:t>3.2</w:t>
            </w:r>
            <w:r>
              <w:rPr>
                <w:rFonts w:ascii="Times New Roman" w:hAnsi="Times New Roman"/>
                <w:color w:val="000000" w:themeColor="text1"/>
                <w14:textFill>
                  <w14:solidFill>
                    <w14:schemeClr w14:val="tx1"/>
                  </w14:solidFill>
                </w14:textFill>
              </w:rPr>
              <w:t>m</w:t>
            </w:r>
            <w:r>
              <w:rPr>
                <w:rFonts w:hint="eastAsia" w:ascii="Times New Roman" w:hAnsi="Times New Roman"/>
                <w:color w:val="000000" w:themeColor="text1"/>
                <w14:textFill>
                  <w14:solidFill>
                    <w14:schemeClr w14:val="tx1"/>
                  </w14:solidFill>
                </w14:textFill>
              </w:rPr>
              <w:t>、3#喷漆房尺寸为</w:t>
            </w:r>
            <w:r>
              <w:rPr>
                <w:rFonts w:ascii="Times New Roman" w:hAnsi="Times New Roman"/>
                <w:color w:val="000000" w:themeColor="text1"/>
                <w14:textFill>
                  <w14:solidFill>
                    <w14:schemeClr w14:val="tx1"/>
                  </w14:solidFill>
                </w14:textFill>
              </w:rPr>
              <w:t>长</w:t>
            </w:r>
            <w:r>
              <w:rPr>
                <w:rFonts w:hint="eastAsia" w:ascii="Times New Roman" w:hAnsi="Times New Roman"/>
                <w:color w:val="000000" w:themeColor="text1"/>
                <w14:textFill>
                  <w14:solidFill>
                    <w14:schemeClr w14:val="tx1"/>
                  </w14:solidFill>
                </w14:textFill>
              </w:rPr>
              <w:t>9</w:t>
            </w:r>
            <w:r>
              <w:rPr>
                <w:rFonts w:ascii="Times New Roman" w:hAnsi="Times New Roman"/>
                <w:color w:val="000000" w:themeColor="text1"/>
                <w14:textFill>
                  <w14:solidFill>
                    <w14:schemeClr w14:val="tx1"/>
                  </w14:solidFill>
                </w14:textFill>
              </w:rPr>
              <w:t>m*宽6m*高</w:t>
            </w:r>
            <w:r>
              <w:rPr>
                <w:rFonts w:hint="eastAsia" w:ascii="Times New Roman" w:hAnsi="Times New Roman"/>
                <w:color w:val="000000" w:themeColor="text1"/>
                <w14:textFill>
                  <w14:solidFill>
                    <w14:schemeClr w14:val="tx1"/>
                  </w14:solidFill>
                </w14:textFill>
              </w:rPr>
              <w:t>3.2</w:t>
            </w:r>
            <w:r>
              <w:rPr>
                <w:rFonts w:ascii="Times New Roman" w:hAnsi="Times New Roman"/>
                <w:color w:val="000000" w:themeColor="text1"/>
                <w14:textFill>
                  <w14:solidFill>
                    <w14:schemeClr w14:val="tx1"/>
                  </w14:solidFill>
                </w14:textFill>
              </w:rPr>
              <w:t>m</w:t>
            </w:r>
            <w:r>
              <w:rPr>
                <w:rFonts w:hint="eastAsia" w:ascii="Times New Roman" w:hAnsi="Times New Roman"/>
                <w:color w:val="000000" w:themeColor="text1"/>
                <w14:textFill>
                  <w14:solidFill>
                    <w14:schemeClr w14:val="tx1"/>
                  </w14:solidFill>
                </w14:textFill>
              </w:rPr>
              <w:t>；</w:t>
            </w:r>
          </w:p>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表4-11   各喷漆房承担的喷漆面积</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1697"/>
              <w:gridCol w:w="2110"/>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名称</w:t>
                  </w:r>
                </w:p>
              </w:tc>
              <w:tc>
                <w:tcPr>
                  <w:tcW w:w="1430"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油漆房尺寸m</w:t>
                  </w:r>
                </w:p>
              </w:tc>
              <w:tc>
                <w:tcPr>
                  <w:tcW w:w="1778"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喷涂面积</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2</w:t>
                  </w:r>
                </w:p>
              </w:tc>
              <w:tc>
                <w:tcPr>
                  <w:tcW w:w="2045"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水性漆</w:t>
                  </w:r>
                  <w:r>
                    <w:rPr>
                      <w:rFonts w:hint="eastAsia" w:ascii="Times New Roman" w:hAnsi="Times New Roman"/>
                      <w:color w:val="000000" w:themeColor="text1"/>
                      <w:sz w:val="21"/>
                      <w:szCs w:val="21"/>
                      <w14:textFill>
                        <w14:solidFill>
                          <w14:schemeClr w14:val="tx1"/>
                        </w14:solidFill>
                      </w14:textFill>
                    </w:rPr>
                    <w:t>喷涂面积</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1#喷漆房</w:t>
                  </w:r>
                  <w:r>
                    <w:rPr>
                      <w:rFonts w:hint="eastAsia" w:ascii="Times New Roman" w:hAnsi="Times New Roman"/>
                      <w:color w:val="000000" w:themeColor="text1"/>
                      <w:sz w:val="21"/>
                      <w:szCs w:val="21"/>
                      <w14:textFill>
                        <w14:solidFill>
                          <w14:schemeClr w14:val="tx1"/>
                        </w14:solidFill>
                      </w14:textFill>
                    </w:rPr>
                    <w:t>（底漆房）</w:t>
                  </w:r>
                </w:p>
              </w:tc>
              <w:tc>
                <w:tcPr>
                  <w:tcW w:w="1430"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9*6*3.2</w:t>
                  </w:r>
                </w:p>
              </w:tc>
              <w:tc>
                <w:tcPr>
                  <w:tcW w:w="1778"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4500</w:t>
                  </w:r>
                </w:p>
              </w:tc>
              <w:tc>
                <w:tcPr>
                  <w:tcW w:w="2045"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2#喷漆房</w:t>
                  </w:r>
                  <w:r>
                    <w:rPr>
                      <w:rFonts w:hint="eastAsia" w:ascii="Times New Roman" w:hAnsi="Times New Roman"/>
                      <w:color w:val="000000" w:themeColor="text1"/>
                      <w:sz w:val="21"/>
                      <w:szCs w:val="21"/>
                      <w14:textFill>
                        <w14:solidFill>
                          <w14:schemeClr w14:val="tx1"/>
                        </w14:solidFill>
                      </w14:textFill>
                    </w:rPr>
                    <w:t>（面漆房）</w:t>
                  </w:r>
                </w:p>
              </w:tc>
              <w:tc>
                <w:tcPr>
                  <w:tcW w:w="1430"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9*6*3.2</w:t>
                  </w:r>
                </w:p>
              </w:tc>
              <w:tc>
                <w:tcPr>
                  <w:tcW w:w="1778" w:type="dxa"/>
                  <w:vAlign w:val="center"/>
                </w:tcPr>
                <w:p>
                  <w:pPr>
                    <w:pStyle w:val="28"/>
                    <w:spacing w:before="0" w:beforeAutospacing="0" w:after="0" w:afterAutospacing="0"/>
                    <w:jc w:val="center"/>
                    <w:rPr>
                      <w:rFonts w:ascii="Times New Roman" w:hAnsi="Times New Roman"/>
                      <w:color w:val="FF0000"/>
                      <w:sz w:val="21"/>
                      <w:szCs w:val="21"/>
                    </w:rPr>
                  </w:pPr>
                  <w:r>
                    <w:rPr>
                      <w:rFonts w:hint="eastAsia" w:ascii="Times New Roman" w:hAnsi="Times New Roman"/>
                      <w:color w:val="FF0000"/>
                      <w:sz w:val="21"/>
                      <w:szCs w:val="21"/>
                    </w:rPr>
                    <w:t>/</w:t>
                  </w:r>
                </w:p>
              </w:tc>
              <w:tc>
                <w:tcPr>
                  <w:tcW w:w="2045"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#喷漆房</w:t>
                  </w:r>
                  <w:r>
                    <w:rPr>
                      <w:rFonts w:hint="eastAsia" w:ascii="Times New Roman" w:hAnsi="Times New Roman"/>
                      <w:color w:val="000000" w:themeColor="text1"/>
                      <w:sz w:val="21"/>
                      <w:szCs w:val="21"/>
                      <w14:textFill>
                        <w14:solidFill>
                          <w14:schemeClr w14:val="tx1"/>
                        </w14:solidFill>
                      </w14:textFill>
                    </w:rPr>
                    <w:t>（面漆房）</w:t>
                  </w:r>
                </w:p>
              </w:tc>
              <w:tc>
                <w:tcPr>
                  <w:tcW w:w="1430"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9*6*3.2</w:t>
                  </w:r>
                </w:p>
              </w:tc>
              <w:tc>
                <w:tcPr>
                  <w:tcW w:w="1778" w:type="dxa"/>
                  <w:vAlign w:val="center"/>
                </w:tcPr>
                <w:p>
                  <w:pPr>
                    <w:pStyle w:val="28"/>
                    <w:spacing w:before="0" w:beforeAutospacing="0" w:after="0" w:afterAutospacing="0"/>
                    <w:jc w:val="center"/>
                    <w:rPr>
                      <w:rFonts w:ascii="Times New Roman" w:hAnsi="Times New Roman"/>
                      <w:color w:val="FF0000"/>
                      <w:sz w:val="21"/>
                      <w:szCs w:val="21"/>
                    </w:rPr>
                  </w:pPr>
                  <w:r>
                    <w:rPr>
                      <w:rFonts w:hint="eastAsia" w:ascii="Times New Roman" w:hAnsi="Times New Roman"/>
                      <w:color w:val="FF0000"/>
                      <w:sz w:val="21"/>
                      <w:szCs w:val="21"/>
                    </w:rPr>
                    <w:t>/</w:t>
                  </w:r>
                </w:p>
              </w:tc>
              <w:tc>
                <w:tcPr>
                  <w:tcW w:w="2045"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22500</w:t>
                  </w:r>
                </w:p>
              </w:tc>
            </w:tr>
          </w:tbl>
          <w:p>
            <w:pPr>
              <w:pStyle w:val="28"/>
              <w:spacing w:before="0" w:beforeAutospacing="0" w:after="0" w:afterAutospacing="0" w:line="360" w:lineRule="auto"/>
              <w:ind w:firstLine="48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根据各喷漆房承担的产品喷涂面积核算各喷漆房所使用的油漆用量以及喷涂工作时间。</w:t>
            </w:r>
          </w:p>
          <w:p>
            <w:pPr>
              <w:pStyle w:val="12"/>
              <w:snapToGrid/>
              <w:spacing w:before="0" w:after="0" w:line="240" w:lineRule="auto"/>
              <w:ind w:right="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表4-12    各喷漆房油漆种类的用量一览表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697"/>
              <w:gridCol w:w="1203"/>
              <w:gridCol w:w="1711"/>
              <w:gridCol w:w="1723"/>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43"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1900" w:type="dxa"/>
                  <w:gridSpan w:val="2"/>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油漆种类</w:t>
                  </w:r>
                </w:p>
              </w:tc>
              <w:tc>
                <w:tcPr>
                  <w:tcW w:w="1711"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喷涂面积（m</w:t>
                  </w:r>
                  <w:r>
                    <w:rPr>
                      <w:rFonts w:hint="eastAsia" w:ascii="Times New Roman" w:hAnsi="Times New Roman"/>
                      <w:color w:val="000000" w:themeColor="text1"/>
                      <w:sz w:val="21"/>
                      <w:szCs w:val="21"/>
                      <w:vertAlign w:val="superscript"/>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w:t>
                  </w:r>
                </w:p>
              </w:tc>
              <w:tc>
                <w:tcPr>
                  <w:tcW w:w="1723"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用量（t/a）</w:t>
                  </w:r>
                </w:p>
              </w:tc>
              <w:tc>
                <w:tcPr>
                  <w:tcW w:w="2095" w:type="dxa"/>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喷涂时间（h）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43" w:type="dxa"/>
                  <w:vMerge w:val="restart"/>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1#喷漆房</w:t>
                  </w:r>
                </w:p>
              </w:tc>
              <w:tc>
                <w:tcPr>
                  <w:tcW w:w="697" w:type="dxa"/>
                  <w:vMerge w:val="restart"/>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底漆</w:t>
                  </w:r>
                </w:p>
              </w:tc>
              <w:tc>
                <w:tcPr>
                  <w:tcW w:w="1203"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油性漆</w:t>
                  </w:r>
                </w:p>
              </w:tc>
              <w:tc>
                <w:tcPr>
                  <w:tcW w:w="1711"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4500</w:t>
                  </w:r>
                </w:p>
              </w:tc>
              <w:tc>
                <w:tcPr>
                  <w:tcW w:w="1723"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0.966 </w:t>
                  </w:r>
                </w:p>
              </w:tc>
              <w:tc>
                <w:tcPr>
                  <w:tcW w:w="2095" w:type="dxa"/>
                  <w:vMerge w:val="restar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Merge w:val="continue"/>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697" w:type="dxa"/>
                  <w:vMerge w:val="continue"/>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1203"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水性漆</w:t>
                  </w:r>
                </w:p>
              </w:tc>
              <w:tc>
                <w:tcPr>
                  <w:tcW w:w="1711"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40500</w:t>
                  </w:r>
                </w:p>
              </w:tc>
              <w:tc>
                <w:tcPr>
                  <w:tcW w:w="1723"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5.305 </w:t>
                  </w:r>
                </w:p>
              </w:tc>
              <w:tc>
                <w:tcPr>
                  <w:tcW w:w="2095" w:type="dxa"/>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43" w:type="dxa"/>
                  <w:vMerge w:val="restart"/>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2#喷漆房</w:t>
                  </w:r>
                </w:p>
              </w:tc>
              <w:tc>
                <w:tcPr>
                  <w:tcW w:w="697" w:type="dxa"/>
                  <w:vMerge w:val="restart"/>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面漆</w:t>
                  </w:r>
                </w:p>
              </w:tc>
              <w:tc>
                <w:tcPr>
                  <w:tcW w:w="1203" w:type="dxa"/>
                  <w:vAlign w:val="center"/>
                </w:tcPr>
                <w:p>
                  <w:pPr>
                    <w:widowControl/>
                    <w:jc w:val="center"/>
                    <w:textAlignment w:val="center"/>
                    <w:rPr>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油性漆</w:t>
                  </w:r>
                </w:p>
              </w:tc>
              <w:tc>
                <w:tcPr>
                  <w:tcW w:w="1711"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2250</w:t>
                  </w:r>
                </w:p>
              </w:tc>
              <w:tc>
                <w:tcPr>
                  <w:tcW w:w="1723"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0.672 </w:t>
                  </w:r>
                </w:p>
              </w:tc>
              <w:tc>
                <w:tcPr>
                  <w:tcW w:w="2095" w:type="dxa"/>
                  <w:vMerge w:val="restar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Merge w:val="continue"/>
                  <w:vAlign w:val="center"/>
                </w:tcPr>
                <w:p>
                  <w:pPr>
                    <w:pStyle w:val="28"/>
                    <w:spacing w:before="0" w:beforeAutospacing="0" w:after="0" w:afterAutospacing="0" w:line="360" w:lineRule="auto"/>
                    <w:jc w:val="center"/>
                    <w:rPr>
                      <w:rFonts w:ascii="Times New Roman" w:hAnsi="Times New Roman"/>
                      <w:color w:val="000000" w:themeColor="text1"/>
                      <w14:textFill>
                        <w14:solidFill>
                          <w14:schemeClr w14:val="tx1"/>
                        </w14:solidFill>
                      </w14:textFill>
                    </w:rPr>
                  </w:pPr>
                </w:p>
              </w:tc>
              <w:tc>
                <w:tcPr>
                  <w:tcW w:w="697" w:type="dxa"/>
                  <w:vMerge w:val="continue"/>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1203" w:type="dxa"/>
                  <w:vAlign w:val="center"/>
                </w:tcPr>
                <w:p>
                  <w:pPr>
                    <w:widowControl/>
                    <w:jc w:val="center"/>
                    <w:textAlignment w:val="center"/>
                    <w:rPr>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水性漆</w:t>
                  </w:r>
                </w:p>
              </w:tc>
              <w:tc>
                <w:tcPr>
                  <w:tcW w:w="1711"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20250</w:t>
                  </w:r>
                </w:p>
              </w:tc>
              <w:tc>
                <w:tcPr>
                  <w:tcW w:w="1723"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5.195 </w:t>
                  </w:r>
                </w:p>
              </w:tc>
              <w:tc>
                <w:tcPr>
                  <w:tcW w:w="2095" w:type="dxa"/>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Merge w:val="restart"/>
                  <w:vAlign w:val="center"/>
                </w:tcPr>
                <w:p>
                  <w:pPr>
                    <w:pStyle w:val="28"/>
                    <w:spacing w:before="0" w:beforeAutospacing="0" w:after="0" w:afterAutospacing="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3#喷漆房</w:t>
                  </w:r>
                </w:p>
              </w:tc>
              <w:tc>
                <w:tcPr>
                  <w:tcW w:w="697" w:type="dxa"/>
                  <w:vMerge w:val="restart"/>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面漆</w:t>
                  </w:r>
                </w:p>
              </w:tc>
              <w:tc>
                <w:tcPr>
                  <w:tcW w:w="1203" w:type="dxa"/>
                  <w:vAlign w:val="center"/>
                </w:tcPr>
                <w:p>
                  <w:pPr>
                    <w:widowControl/>
                    <w:jc w:val="center"/>
                    <w:textAlignment w:val="center"/>
                    <w:rPr>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油性漆</w:t>
                  </w:r>
                </w:p>
              </w:tc>
              <w:tc>
                <w:tcPr>
                  <w:tcW w:w="1711"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2250</w:t>
                  </w:r>
                </w:p>
              </w:tc>
              <w:tc>
                <w:tcPr>
                  <w:tcW w:w="1723"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0.672 </w:t>
                  </w:r>
                </w:p>
              </w:tc>
              <w:tc>
                <w:tcPr>
                  <w:tcW w:w="2095" w:type="dxa"/>
                  <w:vMerge w:val="restar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Merge w:val="continue"/>
                  <w:vAlign w:val="center"/>
                </w:tcPr>
                <w:p>
                  <w:pPr>
                    <w:pStyle w:val="28"/>
                    <w:spacing w:before="0" w:beforeAutospacing="0" w:after="0" w:afterAutospacing="0" w:line="360" w:lineRule="auto"/>
                    <w:jc w:val="center"/>
                    <w:rPr>
                      <w:rFonts w:ascii="Times New Roman" w:hAnsi="Times New Roman"/>
                      <w:color w:val="000000" w:themeColor="text1"/>
                      <w14:textFill>
                        <w14:solidFill>
                          <w14:schemeClr w14:val="tx1"/>
                        </w14:solidFill>
                      </w14:textFill>
                    </w:rPr>
                  </w:pPr>
                </w:p>
              </w:tc>
              <w:tc>
                <w:tcPr>
                  <w:tcW w:w="697" w:type="dxa"/>
                  <w:vMerge w:val="continue"/>
                  <w:vAlign w:val="center"/>
                </w:tcPr>
                <w:p>
                  <w:pPr>
                    <w:pStyle w:val="28"/>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1203" w:type="dxa"/>
                  <w:vAlign w:val="center"/>
                </w:tcPr>
                <w:p>
                  <w:pPr>
                    <w:widowControl/>
                    <w:jc w:val="center"/>
                    <w:textAlignment w:val="center"/>
                    <w:rPr>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水性漆</w:t>
                  </w:r>
                </w:p>
              </w:tc>
              <w:tc>
                <w:tcPr>
                  <w:tcW w:w="1711" w:type="dxa"/>
                  <w:vAlign w:val="center"/>
                </w:tcPr>
                <w:p>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20250</w:t>
                  </w:r>
                </w:p>
              </w:tc>
              <w:tc>
                <w:tcPr>
                  <w:tcW w:w="1723"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5.195 </w:t>
                  </w:r>
                </w:p>
              </w:tc>
              <w:tc>
                <w:tcPr>
                  <w:tcW w:w="2095" w:type="dxa"/>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r>
          </w:tbl>
          <w:p>
            <w:pPr>
              <w:pStyle w:val="12"/>
              <w:snapToGrid/>
              <w:spacing w:before="0" w:after="0" w:line="240" w:lineRule="auto"/>
              <w:ind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表4-13    油漆种类的用量一览表</w:t>
            </w:r>
          </w:p>
          <w:tbl>
            <w:tblPr>
              <w:tblStyle w:val="32"/>
              <w:tblW w:w="81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9"/>
              <w:gridCol w:w="795"/>
              <w:gridCol w:w="945"/>
              <w:gridCol w:w="795"/>
              <w:gridCol w:w="960"/>
              <w:gridCol w:w="945"/>
              <w:gridCol w:w="975"/>
              <w:gridCol w:w="840"/>
              <w:gridCol w:w="815"/>
              <w:gridCol w:w="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油漆种类</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用量</w:t>
                  </w:r>
                  <w:r>
                    <w:rPr>
                      <w:rFonts w:hint="default" w:ascii="Times New Roman" w:hAnsi="Times New Roman" w:eastAsia="宋体" w:cs="Times New Roman"/>
                      <w:i w:val="0"/>
                      <w:iCs w:val="0"/>
                      <w:color w:val="000000"/>
                      <w:kern w:val="0"/>
                      <w:sz w:val="21"/>
                      <w:szCs w:val="21"/>
                      <w:u w:val="none"/>
                      <w:lang w:val="en-US" w:eastAsia="zh-CN" w:bidi="ar"/>
                    </w:rPr>
                    <w:t>t/a</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VOCs</w:t>
                  </w:r>
                  <w:r>
                    <w:rPr>
                      <w:rFonts w:hint="eastAsia" w:ascii="宋体" w:hAnsi="宋体" w:eastAsia="宋体" w:cs="宋体"/>
                      <w:i w:val="0"/>
                      <w:iCs w:val="0"/>
                      <w:color w:val="000000"/>
                      <w:kern w:val="0"/>
                      <w:sz w:val="21"/>
                      <w:szCs w:val="21"/>
                      <w:u w:val="none"/>
                      <w:lang w:val="en-US" w:eastAsia="zh-CN" w:bidi="ar"/>
                    </w:rPr>
                    <w:t>含量</w:t>
                  </w:r>
                  <w:r>
                    <w:rPr>
                      <w:rFonts w:hint="default" w:ascii="Times New Roman" w:hAnsi="Times New Roman" w:eastAsia="宋体" w:cs="Times New Roman"/>
                      <w:i w:val="0"/>
                      <w:iCs w:val="0"/>
                      <w:color w:val="000000"/>
                      <w:kern w:val="0"/>
                      <w:sz w:val="21"/>
                      <w:szCs w:val="21"/>
                      <w:u w:val="none"/>
                      <w:lang w:val="en-US" w:eastAsia="zh-CN" w:bidi="ar"/>
                    </w:rPr>
                    <w:t>t/a</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r>
                    <w:rPr>
                      <w:rFonts w:hint="default" w:ascii="Times New Roman" w:hAnsi="Times New Roman" w:eastAsia="宋体" w:cs="Times New Roman"/>
                      <w:i w:val="0"/>
                      <w:iCs w:val="0"/>
                      <w:color w:val="000000"/>
                      <w:kern w:val="0"/>
                      <w:sz w:val="21"/>
                      <w:szCs w:val="21"/>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苯系物含量</w:t>
                  </w:r>
                  <w:r>
                    <w:rPr>
                      <w:rFonts w:hint="default" w:ascii="Times New Roman" w:hAnsi="Times New Roman" w:eastAsia="宋体" w:cs="Times New Roman"/>
                      <w:i w:val="0"/>
                      <w:iCs w:val="0"/>
                      <w:color w:val="000000"/>
                      <w:kern w:val="0"/>
                      <w:sz w:val="21"/>
                      <w:szCs w:val="21"/>
                      <w:u w:val="none"/>
                      <w:lang w:val="en-US" w:eastAsia="zh-CN" w:bidi="ar"/>
                    </w:rPr>
                    <w:t>t/a</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固体份</w:t>
                  </w:r>
                  <w:r>
                    <w:rPr>
                      <w:rFonts w:hint="default" w:ascii="Times New Roman" w:hAnsi="Times New Roman" w:eastAsia="宋体" w:cs="Times New Roman"/>
                      <w:i w:val="0"/>
                      <w:iCs w:val="0"/>
                      <w:color w:val="000000"/>
                      <w:kern w:val="0"/>
                      <w:sz w:val="21"/>
                      <w:szCs w:val="21"/>
                      <w:u w:val="none"/>
                      <w:lang w:val="en-US" w:eastAsia="zh-CN" w:bidi="ar"/>
                    </w:rPr>
                    <w:t>%</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固体含量</w:t>
                  </w:r>
                  <w:r>
                    <w:rPr>
                      <w:rFonts w:hint="default" w:ascii="Times New Roman" w:hAnsi="Times New Roman" w:eastAsia="宋体" w:cs="Times New Roman"/>
                      <w:i w:val="0"/>
                      <w:iCs w:val="0"/>
                      <w:color w:val="000000"/>
                      <w:kern w:val="0"/>
                      <w:sz w:val="21"/>
                      <w:szCs w:val="21"/>
                      <w:u w:val="none"/>
                      <w:lang w:val="en-US" w:eastAsia="zh-CN" w:bidi="ar"/>
                    </w:rPr>
                    <w:t>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喷漆房</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油性底漆</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底漆</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0.483 </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0.535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0.258 </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0.102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0.049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0.465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稀释剂</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0.242 </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1.000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0.242 </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0.300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0.072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固化剂</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0.242 </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0.300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0.072 </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0.700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水性底漆</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4.244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0.007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0.030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0.680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2.886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固化剂</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1.061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0.250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0.265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0.750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1#喷漆房合计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0.867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0.122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4.076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喷漆房</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油性面漆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0.336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0.435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0.146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0.186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0.063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0.565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稀释剂</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0.168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1.000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0.168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0.300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0.050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固化剂</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0.121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0.300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0.700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水性面漆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3.896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0.072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0.281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0.506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固化剂</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1.299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0.250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0.325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0.750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0.974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2#喷漆房合计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0.956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0.113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喷漆房</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油性面漆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0.336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0.435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0.146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0.186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0.063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0.565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稀释剂</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0.168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1.000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0.168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0.300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0.050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固化剂</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0.121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0.300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0.700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水性面漆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3.896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0.072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0.281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0.506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固化剂</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1.299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0.250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0.325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0.750 </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0.974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3#喷漆房合计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0.956 </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0.113 </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3.220 </w:t>
                  </w:r>
                </w:p>
              </w:tc>
            </w:tr>
          </w:tbl>
          <w:p>
            <w:pPr>
              <w:pStyle w:val="28"/>
              <w:spacing w:before="0" w:beforeAutospacing="0" w:after="0" w:afterAutospacing="0" w:line="360" w:lineRule="auto"/>
              <w:ind w:firstLine="482" w:firstLineChars="200"/>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②</w:t>
            </w:r>
            <w:r>
              <w:rPr>
                <w:rFonts w:ascii="Times New Roman" w:hAnsi="Times New Roman"/>
                <w:b/>
                <w:bCs/>
                <w:color w:val="000000" w:themeColor="text1"/>
                <w14:textFill>
                  <w14:solidFill>
                    <w14:schemeClr w14:val="tx1"/>
                  </w14:solidFill>
                </w14:textFill>
              </w:rPr>
              <w:t>风量核算</w:t>
            </w:r>
          </w:p>
          <w:p>
            <w:pPr>
              <w:pStyle w:val="28"/>
              <w:spacing w:before="0" w:beforeAutospacing="0" w:after="0" w:afterAutospacing="0" w:line="360" w:lineRule="auto"/>
              <w:ind w:firstLine="48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本项目设置3个喷漆房，3个晾干房，根据各房间大小以及换气次数，核算风量见下表。</w:t>
            </w:r>
          </w:p>
          <w:p>
            <w:pPr>
              <w:pStyle w:val="12"/>
              <w:snapToGrid/>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14:textFill>
                  <w14:solidFill>
                    <w14:schemeClr w14:val="tx1"/>
                  </w14:solidFill>
                </w14:textFill>
              </w:rPr>
              <w:t>14</w:t>
            </w:r>
            <w:r>
              <w:rPr>
                <w:b/>
                <w:bCs/>
                <w:color w:val="000000" w:themeColor="text1"/>
                <w:sz w:val="21"/>
                <w:szCs w:val="21"/>
                <w14:textFill>
                  <w14:solidFill>
                    <w14:schemeClr w14:val="tx1"/>
                  </w14:solidFill>
                </w14:textFill>
              </w:rPr>
              <w:t xml:space="preserve">   各油漆房风量核算表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2044"/>
              <w:gridCol w:w="1635"/>
              <w:gridCol w:w="1635"/>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2044"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w:t>
                  </w:r>
                </w:p>
              </w:tc>
              <w:tc>
                <w:tcPr>
                  <w:tcW w:w="1635"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大小尺寸（m）</w:t>
                  </w:r>
                </w:p>
              </w:tc>
              <w:tc>
                <w:tcPr>
                  <w:tcW w:w="1635"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换气次数</w:t>
                  </w:r>
                </w:p>
              </w:tc>
              <w:tc>
                <w:tcPr>
                  <w:tcW w:w="1635"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风量（m3/h）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044"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Fonts w:hint="eastAsia" w:ascii="宋体" w:hAnsi="宋体" w:cs="宋体"/>
                      <w:color w:val="000000" w:themeColor="text1"/>
                      <w:kern w:val="0"/>
                      <w:szCs w:val="21"/>
                      <w:lang w:bidi="ar"/>
                      <w14:textFill>
                        <w14:solidFill>
                          <w14:schemeClr w14:val="tx1"/>
                        </w14:solidFill>
                      </w14:textFill>
                    </w:rPr>
                    <w:t>喷漆房</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9*6*3.2</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044"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Fonts w:hint="eastAsia" w:ascii="宋体" w:hAnsi="宋体" w:cs="宋体"/>
                      <w:color w:val="000000" w:themeColor="text1"/>
                      <w:kern w:val="0"/>
                      <w:szCs w:val="21"/>
                      <w:lang w:bidi="ar"/>
                      <w14:textFill>
                        <w14:solidFill>
                          <w14:schemeClr w14:val="tx1"/>
                        </w14:solidFill>
                      </w14:textFill>
                    </w:rPr>
                    <w:t>喷漆房</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9*6*3.2</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2044"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bidi="ar"/>
                      <w14:textFill>
                        <w14:solidFill>
                          <w14:schemeClr w14:val="tx1"/>
                        </w14:solidFill>
                      </w14:textFill>
                    </w:rPr>
                    <w:t>喷漆房</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9*6*3.2</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204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1#晾干房</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14*9*3.2</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204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2#晾干房</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14*9*3.2</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204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3#晾干房</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14*9*3.2</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204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6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6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63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27648</w:t>
                  </w:r>
                </w:p>
              </w:tc>
            </w:tr>
          </w:tbl>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根据上表核算风量可知，本项目油漆房最大风量为27648m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/h，考虑到一些不可预见情形，本项目将设置一台30000m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/h的风机。</w:t>
            </w:r>
          </w:p>
          <w:p>
            <w:pPr>
              <w:pStyle w:val="28"/>
              <w:spacing w:before="0" w:beforeAutospacing="0" w:after="0" w:afterAutospacing="0" w:line="360" w:lineRule="auto"/>
              <w:ind w:firstLine="482" w:firstLineChars="200"/>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③污染物产排污核算</w:t>
            </w:r>
          </w:p>
          <w:p>
            <w:pPr>
              <w:pStyle w:val="28"/>
              <w:spacing w:before="0" w:beforeAutospacing="0" w:after="0" w:afterAutospacing="0" w:line="360" w:lineRule="auto"/>
              <w:ind w:firstLine="48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主要污染源有1-3#喷漆房喷涂时产生的有机废气、1-3#晾干房在晾干时产生的有机废气，晾干房产生的废气包括水性漆、油性漆中所含废气，还包括腻子粉中所含有机废气成分，根据腻子粉成分分析报告，挥发性有机物含量为3.7%，平均分布在三个晾干室内，参考《污染源源强核算技术指南 汽车制造》附录E喷漆工序占有机废气比例为80%，晾干占20%。</w:t>
            </w:r>
          </w:p>
          <w:p>
            <w:pPr>
              <w:pStyle w:val="28"/>
              <w:spacing w:before="0" w:beforeAutospacing="0" w:after="0" w:afterAutospacing="0" w:line="360" w:lineRule="auto"/>
              <w:ind w:firstLine="480" w:firstLineChars="200"/>
              <w:rPr>
                <w:rFonts w:ascii="Times New Roman" w:hAnsi="Times New Roman"/>
                <w:color w:val="000000" w:themeColor="text1"/>
                <w:szCs w:val="24"/>
                <w:u w:val="single"/>
                <w14:textFill>
                  <w14:solidFill>
                    <w14:schemeClr w14:val="tx1"/>
                  </w14:solidFill>
                </w14:textFill>
              </w:rPr>
            </w:pPr>
            <w:r>
              <w:rPr>
                <w:rFonts w:hint="eastAsia" w:ascii="Times New Roman" w:hAnsi="Times New Roman"/>
                <w:color w:val="000000" w:themeColor="text1"/>
                <w:u w:val="single"/>
                <w14:textFill>
                  <w14:solidFill>
                    <w14:schemeClr w14:val="tx1"/>
                  </w14:solidFill>
                </w14:textFill>
              </w:rPr>
              <w:t>设置喷漆房和晾干房为密闭房间，房内形成微负压，根据《主要污染物总量减排核算技术指南》单层密闭负压收集，收集效率可达90%，处理工艺为“水帘柜+过滤棉+旋转式分子筛吸附-脱附+RCO催化燃烧”，</w:t>
            </w:r>
            <w:r>
              <w:rPr>
                <w:rFonts w:hint="eastAsia" w:ascii="Times New Roman" w:hAnsi="Times New Roman"/>
                <w:color w:val="000000" w:themeColor="text1"/>
                <w:u w:val="single"/>
                <w:lang w:val="en-US" w:eastAsia="zh-CN"/>
                <w14:textFill>
                  <w14:solidFill>
                    <w14:schemeClr w14:val="tx1"/>
                  </w14:solidFill>
                </w14:textFill>
              </w:rPr>
              <w:t>参考《211木质家具制造行业系数手册》</w:t>
            </w:r>
            <w:r>
              <w:rPr>
                <w:rFonts w:hint="eastAsia" w:ascii="Times New Roman" w:hAnsi="Times New Roman"/>
                <w:color w:val="000000" w:themeColor="text1"/>
                <w:u w:val="single"/>
                <w14:textFill>
                  <w14:solidFill>
                    <w14:schemeClr w14:val="tx1"/>
                  </w14:solidFill>
                </w14:textFill>
              </w:rPr>
              <w:t>水帘柜</w:t>
            </w:r>
            <w:r>
              <w:rPr>
                <w:rFonts w:hint="eastAsia" w:ascii="Times New Roman" w:hAnsi="Times New Roman"/>
                <w:color w:val="000000" w:themeColor="text1"/>
                <w:u w:val="single"/>
                <w:lang w:eastAsia="zh-CN"/>
                <w14:textFill>
                  <w14:solidFill>
                    <w14:schemeClr w14:val="tx1"/>
                  </w14:solidFill>
                </w14:textFill>
              </w:rPr>
              <w:t>（</w:t>
            </w:r>
            <w:r>
              <w:rPr>
                <w:rFonts w:hint="eastAsia" w:ascii="Times New Roman" w:hAnsi="Times New Roman"/>
                <w:color w:val="000000" w:themeColor="text1"/>
                <w:u w:val="single"/>
                <w:lang w:val="en-US" w:eastAsia="zh-CN"/>
                <w14:textFill>
                  <w14:solidFill>
                    <w14:schemeClr w14:val="tx1"/>
                  </w14:solidFill>
                </w14:textFill>
              </w:rPr>
              <w:t xml:space="preserve"> 湿法除尘处理效率80%</w:t>
            </w:r>
            <w:r>
              <w:rPr>
                <w:rFonts w:hint="eastAsia" w:ascii="Times New Roman" w:hAnsi="Times New Roman"/>
                <w:color w:val="000000" w:themeColor="text1"/>
                <w:u w:val="single"/>
                <w:lang w:eastAsia="zh-CN"/>
                <w14:textFill>
                  <w14:solidFill>
                    <w14:schemeClr w14:val="tx1"/>
                  </w14:solidFill>
                </w14:textFill>
              </w:rPr>
              <w:t>）</w:t>
            </w:r>
            <w:r>
              <w:rPr>
                <w:rFonts w:hint="eastAsia" w:ascii="Times New Roman" w:hAnsi="Times New Roman"/>
                <w:color w:val="000000" w:themeColor="text1"/>
                <w:u w:val="single"/>
                <w14:textFill>
                  <w14:solidFill>
                    <w14:schemeClr w14:val="tx1"/>
                  </w14:solidFill>
                </w14:textFill>
              </w:rPr>
              <w:t>+过滤棉</w:t>
            </w:r>
            <w:r>
              <w:rPr>
                <w:rFonts w:hint="eastAsia" w:ascii="Times New Roman" w:hAnsi="Times New Roman"/>
                <w:color w:val="000000" w:themeColor="text1"/>
                <w:u w:val="single"/>
                <w:lang w:eastAsia="zh-CN"/>
                <w14:textFill>
                  <w14:solidFill>
                    <w14:schemeClr w14:val="tx1"/>
                  </w14:solidFill>
                </w14:textFill>
              </w:rPr>
              <w:t>（</w:t>
            </w:r>
            <w:r>
              <w:rPr>
                <w:rFonts w:hint="eastAsia" w:ascii="Times New Roman" w:hAnsi="Times New Roman"/>
                <w:color w:val="000000" w:themeColor="text1"/>
                <w:u w:val="single"/>
                <w:lang w:val="en-US" w:eastAsia="zh-CN"/>
                <w14:textFill>
                  <w14:solidFill>
                    <w14:schemeClr w14:val="tx1"/>
                  </w14:solidFill>
                </w14:textFill>
              </w:rPr>
              <w:t>化学纤维过滤处理效率取80%</w:t>
            </w:r>
            <w:r>
              <w:rPr>
                <w:rFonts w:hint="eastAsia" w:ascii="Times New Roman" w:hAnsi="Times New Roman"/>
                <w:color w:val="000000" w:themeColor="text1"/>
                <w:u w:val="single"/>
                <w:lang w:eastAsia="zh-CN"/>
                <w14:textFill>
                  <w14:solidFill>
                    <w14:schemeClr w14:val="tx1"/>
                  </w14:solidFill>
                </w14:textFill>
              </w:rPr>
              <w:t>）</w:t>
            </w:r>
            <w:r>
              <w:rPr>
                <w:rFonts w:hint="eastAsia" w:ascii="Times New Roman" w:hAnsi="Times New Roman"/>
                <w:color w:val="000000" w:themeColor="text1"/>
                <w:u w:val="single"/>
                <w14:textFill>
                  <w14:solidFill>
                    <w14:schemeClr w14:val="tx1"/>
                  </w14:solidFill>
                </w14:textFill>
              </w:rPr>
              <w:t>对漆雾的</w:t>
            </w:r>
            <w:r>
              <w:rPr>
                <w:rFonts w:hint="eastAsia" w:ascii="Times New Roman" w:hAnsi="Times New Roman"/>
                <w:color w:val="000000" w:themeColor="text1"/>
                <w:u w:val="single"/>
                <w:lang w:val="en-US" w:eastAsia="zh-CN"/>
                <w14:textFill>
                  <w14:solidFill>
                    <w14:schemeClr w14:val="tx1"/>
                  </w14:solidFill>
                </w14:textFill>
              </w:rPr>
              <w:t>综合</w:t>
            </w:r>
            <w:r>
              <w:rPr>
                <w:rFonts w:hint="eastAsia" w:ascii="Times New Roman" w:hAnsi="Times New Roman"/>
                <w:color w:val="000000" w:themeColor="text1"/>
                <w:u w:val="single"/>
                <w14:textFill>
                  <w14:solidFill>
                    <w14:schemeClr w14:val="tx1"/>
                  </w14:solidFill>
                </w14:textFill>
              </w:rPr>
              <w:t>处理效率为9</w:t>
            </w:r>
            <w:r>
              <w:rPr>
                <w:rFonts w:hint="eastAsia" w:ascii="Times New Roman" w:hAnsi="Times New Roman"/>
                <w:color w:val="000000" w:themeColor="text1"/>
                <w:u w:val="single"/>
                <w:lang w:val="en-US" w:eastAsia="zh-CN"/>
                <w14:textFill>
                  <w14:solidFill>
                    <w14:schemeClr w14:val="tx1"/>
                  </w14:solidFill>
                </w14:textFill>
              </w:rPr>
              <w:t>6</w:t>
            </w:r>
            <w:r>
              <w:rPr>
                <w:rFonts w:hint="eastAsia" w:ascii="Times New Roman" w:hAnsi="Times New Roman"/>
                <w:color w:val="000000" w:themeColor="text1"/>
                <w:u w:val="single"/>
                <w14:textFill>
                  <w14:solidFill>
                    <w14:schemeClr w14:val="tx1"/>
                  </w14:solidFill>
                </w14:textFill>
              </w:rPr>
              <w:t>%，</w:t>
            </w:r>
            <w:r>
              <w:rPr>
                <w:rFonts w:hint="eastAsia" w:ascii="Times New Roman" w:hAnsi="Times New Roman"/>
                <w:color w:val="000000" w:themeColor="text1"/>
                <w:u w:val="single"/>
                <w:lang w:val="en-US" w:eastAsia="zh-CN"/>
                <w14:textFill>
                  <w14:solidFill>
                    <w14:schemeClr w14:val="tx1"/>
                  </w14:solidFill>
                </w14:textFill>
              </w:rPr>
              <w:t>参考</w:t>
            </w:r>
            <w:r>
              <w:rPr>
                <w:rFonts w:hint="default" w:ascii="Times New Roman" w:hAnsi="Times New Roman" w:cs="Times New Roman"/>
                <w:color w:val="000000" w:themeColor="text1"/>
                <w:sz w:val="24"/>
                <w:u w:val="single"/>
                <w14:textFill>
                  <w14:solidFill>
                    <w14:schemeClr w14:val="tx1"/>
                  </w14:solidFill>
                </w14:textFill>
              </w:rPr>
              <w:t>《污染源源强核算技术指南 汽车制造》HJ 1097-2020</w:t>
            </w:r>
            <w:r>
              <w:rPr>
                <w:rFonts w:hint="eastAsia" w:ascii="Times New Roman" w:hAnsi="Times New Roman" w:cs="Times New Roman"/>
                <w:color w:val="000000" w:themeColor="text1"/>
                <w:sz w:val="24"/>
                <w:u w:val="single"/>
                <w:lang w:val="en-US" w:eastAsia="zh-CN"/>
                <w14:textFill>
                  <w14:solidFill>
                    <w14:schemeClr w14:val="tx1"/>
                  </w14:solidFill>
                </w14:textFill>
              </w:rPr>
              <w:t>表F.1废气污染治理技术及去除效率一览表</w:t>
            </w:r>
            <w:r>
              <w:rPr>
                <w:rFonts w:hint="eastAsia" w:ascii="Times New Roman" w:hAnsi="Times New Roman"/>
                <w:color w:val="000000" w:themeColor="text1"/>
                <w:u w:val="single"/>
                <w14:textFill>
                  <w14:solidFill>
                    <w14:schemeClr w14:val="tx1"/>
                  </w14:solidFill>
                </w14:textFill>
              </w:rPr>
              <w:t>“吸附-脱附-催化燃烧”处理效率</w:t>
            </w:r>
            <w:r>
              <w:rPr>
                <w:rFonts w:hint="eastAsia" w:ascii="Times New Roman" w:hAnsi="Times New Roman"/>
                <w:color w:val="000000" w:themeColor="text1"/>
                <w:u w:val="single"/>
                <w:lang w:val="en-US" w:eastAsia="zh-CN"/>
                <w14:textFill>
                  <w14:solidFill>
                    <w14:schemeClr w14:val="tx1"/>
                  </w14:solidFill>
                </w14:textFill>
              </w:rPr>
              <w:t>可达90</w:t>
            </w:r>
            <w:r>
              <w:rPr>
                <w:rFonts w:hint="eastAsia" w:ascii="Times New Roman" w:hAnsi="Times New Roman"/>
                <w:color w:val="000000" w:themeColor="text1"/>
                <w:u w:val="single"/>
                <w14:textFill>
                  <w14:solidFill>
                    <w14:schemeClr w14:val="tx1"/>
                  </w14:solidFill>
                </w14:textFill>
              </w:rPr>
              <w:t>%。</w:t>
            </w:r>
            <w:r>
              <w:rPr>
                <w:rFonts w:hint="eastAsia" w:ascii="Times New Roman" w:hAnsi="Times New Roman"/>
                <w:color w:val="000000" w:themeColor="text1"/>
                <w:szCs w:val="24"/>
                <w:u w:val="single"/>
                <w14:textFill>
                  <w14:solidFill>
                    <w14:schemeClr w14:val="tx1"/>
                  </w14:solidFill>
                </w14:textFill>
              </w:rPr>
              <w:t>具体产排污见下表</w:t>
            </w:r>
          </w:p>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表4-15    喷漆房、晾干房产污核算表</w:t>
            </w:r>
          </w:p>
          <w:tbl>
            <w:tblPr>
              <w:tblStyle w:val="32"/>
              <w:tblW w:w="8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855"/>
              <w:gridCol w:w="1038"/>
              <w:gridCol w:w="915"/>
              <w:gridCol w:w="1410"/>
              <w:gridCol w:w="1353"/>
              <w:gridCol w:w="882"/>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5" w:type="dxa"/>
                  <w:vMerge w:val="restart"/>
                  <w:noWrap/>
                  <w:vAlign w:val="center"/>
                </w:tcPr>
                <w:p>
                  <w:pPr>
                    <w:widowControl/>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污染源</w:t>
                  </w:r>
                </w:p>
              </w:tc>
              <w:tc>
                <w:tcPr>
                  <w:tcW w:w="855" w:type="dxa"/>
                  <w:vMerge w:val="restart"/>
                  <w:noWrap/>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污染因子</w:t>
                  </w:r>
                </w:p>
              </w:tc>
              <w:tc>
                <w:tcPr>
                  <w:tcW w:w="1038" w:type="dxa"/>
                  <w:vMerge w:val="restart"/>
                  <w:noWrap/>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产生量</w:t>
                  </w:r>
                  <w:r>
                    <w:rPr>
                      <w:rFonts w:hint="eastAsia"/>
                      <w:b/>
                      <w:bCs/>
                      <w:color w:val="000000" w:themeColor="text1"/>
                      <w:kern w:val="0"/>
                      <w:szCs w:val="21"/>
                      <w:lang w:bidi="ar"/>
                      <w14:textFill>
                        <w14:solidFill>
                          <w14:schemeClr w14:val="tx1"/>
                        </w14:solidFill>
                      </w14:textFill>
                    </w:rPr>
                    <w:t>t/a</w:t>
                  </w:r>
                </w:p>
              </w:tc>
              <w:tc>
                <w:tcPr>
                  <w:tcW w:w="3678" w:type="dxa"/>
                  <w:gridSpan w:val="3"/>
                  <w:noWrap/>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有组织</w:t>
                  </w:r>
                </w:p>
              </w:tc>
              <w:tc>
                <w:tcPr>
                  <w:tcW w:w="1896" w:type="dxa"/>
                  <w:gridSpan w:val="2"/>
                  <w:noWrap/>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continue"/>
                  <w:noWrap/>
                  <w:vAlign w:val="center"/>
                </w:tcPr>
                <w:p>
                  <w:pPr>
                    <w:widowControl/>
                    <w:jc w:val="center"/>
                    <w:rPr>
                      <w:b/>
                      <w:bCs/>
                      <w:color w:val="000000" w:themeColor="text1"/>
                      <w:szCs w:val="21"/>
                      <w14:textFill>
                        <w14:solidFill>
                          <w14:schemeClr w14:val="tx1"/>
                        </w14:solidFill>
                      </w14:textFill>
                    </w:rPr>
                  </w:pPr>
                </w:p>
              </w:tc>
              <w:tc>
                <w:tcPr>
                  <w:tcW w:w="855" w:type="dxa"/>
                  <w:vMerge w:val="continue"/>
                  <w:noWrap/>
                  <w:vAlign w:val="center"/>
                </w:tcPr>
                <w:p>
                  <w:pPr>
                    <w:widowControl/>
                    <w:jc w:val="center"/>
                    <w:rPr>
                      <w:b/>
                      <w:bCs/>
                      <w:color w:val="000000" w:themeColor="text1"/>
                      <w:szCs w:val="21"/>
                      <w14:textFill>
                        <w14:solidFill>
                          <w14:schemeClr w14:val="tx1"/>
                        </w14:solidFill>
                      </w14:textFill>
                    </w:rPr>
                  </w:pPr>
                </w:p>
              </w:tc>
              <w:tc>
                <w:tcPr>
                  <w:tcW w:w="1038" w:type="dxa"/>
                  <w:vMerge w:val="continue"/>
                  <w:noWrap/>
                  <w:vAlign w:val="center"/>
                </w:tcPr>
                <w:p>
                  <w:pPr>
                    <w:widowControl/>
                    <w:jc w:val="center"/>
                    <w:rPr>
                      <w:b/>
                      <w:bCs/>
                      <w:color w:val="000000" w:themeColor="text1"/>
                      <w:szCs w:val="21"/>
                      <w14:textFill>
                        <w14:solidFill>
                          <w14:schemeClr w14:val="tx1"/>
                        </w14:solidFill>
                      </w14:textFill>
                    </w:rPr>
                  </w:pPr>
                </w:p>
              </w:tc>
              <w:tc>
                <w:tcPr>
                  <w:tcW w:w="915" w:type="dxa"/>
                  <w:noWrap/>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产生量</w:t>
                  </w:r>
                  <w:r>
                    <w:rPr>
                      <w:rFonts w:hint="eastAsia"/>
                      <w:b/>
                      <w:bCs/>
                      <w:color w:val="000000" w:themeColor="text1"/>
                      <w:kern w:val="0"/>
                      <w:szCs w:val="21"/>
                      <w:lang w:bidi="ar"/>
                      <w14:textFill>
                        <w14:solidFill>
                          <w14:schemeClr w14:val="tx1"/>
                        </w14:solidFill>
                      </w14:textFill>
                    </w:rPr>
                    <w:t>t/a</w:t>
                  </w:r>
                </w:p>
              </w:tc>
              <w:tc>
                <w:tcPr>
                  <w:tcW w:w="1410" w:type="dxa"/>
                  <w:noWrap/>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产生速率kg/h</w:t>
                  </w:r>
                </w:p>
              </w:tc>
              <w:tc>
                <w:tcPr>
                  <w:tcW w:w="1353" w:type="dxa"/>
                  <w:noWrap/>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产生浓度mg/m</w:t>
                  </w:r>
                  <w:r>
                    <w:rPr>
                      <w:b/>
                      <w:bCs/>
                      <w:color w:val="000000" w:themeColor="text1"/>
                      <w:kern w:val="0"/>
                      <w:szCs w:val="21"/>
                      <w:vertAlign w:val="superscript"/>
                      <w:lang w:bidi="ar"/>
                      <w14:textFill>
                        <w14:solidFill>
                          <w14:schemeClr w14:val="tx1"/>
                        </w14:solidFill>
                      </w14:textFill>
                    </w:rPr>
                    <w:t>3</w:t>
                  </w:r>
                </w:p>
              </w:tc>
              <w:tc>
                <w:tcPr>
                  <w:tcW w:w="882" w:type="dxa"/>
                  <w:noWrap/>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产生量t/a</w:t>
                  </w:r>
                </w:p>
              </w:tc>
              <w:tc>
                <w:tcPr>
                  <w:tcW w:w="1014" w:type="dxa"/>
                  <w:noWrap/>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restart"/>
                  <w:noWrap/>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1#喷漆房</w:t>
                  </w: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NMHC</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0.694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0.625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0.260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8.675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0.069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continue"/>
                  <w:noWrap/>
                  <w:vAlign w:val="center"/>
                </w:tcPr>
                <w:p>
                  <w:pPr>
                    <w:widowControl/>
                    <w:jc w:val="center"/>
                    <w:rPr>
                      <w:color w:val="000000" w:themeColor="text1"/>
                      <w:szCs w:val="21"/>
                      <w14:textFill>
                        <w14:solidFill>
                          <w14:schemeClr w14:val="tx1"/>
                        </w14:solidFill>
                      </w14:textFill>
                    </w:rPr>
                  </w:pP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苯系物</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0.097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0.088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0.037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1.217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0.010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continue"/>
                  <w:noWrap/>
                  <w:vAlign w:val="center"/>
                </w:tcPr>
                <w:p>
                  <w:pPr>
                    <w:widowControl/>
                    <w:jc w:val="center"/>
                    <w:rPr>
                      <w:color w:val="000000" w:themeColor="text1"/>
                      <w:szCs w:val="21"/>
                      <w14:textFill>
                        <w14:solidFill>
                          <w14:schemeClr w14:val="tx1"/>
                        </w14:solidFill>
                      </w14:textFill>
                    </w:rPr>
                  </w:pP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颗粒物</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1.630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1.467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0.611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20.378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0.163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restart"/>
                  <w:noWrap/>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2#喷漆房</w:t>
                  </w: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NMHC</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0.765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0.688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0.287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9.557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0.076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continue"/>
                  <w:noWrap/>
                  <w:vAlign w:val="center"/>
                </w:tcPr>
                <w:p>
                  <w:pPr>
                    <w:widowControl/>
                    <w:jc w:val="center"/>
                    <w:rPr>
                      <w:color w:val="000000" w:themeColor="text1"/>
                      <w:szCs w:val="21"/>
                      <w14:textFill>
                        <w14:solidFill>
                          <w14:schemeClr w14:val="tx1"/>
                        </w14:solidFill>
                      </w14:textFill>
                    </w:rPr>
                  </w:pP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苯系物</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0.090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0.081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0.034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1.129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0.009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715" w:type="dxa"/>
                  <w:vMerge w:val="continue"/>
                  <w:noWrap/>
                  <w:vAlign w:val="center"/>
                </w:tcPr>
                <w:p>
                  <w:pPr>
                    <w:widowControl/>
                    <w:jc w:val="center"/>
                    <w:rPr>
                      <w:color w:val="000000" w:themeColor="text1"/>
                      <w:szCs w:val="21"/>
                      <w14:textFill>
                        <w14:solidFill>
                          <w14:schemeClr w14:val="tx1"/>
                        </w14:solidFill>
                      </w14:textFill>
                    </w:rPr>
                  </w:pP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颗粒物</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1.288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1.159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0.483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16.099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0.129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restart"/>
                  <w:noWrap/>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3#喷漆房</w:t>
                  </w: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NMHC</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0.765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0.688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0.287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9.557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0.076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continue"/>
                  <w:noWrap/>
                  <w:vAlign w:val="center"/>
                </w:tcPr>
                <w:p>
                  <w:pPr>
                    <w:widowControl/>
                    <w:jc w:val="center"/>
                    <w:rPr>
                      <w:color w:val="000000" w:themeColor="text1"/>
                      <w:szCs w:val="21"/>
                      <w14:textFill>
                        <w14:solidFill>
                          <w14:schemeClr w14:val="tx1"/>
                        </w14:solidFill>
                      </w14:textFill>
                    </w:rPr>
                  </w:pP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苯系物</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0.090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0.081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0.034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1.129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0.009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continue"/>
                  <w:noWrap/>
                  <w:vAlign w:val="center"/>
                </w:tcPr>
                <w:p>
                  <w:pPr>
                    <w:widowControl/>
                    <w:jc w:val="center"/>
                    <w:rPr>
                      <w:color w:val="000000" w:themeColor="text1"/>
                      <w:szCs w:val="21"/>
                      <w14:textFill>
                        <w14:solidFill>
                          <w14:schemeClr w14:val="tx1"/>
                        </w14:solidFill>
                      </w14:textFill>
                    </w:rPr>
                  </w:pP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颗粒物</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1.288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1.159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0.483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16.099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0.129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restart"/>
                  <w:noWrap/>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1#晾干房</w:t>
                  </w: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NMHC</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0.451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0.406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0.169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5.637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0.045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continue"/>
                  <w:noWrap/>
                  <w:vAlign w:val="center"/>
                </w:tcPr>
                <w:p>
                  <w:pPr>
                    <w:widowControl/>
                    <w:jc w:val="center"/>
                    <w:rPr>
                      <w:color w:val="000000" w:themeColor="text1"/>
                      <w:szCs w:val="21"/>
                      <w14:textFill>
                        <w14:solidFill>
                          <w14:schemeClr w14:val="tx1"/>
                        </w14:solidFill>
                      </w14:textFill>
                    </w:rPr>
                  </w:pP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苯系物</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0.024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0.022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0.009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0.304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0.002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restart"/>
                  <w:noWrap/>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2#晾干房</w:t>
                  </w: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NMHC</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0.469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0.422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0.176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5.858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0.047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continue"/>
                  <w:noWrap/>
                  <w:vAlign w:val="center"/>
                </w:tcPr>
                <w:p>
                  <w:pPr>
                    <w:widowControl/>
                    <w:jc w:val="center"/>
                    <w:rPr>
                      <w:color w:val="000000" w:themeColor="text1"/>
                      <w:szCs w:val="21"/>
                      <w14:textFill>
                        <w14:solidFill>
                          <w14:schemeClr w14:val="tx1"/>
                        </w14:solidFill>
                      </w14:textFill>
                    </w:rPr>
                  </w:pP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苯系物</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0.023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0.020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0.008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0.282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0.002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restart"/>
                  <w:noWrap/>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3#晾干房</w:t>
                  </w: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NMHC</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0.469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0.422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0.176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5.858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0.047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5" w:type="dxa"/>
                  <w:vMerge w:val="continue"/>
                  <w:noWrap/>
                  <w:vAlign w:val="center"/>
                </w:tcPr>
                <w:p>
                  <w:pPr>
                    <w:widowControl/>
                    <w:jc w:val="center"/>
                    <w:rPr>
                      <w:color w:val="000000" w:themeColor="text1"/>
                      <w:szCs w:val="21"/>
                      <w14:textFill>
                        <w14:solidFill>
                          <w14:schemeClr w14:val="tx1"/>
                        </w14:solidFill>
                      </w14:textFill>
                    </w:rPr>
                  </w:pPr>
                </w:p>
              </w:tc>
              <w:tc>
                <w:tcPr>
                  <w:tcW w:w="855"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苯系物</w:t>
                  </w:r>
                </w:p>
              </w:tc>
              <w:tc>
                <w:tcPr>
                  <w:tcW w:w="1038"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0.023 </w:t>
                  </w:r>
                </w:p>
              </w:tc>
              <w:tc>
                <w:tcPr>
                  <w:tcW w:w="915"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0.020 </w:t>
                  </w:r>
                </w:p>
              </w:tc>
              <w:tc>
                <w:tcPr>
                  <w:tcW w:w="1410"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0.008 </w:t>
                  </w:r>
                </w:p>
              </w:tc>
              <w:tc>
                <w:tcPr>
                  <w:tcW w:w="1353"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0.282 </w:t>
                  </w:r>
                </w:p>
              </w:tc>
              <w:tc>
                <w:tcPr>
                  <w:tcW w:w="882"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0.002 </w:t>
                  </w:r>
                </w:p>
              </w:tc>
              <w:tc>
                <w:tcPr>
                  <w:tcW w:w="1014" w:type="dxa"/>
                  <w:noWrap/>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0.001 </w:t>
                  </w:r>
                </w:p>
              </w:tc>
            </w:tr>
          </w:tbl>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喷漆房、晾干房废气收集汇集至一套废气处理设施处理排放，通过废气排放量核算表，项目设置一台30000m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/h的风机，“水帘柜+过滤棉+旋转式分子筛吸附-脱附+RCO催化燃烧”</w:t>
            </w:r>
            <w:r>
              <w:rPr>
                <w:rFonts w:hint="eastAsia"/>
                <w:color w:val="000000" w:themeColor="text1"/>
                <w:sz w:val="24"/>
                <w:szCs w:val="24"/>
                <w:lang w:val="en-US" w:eastAsia="zh-CN"/>
                <w14:textFill>
                  <w14:solidFill>
                    <w14:schemeClr w14:val="tx1"/>
                  </w14:solidFill>
                </w14:textFill>
              </w:rPr>
              <w:t>处理效率取90%，</w:t>
            </w:r>
            <w:r>
              <w:rPr>
                <w:rFonts w:hint="eastAsia"/>
                <w:color w:val="000000" w:themeColor="text1"/>
                <w:sz w:val="24"/>
                <w:szCs w:val="24"/>
                <w14:textFill>
                  <w14:solidFill>
                    <w14:schemeClr w14:val="tx1"/>
                  </w14:solidFill>
                </w14:textFill>
              </w:rPr>
              <w:t>净化后的尾气通过5#排气筒排放，各污染因子排放数据见下表。</w:t>
            </w:r>
          </w:p>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表4-16   喷漆房、晾干房废气排放一览表</w:t>
            </w:r>
          </w:p>
          <w:tbl>
            <w:tblPr>
              <w:tblStyle w:val="32"/>
              <w:tblW w:w="8182" w:type="dxa"/>
              <w:jc w:val="center"/>
              <w:tblLayout w:type="fixed"/>
              <w:tblCellMar>
                <w:top w:w="0" w:type="dxa"/>
                <w:left w:w="108" w:type="dxa"/>
                <w:bottom w:w="0" w:type="dxa"/>
                <w:right w:w="108" w:type="dxa"/>
              </w:tblCellMar>
            </w:tblPr>
            <w:tblGrid>
              <w:gridCol w:w="1148"/>
              <w:gridCol w:w="1175"/>
              <w:gridCol w:w="1560"/>
              <w:gridCol w:w="1510"/>
              <w:gridCol w:w="1280"/>
              <w:gridCol w:w="1509"/>
            </w:tblGrid>
            <w:tr>
              <w:tblPrEx>
                <w:tblCellMar>
                  <w:top w:w="0" w:type="dxa"/>
                  <w:left w:w="108" w:type="dxa"/>
                  <w:bottom w:w="0" w:type="dxa"/>
                  <w:right w:w="108" w:type="dxa"/>
                </w:tblCellMar>
              </w:tblPrEx>
              <w:trPr>
                <w:trHeight w:val="300" w:hRule="atLeast"/>
                <w:jc w:val="center"/>
              </w:trPr>
              <w:tc>
                <w:tcPr>
                  <w:tcW w:w="1148" w:type="dxa"/>
                  <w:vMerge w:val="restart"/>
                  <w:tcBorders>
                    <w:top w:val="single" w:color="000000" w:sz="4" w:space="0"/>
                    <w:left w:val="single" w:color="000000" w:sz="4" w:space="0"/>
                    <w:right w:val="single" w:color="000000" w:sz="4" w:space="0"/>
                  </w:tcBorders>
                  <w:noWrap/>
                  <w:vAlign w:val="center"/>
                </w:tcPr>
                <w:p>
                  <w:pPr>
                    <w:jc w:val="center"/>
                    <w:rPr>
                      <w:b/>
                      <w:bCs/>
                      <w:color w:val="000000"/>
                      <w:sz w:val="22"/>
                      <w:szCs w:val="22"/>
                    </w:rPr>
                  </w:pPr>
                  <w:r>
                    <w:rPr>
                      <w:b/>
                      <w:bCs/>
                      <w:color w:val="000000"/>
                      <w:sz w:val="22"/>
                      <w:szCs w:val="22"/>
                    </w:rPr>
                    <w:t>污染因子</w:t>
                  </w:r>
                </w:p>
              </w:tc>
              <w:tc>
                <w:tcPr>
                  <w:tcW w:w="424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bCs/>
                      <w:color w:val="000000"/>
                      <w:sz w:val="22"/>
                      <w:szCs w:val="22"/>
                    </w:rPr>
                  </w:pPr>
                  <w:r>
                    <w:rPr>
                      <w:b/>
                      <w:bCs/>
                      <w:color w:val="000000"/>
                      <w:kern w:val="0"/>
                      <w:sz w:val="22"/>
                      <w:szCs w:val="22"/>
                      <w:lang w:bidi="ar"/>
                    </w:rPr>
                    <w:t>有组织</w:t>
                  </w:r>
                </w:p>
              </w:tc>
              <w:tc>
                <w:tcPr>
                  <w:tcW w:w="2789"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bCs/>
                      <w:color w:val="000000"/>
                      <w:sz w:val="22"/>
                      <w:szCs w:val="22"/>
                    </w:rPr>
                  </w:pPr>
                  <w:r>
                    <w:rPr>
                      <w:b/>
                      <w:bCs/>
                      <w:color w:val="000000"/>
                      <w:kern w:val="0"/>
                      <w:sz w:val="22"/>
                      <w:szCs w:val="22"/>
                      <w:lang w:bidi="ar"/>
                    </w:rPr>
                    <w:t>无组织</w:t>
                  </w:r>
                </w:p>
              </w:tc>
            </w:tr>
            <w:tr>
              <w:tblPrEx>
                <w:tblCellMar>
                  <w:top w:w="0" w:type="dxa"/>
                  <w:left w:w="108" w:type="dxa"/>
                  <w:bottom w:w="0" w:type="dxa"/>
                  <w:right w:w="108" w:type="dxa"/>
                </w:tblCellMar>
              </w:tblPrEx>
              <w:trPr>
                <w:trHeight w:val="300" w:hRule="atLeast"/>
                <w:jc w:val="center"/>
              </w:trPr>
              <w:tc>
                <w:tcPr>
                  <w:tcW w:w="1148" w:type="dxa"/>
                  <w:vMerge w:val="continue"/>
                  <w:tcBorders>
                    <w:left w:val="single" w:color="000000" w:sz="4" w:space="0"/>
                    <w:bottom w:val="single" w:color="000000" w:sz="4" w:space="0"/>
                    <w:right w:val="single" w:color="000000" w:sz="4" w:space="0"/>
                  </w:tcBorders>
                  <w:noWrap/>
                  <w:vAlign w:val="center"/>
                </w:tcPr>
                <w:p>
                  <w:pPr>
                    <w:jc w:val="center"/>
                    <w:rPr>
                      <w:b/>
                      <w:bCs/>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bCs/>
                      <w:color w:val="000000"/>
                      <w:kern w:val="0"/>
                      <w:sz w:val="22"/>
                      <w:szCs w:val="22"/>
                      <w:lang w:bidi="ar"/>
                    </w:rPr>
                  </w:pPr>
                  <w:r>
                    <w:rPr>
                      <w:b/>
                      <w:bCs/>
                      <w:color w:val="000000"/>
                      <w:kern w:val="0"/>
                      <w:sz w:val="22"/>
                      <w:szCs w:val="22"/>
                      <w:lang w:bidi="ar"/>
                    </w:rPr>
                    <w:t>排放量</w:t>
                  </w:r>
                </w:p>
                <w:p>
                  <w:pPr>
                    <w:widowControl/>
                    <w:jc w:val="center"/>
                    <w:textAlignment w:val="center"/>
                    <w:rPr>
                      <w:b/>
                      <w:bCs/>
                    </w:rPr>
                  </w:pPr>
                  <w:r>
                    <w:rPr>
                      <w:b/>
                      <w:bCs/>
                      <w:color w:val="000000"/>
                      <w:kern w:val="0"/>
                      <w:sz w:val="22"/>
                      <w:szCs w:val="22"/>
                      <w:lang w:bidi="ar"/>
                    </w:rPr>
                    <w:t>t/a</w:t>
                  </w:r>
                </w:p>
              </w:tc>
              <w:tc>
                <w:tcPr>
                  <w:tcW w:w="15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bCs/>
                      <w:color w:val="000000"/>
                      <w:kern w:val="0"/>
                      <w:sz w:val="22"/>
                      <w:szCs w:val="22"/>
                      <w:lang w:bidi="ar"/>
                    </w:rPr>
                  </w:pPr>
                  <w:r>
                    <w:rPr>
                      <w:b/>
                      <w:bCs/>
                      <w:color w:val="000000"/>
                      <w:kern w:val="0"/>
                      <w:sz w:val="22"/>
                      <w:szCs w:val="22"/>
                      <w:lang w:bidi="ar"/>
                    </w:rPr>
                    <w:t>排放速率</w:t>
                  </w:r>
                </w:p>
                <w:p>
                  <w:pPr>
                    <w:widowControl/>
                    <w:jc w:val="center"/>
                    <w:textAlignment w:val="center"/>
                    <w:rPr>
                      <w:b/>
                      <w:bCs/>
                      <w:color w:val="000000"/>
                      <w:sz w:val="22"/>
                      <w:szCs w:val="22"/>
                    </w:rPr>
                  </w:pPr>
                  <w:r>
                    <w:rPr>
                      <w:b/>
                      <w:bCs/>
                      <w:color w:val="000000"/>
                      <w:kern w:val="0"/>
                      <w:sz w:val="22"/>
                      <w:szCs w:val="22"/>
                      <w:lang w:bidi="ar"/>
                    </w:rPr>
                    <w:t>kg/h</w:t>
                  </w:r>
                </w:p>
              </w:tc>
              <w:tc>
                <w:tcPr>
                  <w:tcW w:w="15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bCs/>
                      <w:color w:val="000000"/>
                      <w:sz w:val="22"/>
                      <w:szCs w:val="22"/>
                    </w:rPr>
                  </w:pPr>
                  <w:r>
                    <w:rPr>
                      <w:b/>
                      <w:bCs/>
                      <w:color w:val="000000"/>
                      <w:kern w:val="0"/>
                      <w:sz w:val="22"/>
                      <w:szCs w:val="22"/>
                      <w:lang w:bidi="ar"/>
                    </w:rPr>
                    <w:t>排放浓度mg/m3</w:t>
                  </w:r>
                </w:p>
              </w:tc>
              <w:tc>
                <w:tcPr>
                  <w:tcW w:w="12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bCs/>
                      <w:color w:val="000000"/>
                      <w:kern w:val="0"/>
                      <w:sz w:val="22"/>
                      <w:szCs w:val="22"/>
                      <w:lang w:bidi="ar"/>
                    </w:rPr>
                  </w:pPr>
                  <w:r>
                    <w:rPr>
                      <w:b/>
                      <w:bCs/>
                      <w:color w:val="000000"/>
                      <w:kern w:val="0"/>
                      <w:sz w:val="22"/>
                      <w:szCs w:val="22"/>
                      <w:lang w:bidi="ar"/>
                    </w:rPr>
                    <w:t>排放量</w:t>
                  </w:r>
                </w:p>
                <w:p>
                  <w:pPr>
                    <w:widowControl/>
                    <w:jc w:val="center"/>
                    <w:textAlignment w:val="center"/>
                    <w:rPr>
                      <w:b/>
                      <w:bCs/>
                      <w:color w:val="000000"/>
                      <w:sz w:val="22"/>
                      <w:szCs w:val="22"/>
                    </w:rPr>
                  </w:pPr>
                  <w:r>
                    <w:rPr>
                      <w:b/>
                      <w:bCs/>
                      <w:color w:val="000000"/>
                      <w:kern w:val="0"/>
                      <w:sz w:val="22"/>
                      <w:szCs w:val="22"/>
                      <w:lang w:bidi="ar"/>
                    </w:rPr>
                    <w:t>t/a</w:t>
                  </w:r>
                </w:p>
              </w:tc>
              <w:tc>
                <w:tcPr>
                  <w:tcW w:w="15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bCs/>
                      <w:color w:val="000000"/>
                      <w:sz w:val="22"/>
                      <w:szCs w:val="22"/>
                    </w:rPr>
                  </w:pPr>
                  <w:r>
                    <w:rPr>
                      <w:b/>
                      <w:bCs/>
                      <w:color w:val="000000"/>
                      <w:kern w:val="0"/>
                      <w:sz w:val="22"/>
                      <w:szCs w:val="22"/>
                      <w:lang w:bidi="ar"/>
                    </w:rPr>
                    <w:t>排放速率kg/h</w:t>
                  </w:r>
                </w:p>
              </w:tc>
            </w:tr>
            <w:tr>
              <w:tblPrEx>
                <w:tblCellMar>
                  <w:top w:w="0" w:type="dxa"/>
                  <w:left w:w="108" w:type="dxa"/>
                  <w:bottom w:w="0" w:type="dxa"/>
                  <w:right w:w="108" w:type="dxa"/>
                </w:tblCellMar>
              </w:tblPrEx>
              <w:trPr>
                <w:trHeight w:val="300" w:hRule="atLeast"/>
                <w:jc w:val="center"/>
              </w:trPr>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bidi="ar"/>
                    </w:rPr>
                    <w:t>NMHC</w:t>
                  </w:r>
                </w:p>
              </w:tc>
              <w:tc>
                <w:tcPr>
                  <w:tcW w:w="11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0.325 </w:t>
                  </w:r>
                </w:p>
              </w:tc>
              <w:tc>
                <w:tcPr>
                  <w:tcW w:w="15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0.135 </w:t>
                  </w:r>
                </w:p>
              </w:tc>
              <w:tc>
                <w:tcPr>
                  <w:tcW w:w="1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4.514 </w:t>
                  </w:r>
                </w:p>
              </w:tc>
              <w:tc>
                <w:tcPr>
                  <w:tcW w:w="1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0.361 </w:t>
                  </w:r>
                </w:p>
              </w:tc>
              <w:tc>
                <w:tcPr>
                  <w:tcW w:w="15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0.150 </w:t>
                  </w:r>
                </w:p>
              </w:tc>
            </w:tr>
            <w:tr>
              <w:tblPrEx>
                <w:tblCellMar>
                  <w:top w:w="0" w:type="dxa"/>
                  <w:left w:w="108" w:type="dxa"/>
                  <w:bottom w:w="0" w:type="dxa"/>
                  <w:right w:w="108" w:type="dxa"/>
                </w:tblCellMar>
              </w:tblPrEx>
              <w:trPr>
                <w:trHeight w:val="300" w:hRule="atLeast"/>
                <w:jc w:val="center"/>
              </w:trPr>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bidi="ar"/>
                    </w:rPr>
                    <w:t>苯系物</w:t>
                  </w:r>
                </w:p>
              </w:tc>
              <w:tc>
                <w:tcPr>
                  <w:tcW w:w="11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0.031 </w:t>
                  </w:r>
                </w:p>
              </w:tc>
              <w:tc>
                <w:tcPr>
                  <w:tcW w:w="15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0.013 </w:t>
                  </w:r>
                </w:p>
              </w:tc>
              <w:tc>
                <w:tcPr>
                  <w:tcW w:w="1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0.433 </w:t>
                  </w:r>
                </w:p>
              </w:tc>
              <w:tc>
                <w:tcPr>
                  <w:tcW w:w="1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0.035 </w:t>
                  </w:r>
                </w:p>
              </w:tc>
              <w:tc>
                <w:tcPr>
                  <w:tcW w:w="15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0.014 </w:t>
                  </w:r>
                </w:p>
              </w:tc>
            </w:tr>
            <w:tr>
              <w:tblPrEx>
                <w:tblCellMar>
                  <w:top w:w="0" w:type="dxa"/>
                  <w:left w:w="108" w:type="dxa"/>
                  <w:bottom w:w="0" w:type="dxa"/>
                  <w:right w:w="108" w:type="dxa"/>
                </w:tblCellMar>
              </w:tblPrEx>
              <w:trPr>
                <w:trHeight w:val="300" w:hRule="atLeast"/>
                <w:jc w:val="center"/>
              </w:trPr>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bidi="ar"/>
                    </w:rPr>
                    <w:t>颗粒物</w:t>
                  </w:r>
                </w:p>
              </w:tc>
              <w:tc>
                <w:tcPr>
                  <w:tcW w:w="11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0.189 </w:t>
                  </w:r>
                </w:p>
              </w:tc>
              <w:tc>
                <w:tcPr>
                  <w:tcW w:w="15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0.079 </w:t>
                  </w:r>
                </w:p>
              </w:tc>
              <w:tc>
                <w:tcPr>
                  <w:tcW w:w="1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2.629 </w:t>
                  </w:r>
                </w:p>
              </w:tc>
              <w:tc>
                <w:tcPr>
                  <w:tcW w:w="1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0.421 </w:t>
                  </w:r>
                </w:p>
              </w:tc>
              <w:tc>
                <w:tcPr>
                  <w:tcW w:w="15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0.175 </w:t>
                  </w:r>
                </w:p>
              </w:tc>
            </w:tr>
          </w:tbl>
          <w:p>
            <w:pPr>
              <w:numPr>
                <w:ilvl w:val="0"/>
                <w:numId w:val="0"/>
              </w:numPr>
              <w:autoSpaceDE w:val="0"/>
              <w:autoSpaceDN w:val="0"/>
              <w:adjustRightInd w:val="0"/>
              <w:spacing w:line="360" w:lineRule="auto"/>
              <w:ind w:leftChars="20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（7）食堂油烟</w:t>
            </w:r>
          </w:p>
          <w:p>
            <w:pPr>
              <w:pStyle w:val="143"/>
              <w:ind w:firstLine="420"/>
              <w:rPr>
                <w:rFonts w:hint="default" w:ascii="Times New Roman" w:hAnsi="Times New Roman" w:cs="Times New Roman"/>
                <w:color w:val="000000"/>
                <w:kern w:val="0"/>
                <w:sz w:val="24"/>
                <w:highlight w:val="none"/>
                <w:u w:val="none"/>
                <w:lang w:val="en-US" w:bidi="ar"/>
              </w:rPr>
            </w:pPr>
            <w:r>
              <w:rPr>
                <w:rFonts w:hint="eastAsia" w:ascii="Times New Roman" w:hAnsi="Times New Roman" w:eastAsia="宋体" w:cs="Times New Roman"/>
                <w:color w:val="000000"/>
                <w:kern w:val="0"/>
                <w:sz w:val="24"/>
                <w:szCs w:val="24"/>
                <w:highlight w:val="none"/>
                <w:lang w:val="en-US" w:eastAsia="zh-CN" w:bidi="ar"/>
              </w:rPr>
              <w:t>项目厂区内设置员工食堂，食堂就餐人数按400人计，根据中国国家卫生健康委员会和《中国居民膳食指南》的建议，每人每天食用油控制量在25-30g，油烟挥发量根据炒菜的习惯和油温不同，挥发量在1-5%之间，本次评价取中间值，每人每天食用油按27.5g计算、挥发量按3%计算，本项目食堂设灶头数5个，每天工作时间按5h计，根据《饮食业油烟排放标准（试行）》（GB18483-2001），属中型规模，要求每个灶头配套油烟净化器，排风量按每个灶头2000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ascii="Times New Roman" w:hAnsi="Times New Roman" w:eastAsia="宋体" w:cs="Times New Roman"/>
                <w:color w:val="000000"/>
                <w:kern w:val="0"/>
                <w:sz w:val="24"/>
                <w:szCs w:val="24"/>
                <w:highlight w:val="none"/>
                <w:lang w:val="en-US" w:eastAsia="zh-CN" w:bidi="ar"/>
              </w:rPr>
              <w:t>/h计，计算可知，每个灶头油烟产生量为19.8kg/a，产生浓度为6.6mg/m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ascii="Times New Roman" w:hAnsi="Times New Roman" w:eastAsia="宋体" w:cs="Times New Roman"/>
                <w:color w:val="000000"/>
                <w:kern w:val="0"/>
                <w:sz w:val="24"/>
                <w:szCs w:val="24"/>
                <w:highlight w:val="none"/>
                <w:lang w:val="en-US" w:eastAsia="zh-CN" w:bidi="ar"/>
              </w:rPr>
              <w:t>，油烟净化器净化效率不低于75%，</w:t>
            </w:r>
            <w:r>
              <w:rPr>
                <w:rFonts w:hint="eastAsia" w:ascii="Times New Roman" w:hAnsi="Times New Roman" w:eastAsia="宋体" w:cs="Times New Roman"/>
                <w:color w:val="000000"/>
                <w:kern w:val="0"/>
                <w:sz w:val="24"/>
                <w:szCs w:val="24"/>
                <w:highlight w:val="none"/>
                <w:vertAlign w:val="baseline"/>
                <w:lang w:val="en-US" w:eastAsia="zh-CN" w:bidi="ar"/>
              </w:rPr>
              <w:t>项目设置一个排气筒，</w:t>
            </w:r>
            <w:r>
              <w:rPr>
                <w:rFonts w:hint="eastAsia" w:ascii="Times New Roman" w:hAnsi="Times New Roman" w:eastAsia="宋体" w:cs="Times New Roman"/>
                <w:color w:val="000000"/>
                <w:kern w:val="0"/>
                <w:sz w:val="24"/>
                <w:szCs w:val="24"/>
                <w:highlight w:val="none"/>
                <w:lang w:val="en-US" w:eastAsia="zh-CN" w:bidi="ar"/>
              </w:rPr>
              <w:t>排放量为24.75kg/a，排放浓度为1.65mg/m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ascii="Times New Roman" w:hAnsi="Times New Roman" w:eastAsia="宋体" w:cs="Times New Roman"/>
                <w:color w:val="000000"/>
                <w:kern w:val="0"/>
                <w:sz w:val="24"/>
                <w:szCs w:val="24"/>
                <w:highlight w:val="none"/>
                <w:vertAlign w:val="baseline"/>
                <w:lang w:val="en-US" w:eastAsia="zh-CN" w:bidi="ar"/>
              </w:rPr>
              <w:t>，符合</w:t>
            </w:r>
            <w:r>
              <w:rPr>
                <w:rFonts w:hint="eastAsia" w:ascii="Times New Roman" w:hAnsi="Times New Roman" w:eastAsia="宋体" w:cs="Times New Roman"/>
                <w:color w:val="000000"/>
                <w:kern w:val="0"/>
                <w:sz w:val="24"/>
                <w:szCs w:val="24"/>
                <w:highlight w:val="none"/>
                <w:lang w:val="en-US" w:eastAsia="zh-CN" w:bidi="ar"/>
              </w:rPr>
              <w:t>《饮食业油烟排放标准（试行）》（GB18483-2001）中低于2mg/m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ascii="Times New Roman" w:hAnsi="Times New Roman" w:eastAsia="宋体" w:cs="Times New Roman"/>
                <w:color w:val="000000"/>
                <w:kern w:val="0"/>
                <w:sz w:val="24"/>
                <w:szCs w:val="24"/>
                <w:highlight w:val="none"/>
                <w:lang w:val="en-US" w:eastAsia="zh-CN" w:bidi="ar"/>
              </w:rPr>
              <w:t>的标准要求。</w:t>
            </w:r>
          </w:p>
          <w:p>
            <w:pPr>
              <w:autoSpaceDE w:val="0"/>
              <w:autoSpaceDN w:val="0"/>
              <w:adjustRightIn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、废气污染治理措施及其可行性分析</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本项目产生废气主要有本项目废气有开料产生的粉尘、砂光产生的粉尘、机加工产生的粉尘、腻子粉打磨产生的粉尘、热压产生的有机废气、喷漆废气、晾干废气。</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开料产生的粉尘、砂光产生的粉尘、机加工产生的粉尘、腻子粉打磨产生的粉尘等工序参考《排污许可证申请与核发技术规范 家具制造业》（HJ1027-2019）中表6废气治理可行技术参照表，推荐可行技术有集气罩、中央集尘、袋式除尘等，本项目采用布袋除尘属于规范推荐的可行技术。</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项目施胶工艺采用的是</w:t>
            </w:r>
            <w:r>
              <w:rPr>
                <w:rFonts w:hint="eastAsia"/>
                <w:sz w:val="24"/>
              </w:rPr>
              <w:t>水基胶</w:t>
            </w:r>
            <w:r>
              <w:rPr>
                <w:rFonts w:hint="eastAsia"/>
                <w:color w:val="000000" w:themeColor="text1"/>
                <w:sz w:val="24"/>
                <w:szCs w:val="24"/>
                <w14:textFill>
                  <w14:solidFill>
                    <w14:schemeClr w14:val="tx1"/>
                  </w14:solidFill>
                </w14:textFill>
              </w:rPr>
              <w:t>，参照《家具制造工业污染防治可行技术指南》（</w:t>
            </w:r>
            <w:r>
              <w:rPr>
                <w:color w:val="000000" w:themeColor="text1"/>
                <w:sz w:val="24"/>
                <w:szCs w:val="24"/>
                <w14:textFill>
                  <w14:solidFill>
                    <w14:schemeClr w14:val="tx1"/>
                  </w14:solidFill>
                </w14:textFill>
              </w:rPr>
              <w:t xml:space="preserve">HJ </w:t>
            </w:r>
            <w:r>
              <w:rPr>
                <w:rFonts w:hint="eastAsia"/>
                <w:color w:val="000000" w:themeColor="text1"/>
                <w:sz w:val="24"/>
                <w:szCs w:val="24"/>
                <w14:textFill>
                  <w14:solidFill>
                    <w14:schemeClr w14:val="tx1"/>
                  </w14:solidFill>
                </w14:textFill>
              </w:rPr>
              <w:t>1180—</w:t>
            </w:r>
            <w:r>
              <w:rPr>
                <w:color w:val="000000" w:themeColor="text1"/>
                <w:sz w:val="24"/>
                <w:szCs w:val="24"/>
                <w14:textFill>
                  <w14:solidFill>
                    <w14:schemeClr w14:val="tx1"/>
                  </w14:solidFill>
                </w14:textFill>
              </w:rPr>
              <w:t>2021</w:t>
            </w:r>
            <w:r>
              <w:rPr>
                <w:rFonts w:hint="eastAsia"/>
                <w:color w:val="000000" w:themeColor="text1"/>
                <w:sz w:val="24"/>
                <w:szCs w:val="24"/>
                <w14:textFill>
                  <w14:solidFill>
                    <w14:schemeClr w14:val="tx1"/>
                  </w14:solidFill>
                </w14:textFill>
              </w:rPr>
              <w:t>）表1废气污染防治可行技术中推荐的可行技术8，水性粘胶剂替代技术，本项目使用</w:t>
            </w:r>
            <w:r>
              <w:rPr>
                <w:rFonts w:hint="eastAsia"/>
                <w:sz w:val="24"/>
              </w:rPr>
              <w:t>水基胶</w:t>
            </w:r>
            <w:r>
              <w:rPr>
                <w:rFonts w:hint="eastAsia"/>
                <w:color w:val="000000" w:themeColor="text1"/>
                <w:sz w:val="24"/>
                <w:szCs w:val="24"/>
                <w14:textFill>
                  <w14:solidFill>
                    <w14:schemeClr w14:val="tx1"/>
                  </w14:solidFill>
                </w14:textFill>
              </w:rPr>
              <w:t>属于水性粘胶剂替代技术。</w:t>
            </w:r>
          </w:p>
          <w:p>
            <w:pPr>
              <w:pStyle w:val="12"/>
              <w:spacing w:before="0" w:after="0" w:line="360" w:lineRule="auto"/>
              <w:ind w:right="0" w:firstLine="480" w:firstLineChars="200"/>
              <w:rPr>
                <w:color w:val="000000" w:themeColor="text1"/>
                <w:sz w:val="24"/>
                <w:szCs w:val="24"/>
                <w:u w:val="single"/>
                <w14:textFill>
                  <w14:solidFill>
                    <w14:schemeClr w14:val="tx1"/>
                  </w14:solidFill>
                </w14:textFill>
              </w:rPr>
            </w:pPr>
            <w:r>
              <w:rPr>
                <w:rFonts w:hint="eastAsia"/>
                <w:color w:val="000000" w:themeColor="text1"/>
                <w:sz w:val="24"/>
                <w:szCs w:val="24"/>
                <w:u w:val="single"/>
                <w14:textFill>
                  <w14:solidFill>
                    <w14:schemeClr w14:val="tx1"/>
                  </w14:solidFill>
                </w14:textFill>
              </w:rPr>
              <w:t>喷漆、晾干产生的有机废气参照《排污许可证申请与核发技术规范 家具制造业》（HJ1027-2019）中表6 废气治理可行技术参照表推荐可行技术为吸附浓缩+燃烧/催化氧化，</w:t>
            </w:r>
            <w:r>
              <w:rPr>
                <w:rFonts w:hint="eastAsia"/>
                <w:color w:val="000000" w:themeColor="text1"/>
                <w:sz w:val="24"/>
                <w:szCs w:val="24"/>
                <w:u w:val="single"/>
                <w:lang w:val="en-US" w:eastAsia="zh-CN"/>
                <w14:textFill>
                  <w14:solidFill>
                    <w14:schemeClr w14:val="tx1"/>
                  </w14:solidFill>
                </w14:textFill>
              </w:rPr>
              <w:t>参照《家具制造工业污染防治可行技术指南》（HJ1180-2021）表3 推荐的可行技术为湿法除尘+干式过滤+活性炭吸附+RCO燃烧；</w:t>
            </w:r>
            <w:r>
              <w:rPr>
                <w:rFonts w:hint="eastAsia"/>
                <w:color w:val="000000" w:themeColor="text1"/>
                <w:sz w:val="24"/>
                <w:szCs w:val="24"/>
                <w:u w:val="single"/>
                <w14:textFill>
                  <w14:solidFill>
                    <w14:schemeClr w14:val="tx1"/>
                  </w14:solidFill>
                </w14:textFill>
              </w:rPr>
              <w:t>本项目采用的是</w:t>
            </w:r>
            <w:r>
              <w:rPr>
                <w:rFonts w:hint="eastAsia"/>
                <w:color w:val="000000" w:themeColor="text1"/>
                <w:sz w:val="24"/>
                <w:szCs w:val="24"/>
                <w:u w:val="single"/>
                <w:lang w:val="en-US" w:eastAsia="zh-CN"/>
                <w14:textFill>
                  <w14:solidFill>
                    <w14:schemeClr w14:val="tx1"/>
                  </w14:solidFill>
                </w14:textFill>
              </w:rPr>
              <w:t>水帘柜+过滤棉+</w:t>
            </w:r>
            <w:r>
              <w:rPr>
                <w:rFonts w:hint="eastAsia"/>
                <w:color w:val="000000" w:themeColor="text1"/>
                <w:sz w:val="24"/>
                <w:szCs w:val="24"/>
                <w:u w:val="single"/>
                <w14:textFill>
                  <w14:solidFill>
                    <w14:schemeClr w14:val="tx1"/>
                  </w14:solidFill>
                </w14:textFill>
              </w:rPr>
              <w:t>旋转式分子筛吸附+脱附+RCO催化燃烧技术</w:t>
            </w:r>
            <w:r>
              <w:rPr>
                <w:rFonts w:hint="eastAsia"/>
                <w:color w:val="000000" w:themeColor="text1"/>
                <w:sz w:val="24"/>
                <w:szCs w:val="24"/>
                <w:u w:val="single"/>
                <w:lang w:eastAsia="zh-CN"/>
                <w14:textFill>
                  <w14:solidFill>
                    <w14:schemeClr w14:val="tx1"/>
                  </w14:solidFill>
                </w14:textFill>
              </w:rPr>
              <w:t>，</w:t>
            </w:r>
            <w:r>
              <w:rPr>
                <w:rFonts w:hint="eastAsia"/>
                <w:color w:val="000000" w:themeColor="text1"/>
                <w:sz w:val="24"/>
                <w:szCs w:val="24"/>
                <w:u w:val="single"/>
                <w14:textFill>
                  <w14:solidFill>
                    <w14:schemeClr w14:val="tx1"/>
                  </w14:solidFill>
                </w14:textFill>
              </w:rPr>
              <w:t>属于可行技术。</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上所述，本项目废气治理技术为可行技术。</w:t>
            </w:r>
          </w:p>
          <w:p>
            <w:pPr>
              <w:pStyle w:val="12"/>
              <w:spacing w:before="0" w:after="0" w:line="360" w:lineRule="auto"/>
              <w:ind w:right="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1.3、废气监测要求</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自行监测参照《排污单位自行监测技术指南 涂装》（HJ1086-2020）和《排污许可证申请与核发技术规范 家具制造业》（</w:t>
            </w:r>
            <w:r>
              <w:rPr>
                <w:color w:val="000000" w:themeColor="text1"/>
                <w:sz w:val="24"/>
                <w:szCs w:val="24"/>
                <w14:textFill>
                  <w14:solidFill>
                    <w14:schemeClr w14:val="tx1"/>
                  </w14:solidFill>
                </w14:textFill>
              </w:rPr>
              <w:t>HJ 1</w:t>
            </w:r>
            <w:r>
              <w:rPr>
                <w:rFonts w:hint="eastAsia"/>
                <w:color w:val="000000" w:themeColor="text1"/>
                <w:sz w:val="24"/>
                <w:szCs w:val="24"/>
                <w14:textFill>
                  <w14:solidFill>
                    <w14:schemeClr w14:val="tx1"/>
                  </w14:solidFill>
                </w14:textFill>
              </w:rPr>
              <w:t>027—</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019），本次评价给出以下监测建议：</w:t>
            </w:r>
          </w:p>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表4-17   排气筒基本情况</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295"/>
              <w:gridCol w:w="918"/>
              <w:gridCol w:w="963"/>
              <w:gridCol w:w="1053"/>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1"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排气筒名称</w:t>
                  </w:r>
                </w:p>
              </w:tc>
              <w:tc>
                <w:tcPr>
                  <w:tcW w:w="1295"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编号</w:t>
                  </w:r>
                </w:p>
              </w:tc>
              <w:tc>
                <w:tcPr>
                  <w:tcW w:w="918"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内径m</w:t>
                  </w:r>
                </w:p>
              </w:tc>
              <w:tc>
                <w:tcPr>
                  <w:tcW w:w="96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海拔m</w:t>
                  </w:r>
                </w:p>
              </w:tc>
              <w:tc>
                <w:tcPr>
                  <w:tcW w:w="105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高度m</w:t>
                  </w:r>
                </w:p>
              </w:tc>
              <w:tc>
                <w:tcPr>
                  <w:tcW w:w="2172"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1"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1#排气筒</w:t>
                  </w:r>
                </w:p>
              </w:tc>
              <w:tc>
                <w:tcPr>
                  <w:tcW w:w="1295"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DA001</w:t>
                  </w:r>
                </w:p>
              </w:tc>
              <w:tc>
                <w:tcPr>
                  <w:tcW w:w="918"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w:t>
                  </w:r>
                </w:p>
              </w:tc>
              <w:tc>
                <w:tcPr>
                  <w:tcW w:w="96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49</w:t>
                  </w:r>
                </w:p>
              </w:tc>
              <w:tc>
                <w:tcPr>
                  <w:tcW w:w="105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2172"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E112°55′17.883″</w:t>
                  </w:r>
                </w:p>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N28°37′31.044″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1"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2#排气筒</w:t>
                  </w:r>
                </w:p>
              </w:tc>
              <w:tc>
                <w:tcPr>
                  <w:tcW w:w="1295"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DA002</w:t>
                  </w:r>
                </w:p>
              </w:tc>
              <w:tc>
                <w:tcPr>
                  <w:tcW w:w="918"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w:t>
                  </w:r>
                </w:p>
              </w:tc>
              <w:tc>
                <w:tcPr>
                  <w:tcW w:w="96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49</w:t>
                  </w:r>
                </w:p>
              </w:tc>
              <w:tc>
                <w:tcPr>
                  <w:tcW w:w="105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2172"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E112°55′17.936″</w:t>
                  </w:r>
                </w:p>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N28°37′31.058″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1"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3#排气筒</w:t>
                  </w:r>
                </w:p>
              </w:tc>
              <w:tc>
                <w:tcPr>
                  <w:tcW w:w="1295"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DA004</w:t>
                  </w:r>
                </w:p>
              </w:tc>
              <w:tc>
                <w:tcPr>
                  <w:tcW w:w="918"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w:t>
                  </w:r>
                </w:p>
              </w:tc>
              <w:tc>
                <w:tcPr>
                  <w:tcW w:w="96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49</w:t>
                  </w:r>
                </w:p>
              </w:tc>
              <w:tc>
                <w:tcPr>
                  <w:tcW w:w="105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2172"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E112°55′17.654″</w:t>
                  </w:r>
                </w:p>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N28°37′31.548″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1"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4#排气筒</w:t>
                  </w:r>
                </w:p>
              </w:tc>
              <w:tc>
                <w:tcPr>
                  <w:tcW w:w="1295"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DA005</w:t>
                  </w:r>
                </w:p>
              </w:tc>
              <w:tc>
                <w:tcPr>
                  <w:tcW w:w="918"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w:t>
                  </w:r>
                </w:p>
              </w:tc>
              <w:tc>
                <w:tcPr>
                  <w:tcW w:w="96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49</w:t>
                  </w:r>
                </w:p>
              </w:tc>
              <w:tc>
                <w:tcPr>
                  <w:tcW w:w="105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2172"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E112°55′17.365″</w:t>
                  </w:r>
                </w:p>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N28°37′31.124″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1"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5#排气筒</w:t>
                  </w:r>
                </w:p>
              </w:tc>
              <w:tc>
                <w:tcPr>
                  <w:tcW w:w="1295"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DA006</w:t>
                  </w:r>
                </w:p>
              </w:tc>
              <w:tc>
                <w:tcPr>
                  <w:tcW w:w="918"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w:t>
                  </w:r>
                </w:p>
              </w:tc>
              <w:tc>
                <w:tcPr>
                  <w:tcW w:w="96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49</w:t>
                  </w:r>
                </w:p>
              </w:tc>
              <w:tc>
                <w:tcPr>
                  <w:tcW w:w="1053"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2172" w:type="dxa"/>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E112°55′17.385″</w:t>
                  </w:r>
                </w:p>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N28°37′31.258″</w:t>
                  </w:r>
                </w:p>
              </w:tc>
            </w:tr>
          </w:tbl>
          <w:p>
            <w:pPr>
              <w:pStyle w:val="12"/>
              <w:snapToGrid/>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14:textFill>
                  <w14:solidFill>
                    <w14:schemeClr w14:val="tx1"/>
                  </w14:solidFill>
                </w14:textFill>
              </w:rPr>
              <w:t xml:space="preserve">18  </w:t>
            </w:r>
            <w:r>
              <w:rPr>
                <w:b/>
                <w:bCs/>
                <w:color w:val="000000" w:themeColor="text1"/>
                <w:sz w:val="21"/>
                <w:szCs w:val="21"/>
                <w14:textFill>
                  <w14:solidFill>
                    <w14:schemeClr w14:val="tx1"/>
                  </w14:solidFill>
                </w14:textFill>
              </w:rPr>
              <w:t xml:space="preserve"> 废气监测要求一览表</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508"/>
              <w:gridCol w:w="1305"/>
              <w:gridCol w:w="1334"/>
              <w:gridCol w:w="1259"/>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7" w:type="pct"/>
                  <w:gridSpan w:val="2"/>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799"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817"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监测指标</w:t>
                  </w:r>
                </w:p>
              </w:tc>
              <w:tc>
                <w:tcPr>
                  <w:tcW w:w="771"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监测时间及频次</w:t>
                  </w:r>
                </w:p>
              </w:tc>
              <w:tc>
                <w:tcPr>
                  <w:tcW w:w="1984"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6" w:type="pct"/>
                  <w:vMerge w:val="restar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311" w:type="pct"/>
                  <w:vMerge w:val="restar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c>
                <w:tcPr>
                  <w:tcW w:w="799"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排气筒（</w:t>
                  </w:r>
                  <w:r>
                    <w:rPr>
                      <w:rFonts w:hint="eastAsia"/>
                      <w:color w:val="000000" w:themeColor="text1"/>
                      <w:sz w:val="21"/>
                      <w:szCs w:val="21"/>
                      <w14:textFill>
                        <w14:solidFill>
                          <w14:schemeClr w14:val="tx1"/>
                        </w14:solidFill>
                      </w14:textFill>
                    </w:rPr>
                    <w:t>DA</w:t>
                  </w: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w:t>
                  </w:r>
                </w:p>
              </w:tc>
              <w:tc>
                <w:tcPr>
                  <w:tcW w:w="817"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771"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1984" w:type="pct"/>
                  <w:vMerge w:val="restar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颗粒物执行《大气污染物综合排放标准》（GB16297-1996）表2、非甲烷总烃、苯系物执行《家具制造行业挥发性有机物排放标准》（DB43/13</w:t>
                  </w:r>
                  <w:r>
                    <w:rPr>
                      <w:rFonts w:hint="default"/>
                      <w:color w:val="000000" w:themeColor="text1"/>
                      <w:sz w:val="21"/>
                      <w:szCs w:val="21"/>
                      <w:lang w:val="en-US"/>
                      <w14:textFill>
                        <w14:solidFill>
                          <w14:schemeClr w14:val="tx1"/>
                        </w14:solidFill>
                      </w14:textFill>
                    </w:rPr>
                    <w:t>5</w:t>
                  </w:r>
                  <w:r>
                    <w:rPr>
                      <w:rFonts w:hint="eastAsia"/>
                      <w:color w:val="000000" w:themeColor="text1"/>
                      <w:sz w:val="21"/>
                      <w:szCs w:val="21"/>
                      <w14:textFill>
                        <w14:solidFill>
                          <w14:schemeClr w14:val="tx1"/>
                        </w14:solidFill>
                      </w14:textFill>
                    </w:rPr>
                    <w:t>5-2017）表1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316"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311"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799"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排气筒（</w:t>
                  </w:r>
                  <w:r>
                    <w:rPr>
                      <w:rFonts w:hint="eastAsia"/>
                      <w:color w:val="000000" w:themeColor="text1"/>
                      <w:sz w:val="21"/>
                      <w:szCs w:val="21"/>
                      <w14:textFill>
                        <w14:solidFill>
                          <w14:schemeClr w14:val="tx1"/>
                        </w14:solidFill>
                      </w14:textFill>
                    </w:rPr>
                    <w:t>DA</w:t>
                  </w: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w:t>
                  </w:r>
                </w:p>
              </w:tc>
              <w:tc>
                <w:tcPr>
                  <w:tcW w:w="817"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771"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1984"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6"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311"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799"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排气筒（</w:t>
                  </w:r>
                  <w:r>
                    <w:rPr>
                      <w:rFonts w:hint="eastAsia"/>
                      <w:color w:val="000000" w:themeColor="text1"/>
                      <w:sz w:val="21"/>
                      <w:szCs w:val="21"/>
                      <w14:textFill>
                        <w14:solidFill>
                          <w14:schemeClr w14:val="tx1"/>
                        </w14:solidFill>
                      </w14:textFill>
                    </w:rPr>
                    <w:t>DA</w:t>
                  </w: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w:t>
                  </w:r>
                </w:p>
              </w:tc>
              <w:tc>
                <w:tcPr>
                  <w:tcW w:w="817"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771"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1984"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6"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311"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799"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4#排气筒（DA004）</w:t>
                  </w:r>
                </w:p>
              </w:tc>
              <w:tc>
                <w:tcPr>
                  <w:tcW w:w="817"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771"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1984"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6"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311"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799" w:type="pct"/>
                  <w:vMerge w:val="restar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排气筒（</w:t>
                  </w:r>
                  <w:r>
                    <w:rPr>
                      <w:rFonts w:hint="eastAsia"/>
                      <w:color w:val="000000" w:themeColor="text1"/>
                      <w:sz w:val="21"/>
                      <w:szCs w:val="21"/>
                      <w14:textFill>
                        <w14:solidFill>
                          <w14:schemeClr w14:val="tx1"/>
                        </w14:solidFill>
                      </w14:textFill>
                    </w:rPr>
                    <w:t>DA</w:t>
                  </w: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w:t>
                  </w:r>
                </w:p>
              </w:tc>
              <w:tc>
                <w:tcPr>
                  <w:tcW w:w="817"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非甲烷总烃</w:t>
                  </w:r>
                </w:p>
              </w:tc>
              <w:tc>
                <w:tcPr>
                  <w:tcW w:w="771"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1984"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6"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311"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799"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817"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苯系物</w:t>
                  </w:r>
                </w:p>
              </w:tc>
              <w:tc>
                <w:tcPr>
                  <w:tcW w:w="771"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1984"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6"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311"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799"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817"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771"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1984"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6"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311" w:type="pct"/>
                  <w:vMerge w:val="restar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w:t>
                  </w:r>
                </w:p>
              </w:tc>
              <w:tc>
                <w:tcPr>
                  <w:tcW w:w="799"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厂区内</w:t>
                  </w:r>
                </w:p>
              </w:tc>
              <w:tc>
                <w:tcPr>
                  <w:tcW w:w="817"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非甲烷总烃</w:t>
                  </w:r>
                </w:p>
              </w:tc>
              <w:tc>
                <w:tcPr>
                  <w:tcW w:w="771"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1984"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《挥发性有机物无组织排放控制标准》表A.1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6"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311" w:type="pct"/>
                  <w:vMerge w:val="continue"/>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p>
              </w:tc>
              <w:tc>
                <w:tcPr>
                  <w:tcW w:w="799"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厂界</w:t>
                  </w:r>
                </w:p>
              </w:tc>
              <w:tc>
                <w:tcPr>
                  <w:tcW w:w="817"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非甲烷总烃、苯系物、颗粒物</w:t>
                  </w:r>
                </w:p>
              </w:tc>
              <w:tc>
                <w:tcPr>
                  <w:tcW w:w="771"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1984" w:type="pct"/>
                  <w:vAlign w:val="center"/>
                </w:tcPr>
                <w:p>
                  <w:pPr>
                    <w:pStyle w:val="12"/>
                    <w:snapToGrid/>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非甲烷总烃、苯系物执行《家具制造行业挥发性有机物排放标准》（DB43/13</w:t>
                  </w:r>
                  <w:r>
                    <w:rPr>
                      <w:rFonts w:hint="default"/>
                      <w:color w:val="000000" w:themeColor="text1"/>
                      <w:sz w:val="21"/>
                      <w:szCs w:val="21"/>
                      <w:lang w:val="en-US"/>
                      <w14:textFill>
                        <w14:solidFill>
                          <w14:schemeClr w14:val="tx1"/>
                        </w14:solidFill>
                      </w14:textFill>
                    </w:rPr>
                    <w:t>5</w:t>
                  </w:r>
                  <w:r>
                    <w:rPr>
                      <w:rFonts w:hint="eastAsia"/>
                      <w:color w:val="000000" w:themeColor="text1"/>
                      <w:sz w:val="21"/>
                      <w:szCs w:val="21"/>
                      <w14:textFill>
                        <w14:solidFill>
                          <w14:schemeClr w14:val="tx1"/>
                        </w14:solidFill>
                      </w14:textFill>
                    </w:rPr>
                    <w:t>5-2017）表2、颗粒物执行《大气污染物综合排放标准》（GB16297-1996）表2</w:t>
                  </w:r>
                </w:p>
              </w:tc>
            </w:tr>
          </w:tbl>
          <w:p>
            <w:pPr>
              <w:pStyle w:val="12"/>
              <w:spacing w:before="0" w:after="0" w:line="360" w:lineRule="auto"/>
              <w:ind w:right="0"/>
              <w:rPr>
                <w:b/>
                <w:bCs/>
                <w:sz w:val="24"/>
                <w:szCs w:val="24"/>
              </w:rPr>
            </w:pPr>
            <w:r>
              <w:rPr>
                <w:rFonts w:hint="eastAsia"/>
                <w:b/>
                <w:bCs/>
                <w:sz w:val="24"/>
                <w:szCs w:val="24"/>
              </w:rPr>
              <w:t>1.4、非正常工况</w:t>
            </w:r>
          </w:p>
          <w:p>
            <w:pPr>
              <w:pStyle w:val="12"/>
              <w:spacing w:before="0" w:after="0" w:line="360" w:lineRule="auto"/>
              <w:ind w:right="0" w:firstLine="480" w:firstLineChars="200"/>
              <w:rPr>
                <w:sz w:val="24"/>
                <w:szCs w:val="24"/>
              </w:rPr>
            </w:pPr>
            <w:r>
              <w:rPr>
                <w:rFonts w:hint="eastAsia"/>
                <w:sz w:val="24"/>
                <w:szCs w:val="24"/>
              </w:rPr>
              <w:t>本项目非正常工况下的废气污染物排放主要是生产废气处理装置出现故障，处理效率降低。本次评价考虑废气处理设施发生故障，按最不利原则，处理效率为0%的状态进行估算。</w:t>
            </w:r>
          </w:p>
          <w:p>
            <w:pPr>
              <w:pStyle w:val="12"/>
              <w:spacing w:before="0" w:after="0" w:line="360" w:lineRule="auto"/>
              <w:ind w:right="0" w:firstLine="480" w:firstLineChars="200"/>
              <w:rPr>
                <w:sz w:val="24"/>
                <w:szCs w:val="24"/>
              </w:rPr>
            </w:pPr>
            <w:r>
              <w:rPr>
                <w:rFonts w:hint="eastAsia"/>
                <w:sz w:val="24"/>
                <w:szCs w:val="24"/>
              </w:rPr>
              <w:t>废气非正常工况源强情况见表4-19。</w:t>
            </w:r>
          </w:p>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表4-19   非正常工况下废气产生排放情况汇总表</w:t>
            </w:r>
          </w:p>
          <w:tbl>
            <w:tblPr>
              <w:tblStyle w:val="33"/>
              <w:tblpPr w:leftFromText="181" w:rightFromText="181" w:vertAnchor="text" w:horzAnchor="page"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930"/>
              <w:gridCol w:w="930"/>
              <w:gridCol w:w="1125"/>
              <w:gridCol w:w="963"/>
              <w:gridCol w:w="861"/>
              <w:gridCol w:w="849"/>
              <w:gridCol w:w="696"/>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 w:type="dxa"/>
                  <w:vMerge w:val="restart"/>
                  <w:vAlign w:val="center"/>
                </w:tcPr>
                <w:p>
                  <w:pPr>
                    <w:pStyle w:val="12"/>
                    <w:snapToGrid/>
                    <w:spacing w:before="0" w:after="0" w:line="240" w:lineRule="auto"/>
                    <w:ind w:right="0"/>
                    <w:jc w:val="center"/>
                    <w:rPr>
                      <w:sz w:val="21"/>
                      <w:szCs w:val="21"/>
                    </w:rPr>
                  </w:pPr>
                  <w:r>
                    <w:rPr>
                      <w:sz w:val="21"/>
                      <w:szCs w:val="21"/>
                    </w:rPr>
                    <w:t>污染源</w:t>
                  </w:r>
                </w:p>
              </w:tc>
              <w:tc>
                <w:tcPr>
                  <w:tcW w:w="930" w:type="dxa"/>
                  <w:vMerge w:val="restart"/>
                  <w:vAlign w:val="center"/>
                </w:tcPr>
                <w:p>
                  <w:pPr>
                    <w:pStyle w:val="12"/>
                    <w:snapToGrid/>
                    <w:spacing w:before="0" w:after="0" w:line="240" w:lineRule="auto"/>
                    <w:ind w:right="0"/>
                    <w:jc w:val="center"/>
                    <w:rPr>
                      <w:sz w:val="21"/>
                      <w:szCs w:val="21"/>
                    </w:rPr>
                  </w:pPr>
                  <w:r>
                    <w:rPr>
                      <w:sz w:val="21"/>
                      <w:szCs w:val="21"/>
                    </w:rPr>
                    <w:t>非正常排放原因</w:t>
                  </w:r>
                </w:p>
              </w:tc>
              <w:tc>
                <w:tcPr>
                  <w:tcW w:w="930" w:type="dxa"/>
                  <w:vMerge w:val="restart"/>
                  <w:vAlign w:val="center"/>
                </w:tcPr>
                <w:p>
                  <w:pPr>
                    <w:pStyle w:val="12"/>
                    <w:snapToGrid/>
                    <w:spacing w:before="0" w:after="0" w:line="240" w:lineRule="auto"/>
                    <w:ind w:right="0"/>
                    <w:jc w:val="center"/>
                    <w:rPr>
                      <w:sz w:val="21"/>
                      <w:szCs w:val="21"/>
                    </w:rPr>
                  </w:pPr>
                  <w:r>
                    <w:rPr>
                      <w:sz w:val="21"/>
                      <w:szCs w:val="21"/>
                    </w:rPr>
                    <w:t>污染物</w:t>
                  </w:r>
                </w:p>
              </w:tc>
              <w:tc>
                <w:tcPr>
                  <w:tcW w:w="2949" w:type="dxa"/>
                  <w:gridSpan w:val="3"/>
                  <w:vAlign w:val="center"/>
                </w:tcPr>
                <w:p>
                  <w:pPr>
                    <w:pStyle w:val="12"/>
                    <w:snapToGrid/>
                    <w:spacing w:before="0" w:after="0" w:line="240" w:lineRule="auto"/>
                    <w:ind w:right="0"/>
                    <w:jc w:val="center"/>
                    <w:rPr>
                      <w:sz w:val="21"/>
                      <w:szCs w:val="21"/>
                    </w:rPr>
                  </w:pPr>
                  <w:r>
                    <w:rPr>
                      <w:sz w:val="21"/>
                      <w:szCs w:val="21"/>
                    </w:rPr>
                    <w:t>非正常</w:t>
                  </w:r>
                </w:p>
              </w:tc>
              <w:tc>
                <w:tcPr>
                  <w:tcW w:w="849" w:type="dxa"/>
                  <w:vMerge w:val="restart"/>
                  <w:vAlign w:val="center"/>
                </w:tcPr>
                <w:p>
                  <w:pPr>
                    <w:pStyle w:val="12"/>
                    <w:snapToGrid/>
                    <w:spacing w:before="0" w:after="0" w:line="240" w:lineRule="auto"/>
                    <w:ind w:right="0"/>
                    <w:jc w:val="center"/>
                    <w:rPr>
                      <w:sz w:val="21"/>
                      <w:szCs w:val="21"/>
                    </w:rPr>
                  </w:pPr>
                  <w:r>
                    <w:rPr>
                      <w:sz w:val="21"/>
                      <w:szCs w:val="21"/>
                    </w:rPr>
                    <w:t>单次持续时间/h</w:t>
                  </w:r>
                </w:p>
              </w:tc>
              <w:tc>
                <w:tcPr>
                  <w:tcW w:w="696" w:type="dxa"/>
                  <w:vMerge w:val="restart"/>
                  <w:vAlign w:val="center"/>
                </w:tcPr>
                <w:p>
                  <w:pPr>
                    <w:pStyle w:val="12"/>
                    <w:snapToGrid/>
                    <w:spacing w:before="0" w:after="0" w:line="240" w:lineRule="auto"/>
                    <w:ind w:right="0"/>
                    <w:jc w:val="center"/>
                    <w:rPr>
                      <w:sz w:val="21"/>
                      <w:szCs w:val="21"/>
                    </w:rPr>
                  </w:pPr>
                  <w:r>
                    <w:rPr>
                      <w:sz w:val="21"/>
                      <w:szCs w:val="21"/>
                    </w:rPr>
                    <w:t>年发生频次</w:t>
                  </w:r>
                </w:p>
              </w:tc>
              <w:tc>
                <w:tcPr>
                  <w:tcW w:w="945" w:type="dxa"/>
                  <w:vMerge w:val="restart"/>
                  <w:vAlign w:val="center"/>
                </w:tcPr>
                <w:p>
                  <w:pPr>
                    <w:pStyle w:val="12"/>
                    <w:snapToGrid/>
                    <w:spacing w:before="0" w:after="0" w:line="240" w:lineRule="auto"/>
                    <w:ind w:right="0"/>
                    <w:jc w:val="center"/>
                    <w:rPr>
                      <w:sz w:val="21"/>
                      <w:szCs w:val="21"/>
                    </w:rPr>
                  </w:pPr>
                  <w:r>
                    <w:rPr>
                      <w:sz w:val="21"/>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 w:type="dxa"/>
                  <w:vMerge w:val="continue"/>
                  <w:vAlign w:val="center"/>
                </w:tcPr>
                <w:p>
                  <w:pPr>
                    <w:pStyle w:val="12"/>
                    <w:snapToGrid/>
                    <w:spacing w:before="0" w:after="0" w:line="240" w:lineRule="auto"/>
                    <w:ind w:right="0"/>
                    <w:jc w:val="center"/>
                  </w:pPr>
                </w:p>
              </w:tc>
              <w:tc>
                <w:tcPr>
                  <w:tcW w:w="930" w:type="dxa"/>
                  <w:vMerge w:val="continue"/>
                  <w:vAlign w:val="center"/>
                </w:tcPr>
                <w:p>
                  <w:pPr>
                    <w:pStyle w:val="12"/>
                    <w:snapToGrid/>
                    <w:spacing w:before="0" w:after="0" w:line="240" w:lineRule="auto"/>
                    <w:ind w:right="0"/>
                    <w:jc w:val="center"/>
                  </w:pPr>
                </w:p>
              </w:tc>
              <w:tc>
                <w:tcPr>
                  <w:tcW w:w="930" w:type="dxa"/>
                  <w:vMerge w:val="continue"/>
                  <w:vAlign w:val="center"/>
                </w:tcPr>
                <w:p>
                  <w:pPr>
                    <w:pStyle w:val="12"/>
                    <w:snapToGrid/>
                    <w:spacing w:before="0" w:after="0" w:line="240" w:lineRule="auto"/>
                    <w:ind w:right="0"/>
                    <w:jc w:val="center"/>
                  </w:pPr>
                </w:p>
              </w:tc>
              <w:tc>
                <w:tcPr>
                  <w:tcW w:w="1125" w:type="dxa"/>
                  <w:vAlign w:val="center"/>
                </w:tcPr>
                <w:p>
                  <w:pPr>
                    <w:pStyle w:val="12"/>
                    <w:snapToGrid/>
                    <w:spacing w:before="0" w:after="0" w:line="240" w:lineRule="auto"/>
                    <w:ind w:right="0"/>
                    <w:jc w:val="center"/>
                    <w:rPr>
                      <w:sz w:val="21"/>
                      <w:szCs w:val="21"/>
                    </w:rPr>
                  </w:pPr>
                  <w:r>
                    <w:rPr>
                      <w:sz w:val="21"/>
                      <w:szCs w:val="21"/>
                    </w:rPr>
                    <w:t>排放浓度mg/m</w:t>
                  </w:r>
                  <w:r>
                    <w:rPr>
                      <w:sz w:val="21"/>
                      <w:szCs w:val="21"/>
                      <w:vertAlign w:val="superscript"/>
                    </w:rPr>
                    <w:t>3</w:t>
                  </w:r>
                </w:p>
              </w:tc>
              <w:tc>
                <w:tcPr>
                  <w:tcW w:w="963" w:type="dxa"/>
                  <w:vAlign w:val="center"/>
                </w:tcPr>
                <w:p>
                  <w:pPr>
                    <w:pStyle w:val="12"/>
                    <w:snapToGrid/>
                    <w:spacing w:before="0" w:after="0" w:line="240" w:lineRule="auto"/>
                    <w:ind w:right="0"/>
                    <w:jc w:val="center"/>
                    <w:rPr>
                      <w:sz w:val="21"/>
                      <w:szCs w:val="21"/>
                    </w:rPr>
                  </w:pPr>
                  <w:r>
                    <w:rPr>
                      <w:sz w:val="21"/>
                      <w:szCs w:val="21"/>
                    </w:rPr>
                    <w:t>排放速率kg/h</w:t>
                  </w:r>
                </w:p>
              </w:tc>
              <w:tc>
                <w:tcPr>
                  <w:tcW w:w="861" w:type="dxa"/>
                  <w:vAlign w:val="center"/>
                </w:tcPr>
                <w:p>
                  <w:pPr>
                    <w:pStyle w:val="12"/>
                    <w:snapToGrid/>
                    <w:spacing w:before="0" w:after="0" w:line="240" w:lineRule="auto"/>
                    <w:ind w:right="0"/>
                    <w:jc w:val="center"/>
                    <w:rPr>
                      <w:sz w:val="21"/>
                      <w:szCs w:val="21"/>
                    </w:rPr>
                  </w:pPr>
                  <w:r>
                    <w:rPr>
                      <w:sz w:val="21"/>
                      <w:szCs w:val="21"/>
                    </w:rPr>
                    <w:t>排放量kg/a</w:t>
                  </w:r>
                </w:p>
              </w:tc>
              <w:tc>
                <w:tcPr>
                  <w:tcW w:w="849" w:type="dxa"/>
                  <w:vMerge w:val="continue"/>
                  <w:vAlign w:val="center"/>
                </w:tcPr>
                <w:p>
                  <w:pPr>
                    <w:pStyle w:val="12"/>
                    <w:snapToGrid/>
                    <w:spacing w:before="0" w:after="0" w:line="240" w:lineRule="auto"/>
                    <w:ind w:right="0"/>
                    <w:jc w:val="center"/>
                    <w:rPr>
                      <w:sz w:val="21"/>
                      <w:szCs w:val="21"/>
                    </w:rPr>
                  </w:pPr>
                </w:p>
              </w:tc>
              <w:tc>
                <w:tcPr>
                  <w:tcW w:w="696" w:type="dxa"/>
                  <w:vMerge w:val="continue"/>
                  <w:vAlign w:val="center"/>
                </w:tcPr>
                <w:p>
                  <w:pPr>
                    <w:pStyle w:val="12"/>
                    <w:snapToGrid/>
                    <w:spacing w:before="0" w:after="0" w:line="240" w:lineRule="auto"/>
                    <w:ind w:right="0"/>
                    <w:jc w:val="center"/>
                    <w:rPr>
                      <w:sz w:val="21"/>
                      <w:szCs w:val="21"/>
                    </w:rPr>
                  </w:pPr>
                </w:p>
              </w:tc>
              <w:tc>
                <w:tcPr>
                  <w:tcW w:w="945" w:type="dxa"/>
                  <w:vMerge w:val="continue"/>
                  <w:vAlign w:val="center"/>
                </w:tcPr>
                <w:p>
                  <w:pPr>
                    <w:pStyle w:val="12"/>
                    <w:snapToGrid/>
                    <w:spacing w:before="0" w:after="0" w:line="240" w:lineRule="auto"/>
                    <w:ind w:right="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 w:type="dxa"/>
                  <w:vAlign w:val="center"/>
                </w:tcPr>
                <w:p>
                  <w:pPr>
                    <w:pStyle w:val="12"/>
                    <w:snapToGrid/>
                    <w:spacing w:before="0" w:after="0" w:line="240" w:lineRule="auto"/>
                    <w:ind w:right="0"/>
                    <w:rPr>
                      <w:sz w:val="21"/>
                      <w:szCs w:val="21"/>
                    </w:rPr>
                  </w:pPr>
                  <w:r>
                    <w:rPr>
                      <w:rFonts w:hint="eastAsia"/>
                      <w:sz w:val="21"/>
                      <w:szCs w:val="21"/>
                    </w:rPr>
                    <w:t>下料</w:t>
                  </w:r>
                </w:p>
              </w:tc>
              <w:tc>
                <w:tcPr>
                  <w:tcW w:w="930" w:type="dxa"/>
                  <w:vMerge w:val="restart"/>
                  <w:vAlign w:val="center"/>
                </w:tcPr>
                <w:p>
                  <w:pPr>
                    <w:pStyle w:val="12"/>
                    <w:snapToGrid/>
                    <w:spacing w:before="0" w:after="0" w:line="240" w:lineRule="auto"/>
                    <w:ind w:right="0"/>
                    <w:jc w:val="center"/>
                    <w:rPr>
                      <w:sz w:val="21"/>
                      <w:szCs w:val="21"/>
                    </w:rPr>
                  </w:pPr>
                  <w:r>
                    <w:rPr>
                      <w:sz w:val="21"/>
                      <w:szCs w:val="21"/>
                    </w:rPr>
                    <w:t>废气处理装置故障，处理效率为0</w:t>
                  </w:r>
                </w:p>
              </w:tc>
              <w:tc>
                <w:tcPr>
                  <w:tcW w:w="930" w:type="dxa"/>
                  <w:vAlign w:val="center"/>
                </w:tcPr>
                <w:p>
                  <w:pPr>
                    <w:pStyle w:val="12"/>
                    <w:snapToGrid/>
                    <w:spacing w:before="0" w:after="0" w:line="240" w:lineRule="auto"/>
                    <w:ind w:right="0"/>
                    <w:jc w:val="center"/>
                    <w:rPr>
                      <w:sz w:val="21"/>
                      <w:szCs w:val="21"/>
                    </w:rPr>
                  </w:pPr>
                  <w:r>
                    <w:rPr>
                      <w:sz w:val="21"/>
                      <w:szCs w:val="21"/>
                    </w:rPr>
                    <w:t>颗粒物</w:t>
                  </w:r>
                </w:p>
              </w:tc>
              <w:tc>
                <w:tcPr>
                  <w:tcW w:w="1125"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166.667 </w:t>
                  </w:r>
                </w:p>
              </w:tc>
              <w:tc>
                <w:tcPr>
                  <w:tcW w:w="963"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0.500 </w:t>
                  </w:r>
                </w:p>
              </w:tc>
              <w:tc>
                <w:tcPr>
                  <w:tcW w:w="861"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1.000 </w:t>
                  </w:r>
                </w:p>
              </w:tc>
              <w:tc>
                <w:tcPr>
                  <w:tcW w:w="849"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96"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945" w:type="dxa"/>
                  <w:vMerge w:val="restart"/>
                  <w:vAlign w:val="center"/>
                </w:tcPr>
                <w:p>
                  <w:pPr>
                    <w:pStyle w:val="12"/>
                    <w:snapToGrid/>
                    <w:spacing w:before="0" w:after="0" w:line="240" w:lineRule="auto"/>
                    <w:ind w:right="0"/>
                    <w:jc w:val="center"/>
                    <w:rPr>
                      <w:sz w:val="21"/>
                      <w:szCs w:val="21"/>
                    </w:rPr>
                  </w:pPr>
                  <w:r>
                    <w:rPr>
                      <w:sz w:val="21"/>
                      <w:szCs w:val="21"/>
                    </w:rPr>
                    <w:t>立即停止生产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 w:type="dxa"/>
                  <w:vAlign w:val="center"/>
                </w:tcPr>
                <w:p>
                  <w:pPr>
                    <w:pStyle w:val="12"/>
                    <w:snapToGrid/>
                    <w:spacing w:before="0" w:after="0" w:line="240" w:lineRule="auto"/>
                    <w:ind w:right="0"/>
                    <w:jc w:val="center"/>
                    <w:rPr>
                      <w:sz w:val="21"/>
                      <w:szCs w:val="21"/>
                    </w:rPr>
                  </w:pPr>
                  <w:r>
                    <w:rPr>
                      <w:rFonts w:hint="eastAsia"/>
                      <w:sz w:val="21"/>
                      <w:szCs w:val="21"/>
                    </w:rPr>
                    <w:t>砂光</w:t>
                  </w:r>
                </w:p>
              </w:tc>
              <w:tc>
                <w:tcPr>
                  <w:tcW w:w="930" w:type="dxa"/>
                  <w:vMerge w:val="continue"/>
                  <w:vAlign w:val="center"/>
                </w:tcPr>
                <w:p>
                  <w:pPr>
                    <w:pStyle w:val="12"/>
                    <w:snapToGrid/>
                    <w:spacing w:before="0" w:after="0" w:line="240" w:lineRule="auto"/>
                    <w:ind w:right="0"/>
                    <w:jc w:val="center"/>
                    <w:rPr>
                      <w:sz w:val="21"/>
                      <w:szCs w:val="21"/>
                    </w:rPr>
                  </w:pPr>
                </w:p>
              </w:tc>
              <w:tc>
                <w:tcPr>
                  <w:tcW w:w="930" w:type="dxa"/>
                  <w:vAlign w:val="center"/>
                </w:tcPr>
                <w:p>
                  <w:pPr>
                    <w:pStyle w:val="12"/>
                    <w:snapToGrid/>
                    <w:spacing w:before="0" w:after="0" w:line="240" w:lineRule="auto"/>
                    <w:ind w:right="0"/>
                    <w:jc w:val="center"/>
                    <w:rPr>
                      <w:sz w:val="21"/>
                      <w:szCs w:val="21"/>
                    </w:rPr>
                  </w:pPr>
                  <w:r>
                    <w:rPr>
                      <w:sz w:val="21"/>
                      <w:szCs w:val="21"/>
                    </w:rPr>
                    <w:t>颗粒物</w:t>
                  </w:r>
                </w:p>
              </w:tc>
              <w:tc>
                <w:tcPr>
                  <w:tcW w:w="1125"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426.938 </w:t>
                  </w:r>
                </w:p>
              </w:tc>
              <w:tc>
                <w:tcPr>
                  <w:tcW w:w="963"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1.281 </w:t>
                  </w:r>
                </w:p>
              </w:tc>
              <w:tc>
                <w:tcPr>
                  <w:tcW w:w="861"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2.562 </w:t>
                  </w:r>
                </w:p>
              </w:tc>
              <w:tc>
                <w:tcPr>
                  <w:tcW w:w="849"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96"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945" w:type="dxa"/>
                  <w:vMerge w:val="continue"/>
                  <w:vAlign w:val="center"/>
                </w:tcPr>
                <w:p>
                  <w:pPr>
                    <w:pStyle w:val="12"/>
                    <w:snapToGrid/>
                    <w:spacing w:before="0" w:after="0" w:line="240" w:lineRule="auto"/>
                    <w:ind w:right="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73" w:type="dxa"/>
                  <w:vAlign w:val="center"/>
                </w:tcPr>
                <w:p>
                  <w:pPr>
                    <w:pStyle w:val="12"/>
                    <w:snapToGrid/>
                    <w:spacing w:before="0" w:after="0" w:line="240" w:lineRule="auto"/>
                    <w:ind w:right="0"/>
                    <w:jc w:val="center"/>
                    <w:rPr>
                      <w:sz w:val="21"/>
                      <w:szCs w:val="21"/>
                    </w:rPr>
                  </w:pPr>
                  <w:r>
                    <w:rPr>
                      <w:rFonts w:hint="eastAsia"/>
                      <w:sz w:val="21"/>
                      <w:szCs w:val="21"/>
                    </w:rPr>
                    <w:t>机加工</w:t>
                  </w:r>
                </w:p>
              </w:tc>
              <w:tc>
                <w:tcPr>
                  <w:tcW w:w="930" w:type="dxa"/>
                  <w:vMerge w:val="continue"/>
                  <w:vAlign w:val="center"/>
                </w:tcPr>
                <w:p>
                  <w:pPr>
                    <w:pStyle w:val="12"/>
                    <w:snapToGrid/>
                    <w:spacing w:before="0" w:after="0" w:line="240" w:lineRule="auto"/>
                    <w:ind w:right="0"/>
                    <w:jc w:val="center"/>
                    <w:rPr>
                      <w:sz w:val="21"/>
                      <w:szCs w:val="21"/>
                    </w:rPr>
                  </w:pPr>
                </w:p>
              </w:tc>
              <w:tc>
                <w:tcPr>
                  <w:tcW w:w="930" w:type="dxa"/>
                  <w:vAlign w:val="center"/>
                </w:tcPr>
                <w:p>
                  <w:pPr>
                    <w:pStyle w:val="12"/>
                    <w:snapToGrid/>
                    <w:spacing w:before="0" w:after="0" w:line="240" w:lineRule="auto"/>
                    <w:ind w:right="0"/>
                    <w:jc w:val="center"/>
                    <w:rPr>
                      <w:sz w:val="21"/>
                      <w:szCs w:val="21"/>
                    </w:rPr>
                  </w:pPr>
                  <w:r>
                    <w:rPr>
                      <w:sz w:val="21"/>
                      <w:szCs w:val="21"/>
                    </w:rPr>
                    <w:t>颗粒物</w:t>
                  </w:r>
                </w:p>
              </w:tc>
              <w:tc>
                <w:tcPr>
                  <w:tcW w:w="1125"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166.667 </w:t>
                  </w:r>
                </w:p>
              </w:tc>
              <w:tc>
                <w:tcPr>
                  <w:tcW w:w="963"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0.500 </w:t>
                  </w:r>
                </w:p>
              </w:tc>
              <w:tc>
                <w:tcPr>
                  <w:tcW w:w="861"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1.000 </w:t>
                  </w:r>
                </w:p>
              </w:tc>
              <w:tc>
                <w:tcPr>
                  <w:tcW w:w="849"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96"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945" w:type="dxa"/>
                  <w:vMerge w:val="continue"/>
                  <w:vAlign w:val="center"/>
                </w:tcPr>
                <w:p>
                  <w:pPr>
                    <w:pStyle w:val="12"/>
                    <w:snapToGrid/>
                    <w:spacing w:before="0" w:after="0" w:line="240" w:lineRule="auto"/>
                    <w:ind w:right="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 w:type="dxa"/>
                  <w:vAlign w:val="center"/>
                </w:tcPr>
                <w:p>
                  <w:pPr>
                    <w:pStyle w:val="12"/>
                    <w:snapToGrid/>
                    <w:spacing w:before="0" w:after="0" w:line="240" w:lineRule="auto"/>
                    <w:ind w:right="0"/>
                    <w:jc w:val="center"/>
                    <w:rPr>
                      <w:sz w:val="21"/>
                      <w:szCs w:val="21"/>
                    </w:rPr>
                  </w:pPr>
                  <w:r>
                    <w:rPr>
                      <w:rFonts w:hint="eastAsia"/>
                      <w:sz w:val="21"/>
                      <w:szCs w:val="21"/>
                    </w:rPr>
                    <w:t>腻子粉打磨</w:t>
                  </w:r>
                </w:p>
              </w:tc>
              <w:tc>
                <w:tcPr>
                  <w:tcW w:w="930" w:type="dxa"/>
                  <w:vMerge w:val="continue"/>
                  <w:vAlign w:val="center"/>
                </w:tcPr>
                <w:p>
                  <w:pPr>
                    <w:pStyle w:val="12"/>
                    <w:snapToGrid/>
                    <w:spacing w:before="0" w:after="0" w:line="240" w:lineRule="auto"/>
                    <w:ind w:right="0"/>
                    <w:jc w:val="center"/>
                    <w:rPr>
                      <w:sz w:val="21"/>
                      <w:szCs w:val="21"/>
                    </w:rPr>
                  </w:pPr>
                </w:p>
              </w:tc>
              <w:tc>
                <w:tcPr>
                  <w:tcW w:w="930" w:type="dxa"/>
                  <w:vAlign w:val="center"/>
                </w:tcPr>
                <w:p>
                  <w:pPr>
                    <w:pStyle w:val="12"/>
                    <w:snapToGrid/>
                    <w:spacing w:before="0" w:after="0" w:line="240" w:lineRule="auto"/>
                    <w:ind w:right="0"/>
                    <w:jc w:val="center"/>
                    <w:rPr>
                      <w:sz w:val="21"/>
                      <w:szCs w:val="21"/>
                    </w:rPr>
                  </w:pPr>
                  <w:r>
                    <w:rPr>
                      <w:sz w:val="21"/>
                      <w:szCs w:val="21"/>
                    </w:rPr>
                    <w:t>颗粒物</w:t>
                  </w:r>
                </w:p>
              </w:tc>
              <w:tc>
                <w:tcPr>
                  <w:tcW w:w="1125"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117.500 </w:t>
                  </w:r>
                </w:p>
              </w:tc>
              <w:tc>
                <w:tcPr>
                  <w:tcW w:w="963"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0.353 </w:t>
                  </w:r>
                </w:p>
              </w:tc>
              <w:tc>
                <w:tcPr>
                  <w:tcW w:w="861"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0.705 </w:t>
                  </w:r>
                </w:p>
              </w:tc>
              <w:tc>
                <w:tcPr>
                  <w:tcW w:w="849"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96"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945" w:type="dxa"/>
                  <w:vMerge w:val="continue"/>
                  <w:vAlign w:val="center"/>
                </w:tcPr>
                <w:p>
                  <w:pPr>
                    <w:pStyle w:val="12"/>
                    <w:snapToGrid/>
                    <w:spacing w:before="0" w:after="0" w:line="240" w:lineRule="auto"/>
                    <w:ind w:right="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 w:type="dxa"/>
                  <w:vMerge w:val="restart"/>
                  <w:vAlign w:val="center"/>
                </w:tcPr>
                <w:p>
                  <w:pPr>
                    <w:pStyle w:val="12"/>
                    <w:snapToGrid/>
                    <w:spacing w:before="0" w:after="0" w:line="240" w:lineRule="auto"/>
                    <w:ind w:right="0"/>
                    <w:jc w:val="center"/>
                    <w:rPr>
                      <w:sz w:val="21"/>
                      <w:szCs w:val="21"/>
                    </w:rPr>
                  </w:pPr>
                  <w:r>
                    <w:rPr>
                      <w:rFonts w:hint="eastAsia"/>
                      <w:sz w:val="21"/>
                      <w:szCs w:val="21"/>
                    </w:rPr>
                    <w:t>喷漆、晾干</w:t>
                  </w:r>
                </w:p>
              </w:tc>
              <w:tc>
                <w:tcPr>
                  <w:tcW w:w="930" w:type="dxa"/>
                  <w:vMerge w:val="continue"/>
                  <w:vAlign w:val="center"/>
                </w:tcPr>
                <w:p>
                  <w:pPr>
                    <w:pStyle w:val="12"/>
                    <w:snapToGrid/>
                    <w:spacing w:before="0" w:after="0" w:line="240" w:lineRule="auto"/>
                    <w:ind w:right="0"/>
                    <w:jc w:val="center"/>
                    <w:rPr>
                      <w:sz w:val="21"/>
                      <w:szCs w:val="21"/>
                    </w:rPr>
                  </w:pPr>
                </w:p>
              </w:tc>
              <w:tc>
                <w:tcPr>
                  <w:tcW w:w="930" w:type="dxa"/>
                  <w:vAlign w:val="center"/>
                </w:tcPr>
                <w:p>
                  <w:pPr>
                    <w:pStyle w:val="12"/>
                    <w:snapToGrid/>
                    <w:spacing w:before="0" w:after="0" w:line="240" w:lineRule="auto"/>
                    <w:ind w:right="0"/>
                    <w:jc w:val="center"/>
                    <w:rPr>
                      <w:sz w:val="21"/>
                      <w:szCs w:val="21"/>
                    </w:rPr>
                  </w:pPr>
                  <w:r>
                    <w:rPr>
                      <w:rFonts w:hint="eastAsia"/>
                      <w:sz w:val="21"/>
                      <w:szCs w:val="21"/>
                    </w:rPr>
                    <w:t>NMHC</w:t>
                  </w:r>
                </w:p>
              </w:tc>
              <w:tc>
                <w:tcPr>
                  <w:tcW w:w="1125"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45.141 </w:t>
                  </w:r>
                </w:p>
              </w:tc>
              <w:tc>
                <w:tcPr>
                  <w:tcW w:w="963"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1.354 </w:t>
                  </w:r>
                </w:p>
              </w:tc>
              <w:tc>
                <w:tcPr>
                  <w:tcW w:w="861"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2.708 </w:t>
                  </w:r>
                </w:p>
              </w:tc>
              <w:tc>
                <w:tcPr>
                  <w:tcW w:w="849"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96"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945" w:type="dxa"/>
                  <w:vMerge w:val="continue"/>
                  <w:vAlign w:val="center"/>
                </w:tcPr>
                <w:p>
                  <w:pPr>
                    <w:pStyle w:val="12"/>
                    <w:snapToGrid/>
                    <w:spacing w:before="0" w:after="0" w:line="240" w:lineRule="auto"/>
                    <w:ind w:right="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 w:type="dxa"/>
                  <w:vMerge w:val="continue"/>
                  <w:vAlign w:val="center"/>
                </w:tcPr>
                <w:p>
                  <w:pPr>
                    <w:pStyle w:val="12"/>
                    <w:snapToGrid/>
                    <w:spacing w:before="0" w:after="0" w:line="240" w:lineRule="auto"/>
                    <w:ind w:right="0"/>
                    <w:jc w:val="center"/>
                    <w:rPr>
                      <w:sz w:val="21"/>
                      <w:szCs w:val="21"/>
                    </w:rPr>
                  </w:pPr>
                </w:p>
              </w:tc>
              <w:tc>
                <w:tcPr>
                  <w:tcW w:w="930" w:type="dxa"/>
                  <w:vMerge w:val="continue"/>
                  <w:vAlign w:val="center"/>
                </w:tcPr>
                <w:p>
                  <w:pPr>
                    <w:pStyle w:val="12"/>
                    <w:snapToGrid/>
                    <w:spacing w:before="0" w:after="0" w:line="240" w:lineRule="auto"/>
                    <w:ind w:right="0"/>
                    <w:jc w:val="center"/>
                    <w:rPr>
                      <w:sz w:val="21"/>
                      <w:szCs w:val="21"/>
                    </w:rPr>
                  </w:pPr>
                </w:p>
              </w:tc>
              <w:tc>
                <w:tcPr>
                  <w:tcW w:w="930" w:type="dxa"/>
                  <w:vAlign w:val="center"/>
                </w:tcPr>
                <w:p>
                  <w:pPr>
                    <w:pStyle w:val="12"/>
                    <w:snapToGrid/>
                    <w:spacing w:before="0" w:after="0" w:line="240" w:lineRule="auto"/>
                    <w:ind w:right="0"/>
                    <w:jc w:val="center"/>
                    <w:rPr>
                      <w:sz w:val="21"/>
                      <w:szCs w:val="21"/>
                    </w:rPr>
                  </w:pPr>
                  <w:r>
                    <w:rPr>
                      <w:rFonts w:hint="eastAsia"/>
                      <w:sz w:val="21"/>
                      <w:szCs w:val="21"/>
                    </w:rPr>
                    <w:t>苯系物</w:t>
                  </w:r>
                </w:p>
              </w:tc>
              <w:tc>
                <w:tcPr>
                  <w:tcW w:w="1125"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4.345 </w:t>
                  </w:r>
                </w:p>
              </w:tc>
              <w:tc>
                <w:tcPr>
                  <w:tcW w:w="963"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0.130 </w:t>
                  </w:r>
                </w:p>
              </w:tc>
              <w:tc>
                <w:tcPr>
                  <w:tcW w:w="861"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0.261 </w:t>
                  </w:r>
                </w:p>
              </w:tc>
              <w:tc>
                <w:tcPr>
                  <w:tcW w:w="849"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96"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945" w:type="dxa"/>
                  <w:vMerge w:val="continue"/>
                  <w:vAlign w:val="center"/>
                </w:tcPr>
                <w:p>
                  <w:pPr>
                    <w:pStyle w:val="12"/>
                    <w:snapToGrid/>
                    <w:spacing w:before="0" w:after="0" w:line="240" w:lineRule="auto"/>
                    <w:ind w:right="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 w:type="dxa"/>
                  <w:vMerge w:val="continue"/>
                  <w:vAlign w:val="center"/>
                </w:tcPr>
                <w:p>
                  <w:pPr>
                    <w:pStyle w:val="12"/>
                    <w:snapToGrid/>
                    <w:spacing w:before="0" w:after="0" w:line="240" w:lineRule="auto"/>
                    <w:ind w:right="0"/>
                    <w:jc w:val="center"/>
                    <w:rPr>
                      <w:sz w:val="21"/>
                      <w:szCs w:val="21"/>
                    </w:rPr>
                  </w:pPr>
                </w:p>
              </w:tc>
              <w:tc>
                <w:tcPr>
                  <w:tcW w:w="930" w:type="dxa"/>
                  <w:vMerge w:val="continue"/>
                  <w:vAlign w:val="center"/>
                </w:tcPr>
                <w:p>
                  <w:pPr>
                    <w:pStyle w:val="12"/>
                    <w:snapToGrid/>
                    <w:spacing w:before="0" w:after="0" w:line="240" w:lineRule="auto"/>
                    <w:ind w:right="0"/>
                    <w:jc w:val="center"/>
                    <w:rPr>
                      <w:sz w:val="21"/>
                      <w:szCs w:val="21"/>
                    </w:rPr>
                  </w:pPr>
                </w:p>
              </w:tc>
              <w:tc>
                <w:tcPr>
                  <w:tcW w:w="930" w:type="dxa"/>
                  <w:vAlign w:val="center"/>
                </w:tcPr>
                <w:p>
                  <w:pPr>
                    <w:pStyle w:val="12"/>
                    <w:snapToGrid/>
                    <w:spacing w:before="0" w:after="0" w:line="240" w:lineRule="auto"/>
                    <w:ind w:right="0"/>
                    <w:jc w:val="center"/>
                    <w:rPr>
                      <w:sz w:val="21"/>
                      <w:szCs w:val="21"/>
                    </w:rPr>
                  </w:pPr>
                  <w:r>
                    <w:rPr>
                      <w:rFonts w:hint="eastAsia"/>
                      <w:sz w:val="21"/>
                      <w:szCs w:val="21"/>
                    </w:rPr>
                    <w:t>颗粒物</w:t>
                  </w:r>
                </w:p>
              </w:tc>
              <w:tc>
                <w:tcPr>
                  <w:tcW w:w="1125"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84.775 </w:t>
                  </w:r>
                </w:p>
              </w:tc>
              <w:tc>
                <w:tcPr>
                  <w:tcW w:w="963"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2.543 </w:t>
                  </w:r>
                </w:p>
              </w:tc>
              <w:tc>
                <w:tcPr>
                  <w:tcW w:w="861"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5.087 </w:t>
                  </w:r>
                </w:p>
              </w:tc>
              <w:tc>
                <w:tcPr>
                  <w:tcW w:w="849"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96" w:type="dxa"/>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945" w:type="dxa"/>
                  <w:vMerge w:val="continue"/>
                  <w:vAlign w:val="center"/>
                </w:tcPr>
                <w:p>
                  <w:pPr>
                    <w:pStyle w:val="12"/>
                    <w:snapToGrid/>
                    <w:spacing w:before="0" w:after="0" w:line="240" w:lineRule="auto"/>
                    <w:ind w:right="0"/>
                    <w:jc w:val="center"/>
                    <w:rPr>
                      <w:sz w:val="21"/>
                      <w:szCs w:val="21"/>
                    </w:rPr>
                  </w:pPr>
                </w:p>
              </w:tc>
            </w:tr>
          </w:tbl>
          <w:p>
            <w:pPr>
              <w:pStyle w:val="12"/>
              <w:spacing w:before="0" w:after="0" w:line="360" w:lineRule="auto"/>
              <w:ind w:right="0" w:firstLine="480" w:firstLineChars="200"/>
              <w:rPr>
                <w:sz w:val="24"/>
                <w:szCs w:val="24"/>
              </w:rPr>
            </w:pPr>
            <w:r>
              <w:rPr>
                <w:rFonts w:hint="eastAsia"/>
                <w:sz w:val="24"/>
                <w:szCs w:val="24"/>
              </w:rPr>
              <w:t>从表4-4分析可知，非正常工况下，颗粒物排放超过</w:t>
            </w:r>
            <w:r>
              <w:rPr>
                <w:rFonts w:hint="eastAsia"/>
                <w:sz w:val="24"/>
                <w:szCs w:val="24"/>
                <w:lang w:val="zh-CN"/>
              </w:rPr>
              <w:t>《大气污染物排放标准》（GB</w:t>
            </w:r>
            <w:r>
              <w:rPr>
                <w:rFonts w:hint="eastAsia"/>
                <w:sz w:val="24"/>
                <w:szCs w:val="24"/>
              </w:rPr>
              <w:t>16297</w:t>
            </w:r>
            <w:r>
              <w:rPr>
                <w:rFonts w:hint="eastAsia"/>
                <w:sz w:val="24"/>
                <w:szCs w:val="24"/>
                <w:lang w:val="zh-CN"/>
              </w:rPr>
              <w:t>-</w:t>
            </w:r>
            <w:r>
              <w:rPr>
                <w:rFonts w:hint="eastAsia"/>
                <w:sz w:val="24"/>
                <w:szCs w:val="24"/>
              </w:rPr>
              <w:t>1996</w:t>
            </w:r>
            <w:r>
              <w:rPr>
                <w:rFonts w:hint="eastAsia"/>
                <w:sz w:val="24"/>
                <w:szCs w:val="24"/>
                <w:lang w:val="zh-CN"/>
              </w:rPr>
              <w:t>）表</w:t>
            </w:r>
            <w:r>
              <w:rPr>
                <w:rFonts w:hint="eastAsia"/>
                <w:sz w:val="24"/>
                <w:szCs w:val="24"/>
              </w:rPr>
              <w:t>2</w:t>
            </w:r>
            <w:r>
              <w:rPr>
                <w:rFonts w:hint="eastAsia"/>
                <w:sz w:val="24"/>
                <w:szCs w:val="24"/>
                <w:lang w:val="zh-CN"/>
              </w:rPr>
              <w:t>排放限值</w:t>
            </w:r>
            <w:r>
              <w:rPr>
                <w:rFonts w:hint="eastAsia"/>
                <w:sz w:val="24"/>
                <w:szCs w:val="24"/>
              </w:rPr>
              <w:t>要求，5#排气筒喷漆房、晾干房有机废气超过《家具制造行业挥发性有机物排放标准》（DB43/13</w:t>
            </w:r>
            <w:r>
              <w:rPr>
                <w:rFonts w:hint="default"/>
                <w:sz w:val="24"/>
                <w:szCs w:val="24"/>
                <w:lang w:val="en-US"/>
              </w:rPr>
              <w:t>5</w:t>
            </w:r>
            <w:r>
              <w:rPr>
                <w:rFonts w:hint="eastAsia"/>
                <w:sz w:val="24"/>
                <w:szCs w:val="24"/>
              </w:rPr>
              <w:t>5-2017）表2排放要求，本次评价要求建设单位应加强废气处理系统维护和检修，保持最佳运行状态，避免非正常排放发生；在废气处理设备停止运行或出现故障时，产生废气的各工序也必须相应停止生产。</w:t>
            </w:r>
          </w:p>
          <w:p>
            <w:pPr>
              <w:pStyle w:val="12"/>
              <w:spacing w:before="0" w:after="0" w:line="360" w:lineRule="auto"/>
              <w:ind w:right="0" w:firstLine="480" w:firstLineChars="200"/>
              <w:rPr>
                <w:sz w:val="24"/>
                <w:szCs w:val="24"/>
              </w:rPr>
            </w:pPr>
            <w:r>
              <w:rPr>
                <w:rFonts w:hint="eastAsia"/>
                <w:sz w:val="24"/>
                <w:szCs w:val="24"/>
              </w:rPr>
              <w:t xml:space="preserve">为杜绝废气非正常排放，应采取以下措施确保废气达标排放： </w:t>
            </w:r>
          </w:p>
          <w:p>
            <w:pPr>
              <w:pStyle w:val="12"/>
              <w:spacing w:before="0" w:after="0" w:line="360" w:lineRule="auto"/>
              <w:ind w:right="0" w:firstLine="480" w:firstLineChars="200"/>
              <w:rPr>
                <w:sz w:val="24"/>
                <w:szCs w:val="24"/>
              </w:rPr>
            </w:pPr>
            <w:r>
              <w:rPr>
                <w:rFonts w:hint="eastAsia"/>
                <w:sz w:val="24"/>
                <w:szCs w:val="24"/>
              </w:rPr>
              <w:t xml:space="preserve">①安排专人负责废气处理设施的日常维护和管理，定期检查，及时发现设施的隐患，确保废气处理设施正常运行； </w:t>
            </w:r>
          </w:p>
          <w:p>
            <w:pPr>
              <w:pStyle w:val="12"/>
              <w:spacing w:before="0" w:after="0" w:line="360" w:lineRule="auto"/>
              <w:ind w:right="0" w:firstLine="480" w:firstLineChars="200"/>
              <w:rPr>
                <w:sz w:val="24"/>
                <w:szCs w:val="24"/>
              </w:rPr>
            </w:pPr>
            <w:r>
              <w:rPr>
                <w:rFonts w:hint="eastAsia"/>
                <w:sz w:val="24"/>
                <w:szCs w:val="24"/>
              </w:rPr>
              <w:t xml:space="preserve">②建立健全的环保管理机构对环保管理人员和技术人员进行岗位培训，委托具有专业资质的检测单位对项目排放的各类污染物进行定期检测； </w:t>
            </w:r>
          </w:p>
          <w:p>
            <w:pPr>
              <w:pStyle w:val="12"/>
              <w:spacing w:before="0" w:after="0" w:line="360" w:lineRule="auto"/>
              <w:ind w:right="0" w:firstLine="480" w:firstLineChars="200"/>
              <w:rPr>
                <w:sz w:val="24"/>
                <w:szCs w:val="24"/>
              </w:rPr>
            </w:pPr>
            <w:r>
              <w:rPr>
                <w:rFonts w:hint="eastAsia"/>
                <w:sz w:val="24"/>
                <w:szCs w:val="24"/>
              </w:rPr>
              <w:t>③定期维护、检修废气净化装置，保持废气处理装置的净化能力和净化容量。</w:t>
            </w:r>
          </w:p>
          <w:p>
            <w:pPr>
              <w:pStyle w:val="12"/>
              <w:spacing w:before="0" w:after="0" w:line="360" w:lineRule="auto"/>
              <w:ind w:right="0"/>
              <w:rPr>
                <w:b/>
                <w:bCs/>
                <w:sz w:val="24"/>
                <w:szCs w:val="24"/>
              </w:rPr>
            </w:pPr>
            <w:r>
              <w:rPr>
                <w:rFonts w:hint="eastAsia"/>
                <w:b/>
                <w:bCs/>
                <w:sz w:val="24"/>
                <w:szCs w:val="24"/>
              </w:rPr>
              <w:t>1.5废气排放量核算</w:t>
            </w:r>
          </w:p>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表4-20   有组织排放量核算汇总表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79"/>
              <w:gridCol w:w="735"/>
              <w:gridCol w:w="870"/>
              <w:gridCol w:w="786"/>
              <w:gridCol w:w="922"/>
              <w:gridCol w:w="767"/>
              <w:gridCol w:w="734"/>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5" w:type="pct"/>
                  <w:vAlign w:val="center"/>
                </w:tcPr>
                <w:p>
                  <w:pPr>
                    <w:jc w:val="center"/>
                    <w:rPr>
                      <w:szCs w:val="21"/>
                    </w:rPr>
                  </w:pPr>
                  <w:r>
                    <w:rPr>
                      <w:szCs w:val="21"/>
                    </w:rPr>
                    <w:t>序号</w:t>
                  </w:r>
                </w:p>
              </w:tc>
              <w:tc>
                <w:tcPr>
                  <w:tcW w:w="415" w:type="pct"/>
                  <w:vAlign w:val="center"/>
                </w:tcPr>
                <w:p>
                  <w:pPr>
                    <w:jc w:val="center"/>
                    <w:rPr>
                      <w:szCs w:val="21"/>
                    </w:rPr>
                  </w:pPr>
                  <w:r>
                    <w:rPr>
                      <w:rFonts w:hint="eastAsia"/>
                      <w:szCs w:val="21"/>
                    </w:rPr>
                    <w:t>污染源</w:t>
                  </w:r>
                </w:p>
              </w:tc>
              <w:tc>
                <w:tcPr>
                  <w:tcW w:w="449" w:type="pct"/>
                  <w:vAlign w:val="center"/>
                </w:tcPr>
                <w:p>
                  <w:pPr>
                    <w:jc w:val="center"/>
                    <w:rPr>
                      <w:szCs w:val="21"/>
                    </w:rPr>
                  </w:pPr>
                  <w:r>
                    <w:rPr>
                      <w:szCs w:val="21"/>
                    </w:rPr>
                    <w:t>排放口编号</w:t>
                  </w:r>
                </w:p>
              </w:tc>
              <w:tc>
                <w:tcPr>
                  <w:tcW w:w="532" w:type="pct"/>
                  <w:vAlign w:val="center"/>
                </w:tcPr>
                <w:p>
                  <w:pPr>
                    <w:jc w:val="center"/>
                    <w:rPr>
                      <w:szCs w:val="21"/>
                    </w:rPr>
                  </w:pPr>
                  <w:r>
                    <w:rPr>
                      <w:szCs w:val="21"/>
                    </w:rPr>
                    <w:t>污染物</w:t>
                  </w:r>
                </w:p>
              </w:tc>
              <w:tc>
                <w:tcPr>
                  <w:tcW w:w="480" w:type="pct"/>
                  <w:vAlign w:val="center"/>
                </w:tcPr>
                <w:p>
                  <w:pPr>
                    <w:jc w:val="center"/>
                    <w:rPr>
                      <w:szCs w:val="21"/>
                    </w:rPr>
                  </w:pPr>
                  <w:r>
                    <w:rPr>
                      <w:rFonts w:hint="eastAsia"/>
                      <w:szCs w:val="21"/>
                    </w:rPr>
                    <w:t>处理措施</w:t>
                  </w:r>
                </w:p>
              </w:tc>
              <w:tc>
                <w:tcPr>
                  <w:tcW w:w="564" w:type="pct"/>
                  <w:vAlign w:val="center"/>
                </w:tcPr>
                <w:p>
                  <w:pPr>
                    <w:jc w:val="center"/>
                    <w:rPr>
                      <w:szCs w:val="21"/>
                    </w:rPr>
                  </w:pPr>
                  <w:r>
                    <w:rPr>
                      <w:szCs w:val="21"/>
                    </w:rPr>
                    <w:t>排放浓度</w:t>
                  </w:r>
                </w:p>
                <w:p>
                  <w:pPr>
                    <w:jc w:val="center"/>
                    <w:rPr>
                      <w:szCs w:val="21"/>
                    </w:rPr>
                  </w:pPr>
                  <w:r>
                    <w:rPr>
                      <w:szCs w:val="21"/>
                    </w:rPr>
                    <w:t>mg/m</w:t>
                  </w:r>
                  <w:r>
                    <w:rPr>
                      <w:szCs w:val="21"/>
                      <w:vertAlign w:val="superscript"/>
                    </w:rPr>
                    <w:t>3</w:t>
                  </w:r>
                </w:p>
              </w:tc>
              <w:tc>
                <w:tcPr>
                  <w:tcW w:w="469" w:type="pct"/>
                  <w:vAlign w:val="center"/>
                </w:tcPr>
                <w:p>
                  <w:pPr>
                    <w:jc w:val="center"/>
                    <w:rPr>
                      <w:szCs w:val="21"/>
                    </w:rPr>
                  </w:pPr>
                  <w:r>
                    <w:rPr>
                      <w:szCs w:val="21"/>
                    </w:rPr>
                    <w:t>排放速率</w:t>
                  </w:r>
                </w:p>
                <w:p>
                  <w:pPr>
                    <w:jc w:val="center"/>
                    <w:rPr>
                      <w:szCs w:val="21"/>
                    </w:rPr>
                  </w:pPr>
                  <w:r>
                    <w:rPr>
                      <w:szCs w:val="21"/>
                    </w:rPr>
                    <w:t>kg/h</w:t>
                  </w:r>
                </w:p>
              </w:tc>
              <w:tc>
                <w:tcPr>
                  <w:tcW w:w="449" w:type="pct"/>
                  <w:vAlign w:val="center"/>
                </w:tcPr>
                <w:p>
                  <w:pPr>
                    <w:jc w:val="center"/>
                    <w:rPr>
                      <w:szCs w:val="21"/>
                    </w:rPr>
                  </w:pPr>
                  <w:r>
                    <w:rPr>
                      <w:szCs w:val="21"/>
                    </w:rPr>
                    <w:t>年排放量</w:t>
                  </w:r>
                </w:p>
                <w:p>
                  <w:pPr>
                    <w:jc w:val="center"/>
                    <w:rPr>
                      <w:szCs w:val="21"/>
                    </w:rPr>
                  </w:pPr>
                  <w:r>
                    <w:rPr>
                      <w:szCs w:val="21"/>
                    </w:rPr>
                    <w:t>t/a</w:t>
                  </w:r>
                </w:p>
              </w:tc>
              <w:tc>
                <w:tcPr>
                  <w:tcW w:w="1333" w:type="pct"/>
                  <w:vAlign w:val="center"/>
                </w:tcPr>
                <w:p>
                  <w:pPr>
                    <w:jc w:val="center"/>
                    <w:rPr>
                      <w:szCs w:val="21"/>
                    </w:rPr>
                  </w:pPr>
                  <w:r>
                    <w:rPr>
                      <w:rFonts w:hint="eastAsia"/>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05" w:type="pct"/>
                  <w:vAlign w:val="center"/>
                </w:tcPr>
                <w:p>
                  <w:pPr>
                    <w:jc w:val="center"/>
                    <w:rPr>
                      <w:szCs w:val="21"/>
                    </w:rPr>
                  </w:pPr>
                  <w:r>
                    <w:rPr>
                      <w:rFonts w:hint="eastAsia"/>
                      <w:szCs w:val="21"/>
                    </w:rPr>
                    <w:t>1</w:t>
                  </w:r>
                </w:p>
              </w:tc>
              <w:tc>
                <w:tcPr>
                  <w:tcW w:w="415" w:type="pct"/>
                  <w:vAlign w:val="center"/>
                </w:tcPr>
                <w:p>
                  <w:pPr>
                    <w:jc w:val="center"/>
                    <w:rPr>
                      <w:szCs w:val="21"/>
                    </w:rPr>
                  </w:pPr>
                  <w:r>
                    <w:rPr>
                      <w:rFonts w:hint="eastAsia"/>
                      <w:szCs w:val="21"/>
                    </w:rPr>
                    <w:t>下料</w:t>
                  </w:r>
                </w:p>
              </w:tc>
              <w:tc>
                <w:tcPr>
                  <w:tcW w:w="449" w:type="pct"/>
                  <w:vAlign w:val="center"/>
                </w:tcPr>
                <w:p>
                  <w:pPr>
                    <w:jc w:val="center"/>
                    <w:rPr>
                      <w:szCs w:val="21"/>
                    </w:rPr>
                  </w:pPr>
                  <w:r>
                    <w:rPr>
                      <w:rFonts w:hint="eastAsia"/>
                      <w:szCs w:val="21"/>
                    </w:rPr>
                    <w:t>1#排气筒</w:t>
                  </w:r>
                </w:p>
              </w:tc>
              <w:tc>
                <w:tcPr>
                  <w:tcW w:w="532" w:type="pct"/>
                  <w:vAlign w:val="center"/>
                </w:tcPr>
                <w:p>
                  <w:pPr>
                    <w:adjustRightInd w:val="0"/>
                    <w:snapToGrid w:val="0"/>
                    <w:jc w:val="center"/>
                    <w:rPr>
                      <w:szCs w:val="21"/>
                    </w:rPr>
                  </w:pPr>
                  <w:r>
                    <w:rPr>
                      <w:szCs w:val="21"/>
                    </w:rPr>
                    <w:t>颗粒物</w:t>
                  </w:r>
                </w:p>
              </w:tc>
              <w:tc>
                <w:tcPr>
                  <w:tcW w:w="480" w:type="pct"/>
                  <w:vAlign w:val="center"/>
                </w:tcPr>
                <w:p>
                  <w:pPr>
                    <w:adjustRightInd w:val="0"/>
                    <w:snapToGrid w:val="0"/>
                    <w:jc w:val="center"/>
                    <w:rPr>
                      <w:rFonts w:hint="eastAsia"/>
                      <w:szCs w:val="21"/>
                    </w:rPr>
                  </w:pPr>
                  <w:r>
                    <w:rPr>
                      <w:rFonts w:hint="eastAsia"/>
                      <w:szCs w:val="21"/>
                    </w:rPr>
                    <w:t>布袋除尘</w:t>
                  </w:r>
                </w:p>
              </w:tc>
              <w:tc>
                <w:tcPr>
                  <w:tcW w:w="922"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16.667 </w:t>
                  </w:r>
                </w:p>
              </w:tc>
              <w:tc>
                <w:tcPr>
                  <w:tcW w:w="767"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0.050 </w:t>
                  </w:r>
                </w:p>
              </w:tc>
              <w:tc>
                <w:tcPr>
                  <w:tcW w:w="734"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0.120 </w:t>
                  </w:r>
                </w:p>
              </w:tc>
              <w:tc>
                <w:tcPr>
                  <w:tcW w:w="1333" w:type="pct"/>
                  <w:vMerge w:val="restart"/>
                  <w:vAlign w:val="center"/>
                </w:tcPr>
                <w:p>
                  <w:pPr>
                    <w:jc w:val="center"/>
                    <w:rPr>
                      <w:szCs w:val="21"/>
                    </w:rPr>
                  </w:pPr>
                  <w:r>
                    <w:rPr>
                      <w:rFonts w:hint="eastAsia"/>
                      <w:szCs w:val="21"/>
                    </w:rPr>
                    <w:t>《大气污染物综合排放标准》（GB16297-1996）表2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5" w:type="pct"/>
                  <w:vAlign w:val="center"/>
                </w:tcPr>
                <w:p>
                  <w:pPr>
                    <w:jc w:val="center"/>
                    <w:rPr>
                      <w:szCs w:val="21"/>
                    </w:rPr>
                  </w:pPr>
                  <w:r>
                    <w:rPr>
                      <w:rFonts w:hint="eastAsia"/>
                      <w:szCs w:val="21"/>
                    </w:rPr>
                    <w:t>2</w:t>
                  </w:r>
                </w:p>
              </w:tc>
              <w:tc>
                <w:tcPr>
                  <w:tcW w:w="415" w:type="pct"/>
                  <w:vAlign w:val="center"/>
                </w:tcPr>
                <w:p>
                  <w:pPr>
                    <w:jc w:val="center"/>
                    <w:rPr>
                      <w:szCs w:val="21"/>
                    </w:rPr>
                  </w:pPr>
                  <w:r>
                    <w:rPr>
                      <w:rFonts w:hint="eastAsia"/>
                      <w:szCs w:val="21"/>
                    </w:rPr>
                    <w:t>砂光</w:t>
                  </w:r>
                </w:p>
              </w:tc>
              <w:tc>
                <w:tcPr>
                  <w:tcW w:w="449" w:type="pct"/>
                  <w:vAlign w:val="center"/>
                </w:tcPr>
                <w:p>
                  <w:pPr>
                    <w:jc w:val="center"/>
                    <w:rPr>
                      <w:szCs w:val="21"/>
                    </w:rPr>
                  </w:pPr>
                  <w:r>
                    <w:rPr>
                      <w:rFonts w:hint="eastAsia"/>
                      <w:szCs w:val="21"/>
                    </w:rPr>
                    <w:t>2#排气筒</w:t>
                  </w:r>
                </w:p>
              </w:tc>
              <w:tc>
                <w:tcPr>
                  <w:tcW w:w="532" w:type="pct"/>
                  <w:vAlign w:val="center"/>
                </w:tcPr>
                <w:p>
                  <w:pPr>
                    <w:adjustRightInd w:val="0"/>
                    <w:snapToGrid w:val="0"/>
                    <w:jc w:val="center"/>
                    <w:rPr>
                      <w:szCs w:val="21"/>
                    </w:rPr>
                  </w:pPr>
                  <w:r>
                    <w:rPr>
                      <w:rFonts w:hint="eastAsia"/>
                      <w:szCs w:val="21"/>
                    </w:rPr>
                    <w:t>颗粒物</w:t>
                  </w:r>
                </w:p>
              </w:tc>
              <w:tc>
                <w:tcPr>
                  <w:tcW w:w="480" w:type="pct"/>
                  <w:vAlign w:val="center"/>
                </w:tcPr>
                <w:p>
                  <w:pPr>
                    <w:adjustRightInd w:val="0"/>
                    <w:snapToGrid w:val="0"/>
                    <w:jc w:val="center"/>
                    <w:rPr>
                      <w:rFonts w:hint="eastAsia"/>
                      <w:szCs w:val="21"/>
                    </w:rPr>
                  </w:pPr>
                  <w:r>
                    <w:rPr>
                      <w:rFonts w:hint="eastAsia"/>
                      <w:szCs w:val="21"/>
                    </w:rPr>
                    <w:t>布袋除尘</w:t>
                  </w:r>
                </w:p>
              </w:tc>
              <w:tc>
                <w:tcPr>
                  <w:tcW w:w="922"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42.694 </w:t>
                  </w:r>
                </w:p>
              </w:tc>
              <w:tc>
                <w:tcPr>
                  <w:tcW w:w="767"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0.128 </w:t>
                  </w:r>
                </w:p>
              </w:tc>
              <w:tc>
                <w:tcPr>
                  <w:tcW w:w="734"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0.307 </w:t>
                  </w:r>
                </w:p>
              </w:tc>
              <w:tc>
                <w:tcPr>
                  <w:tcW w:w="1333"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5" w:type="pct"/>
                  <w:vAlign w:val="center"/>
                </w:tcPr>
                <w:p>
                  <w:pPr>
                    <w:jc w:val="center"/>
                    <w:rPr>
                      <w:szCs w:val="21"/>
                    </w:rPr>
                  </w:pPr>
                  <w:r>
                    <w:rPr>
                      <w:rFonts w:hint="eastAsia"/>
                      <w:szCs w:val="21"/>
                    </w:rPr>
                    <w:t>4</w:t>
                  </w:r>
                </w:p>
              </w:tc>
              <w:tc>
                <w:tcPr>
                  <w:tcW w:w="415" w:type="pct"/>
                  <w:vAlign w:val="center"/>
                </w:tcPr>
                <w:p>
                  <w:pPr>
                    <w:jc w:val="center"/>
                    <w:rPr>
                      <w:szCs w:val="21"/>
                    </w:rPr>
                  </w:pPr>
                  <w:r>
                    <w:rPr>
                      <w:rFonts w:hint="eastAsia"/>
                      <w:szCs w:val="21"/>
                    </w:rPr>
                    <w:t>机加工</w:t>
                  </w:r>
                </w:p>
              </w:tc>
              <w:tc>
                <w:tcPr>
                  <w:tcW w:w="449" w:type="pct"/>
                  <w:vAlign w:val="center"/>
                </w:tcPr>
                <w:p>
                  <w:pPr>
                    <w:jc w:val="center"/>
                    <w:rPr>
                      <w:szCs w:val="21"/>
                    </w:rPr>
                  </w:pPr>
                  <w:r>
                    <w:rPr>
                      <w:rFonts w:hint="eastAsia"/>
                      <w:szCs w:val="21"/>
                    </w:rPr>
                    <w:t>3#排气筒</w:t>
                  </w:r>
                </w:p>
              </w:tc>
              <w:tc>
                <w:tcPr>
                  <w:tcW w:w="532" w:type="pct"/>
                  <w:vAlign w:val="center"/>
                </w:tcPr>
                <w:p>
                  <w:pPr>
                    <w:adjustRightInd w:val="0"/>
                    <w:snapToGrid w:val="0"/>
                    <w:jc w:val="center"/>
                    <w:rPr>
                      <w:szCs w:val="21"/>
                    </w:rPr>
                  </w:pPr>
                  <w:r>
                    <w:rPr>
                      <w:szCs w:val="21"/>
                    </w:rPr>
                    <w:t>颗粒物</w:t>
                  </w:r>
                </w:p>
              </w:tc>
              <w:tc>
                <w:tcPr>
                  <w:tcW w:w="480" w:type="pct"/>
                  <w:vAlign w:val="center"/>
                </w:tcPr>
                <w:p>
                  <w:pPr>
                    <w:adjustRightInd w:val="0"/>
                    <w:snapToGrid w:val="0"/>
                    <w:jc w:val="center"/>
                    <w:rPr>
                      <w:rFonts w:hint="eastAsia"/>
                      <w:szCs w:val="21"/>
                    </w:rPr>
                  </w:pPr>
                  <w:r>
                    <w:rPr>
                      <w:rFonts w:hint="eastAsia"/>
                      <w:szCs w:val="21"/>
                    </w:rPr>
                    <w:t>布袋除尘</w:t>
                  </w:r>
                </w:p>
              </w:tc>
              <w:tc>
                <w:tcPr>
                  <w:tcW w:w="922"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16.667 </w:t>
                  </w:r>
                </w:p>
              </w:tc>
              <w:tc>
                <w:tcPr>
                  <w:tcW w:w="767"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0.050 </w:t>
                  </w:r>
                </w:p>
              </w:tc>
              <w:tc>
                <w:tcPr>
                  <w:tcW w:w="734"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0.120 </w:t>
                  </w:r>
                </w:p>
              </w:tc>
              <w:tc>
                <w:tcPr>
                  <w:tcW w:w="1333" w:type="pct"/>
                  <w:vMerge w:val="restart"/>
                  <w:vAlign w:val="center"/>
                </w:tcPr>
                <w:p>
                  <w:pPr>
                    <w:jc w:val="center"/>
                    <w:rPr>
                      <w:kern w:val="0"/>
                      <w:szCs w:val="21"/>
                      <w:lang w:bidi="ar"/>
                    </w:rPr>
                  </w:pPr>
                  <w:r>
                    <w:rPr>
                      <w:rFonts w:hint="eastAsia"/>
                      <w:szCs w:val="21"/>
                    </w:rPr>
                    <w:t>《大气污染物综合排放标准》（GB16297-1996）表2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5" w:type="pct"/>
                  <w:vAlign w:val="center"/>
                </w:tcPr>
                <w:p>
                  <w:pPr>
                    <w:jc w:val="center"/>
                    <w:rPr>
                      <w:szCs w:val="21"/>
                    </w:rPr>
                  </w:pPr>
                  <w:r>
                    <w:rPr>
                      <w:rFonts w:hint="eastAsia"/>
                      <w:szCs w:val="21"/>
                    </w:rPr>
                    <w:t>5</w:t>
                  </w:r>
                </w:p>
              </w:tc>
              <w:tc>
                <w:tcPr>
                  <w:tcW w:w="415" w:type="pct"/>
                  <w:vAlign w:val="center"/>
                </w:tcPr>
                <w:p>
                  <w:pPr>
                    <w:jc w:val="center"/>
                    <w:rPr>
                      <w:szCs w:val="21"/>
                    </w:rPr>
                  </w:pPr>
                  <w:r>
                    <w:rPr>
                      <w:rFonts w:hint="eastAsia"/>
                      <w:szCs w:val="21"/>
                    </w:rPr>
                    <w:t>腻子粉打磨</w:t>
                  </w:r>
                </w:p>
              </w:tc>
              <w:tc>
                <w:tcPr>
                  <w:tcW w:w="449" w:type="pct"/>
                  <w:vAlign w:val="center"/>
                </w:tcPr>
                <w:p>
                  <w:pPr>
                    <w:jc w:val="center"/>
                    <w:rPr>
                      <w:szCs w:val="21"/>
                    </w:rPr>
                  </w:pPr>
                  <w:r>
                    <w:rPr>
                      <w:rFonts w:hint="eastAsia"/>
                      <w:szCs w:val="21"/>
                    </w:rPr>
                    <w:t>4#排气筒</w:t>
                  </w:r>
                </w:p>
              </w:tc>
              <w:tc>
                <w:tcPr>
                  <w:tcW w:w="532" w:type="pct"/>
                  <w:vAlign w:val="center"/>
                </w:tcPr>
                <w:p>
                  <w:pPr>
                    <w:adjustRightInd w:val="0"/>
                    <w:snapToGrid w:val="0"/>
                    <w:jc w:val="center"/>
                    <w:rPr>
                      <w:szCs w:val="21"/>
                    </w:rPr>
                  </w:pPr>
                  <w:r>
                    <w:rPr>
                      <w:szCs w:val="21"/>
                    </w:rPr>
                    <w:t>颗粒物</w:t>
                  </w:r>
                </w:p>
              </w:tc>
              <w:tc>
                <w:tcPr>
                  <w:tcW w:w="480" w:type="pct"/>
                  <w:vAlign w:val="center"/>
                </w:tcPr>
                <w:p>
                  <w:pPr>
                    <w:adjustRightInd w:val="0"/>
                    <w:snapToGrid w:val="0"/>
                    <w:jc w:val="center"/>
                    <w:rPr>
                      <w:rFonts w:hint="eastAsia"/>
                      <w:szCs w:val="21"/>
                    </w:rPr>
                  </w:pPr>
                  <w:r>
                    <w:rPr>
                      <w:rFonts w:hint="eastAsia"/>
                      <w:szCs w:val="21"/>
                    </w:rPr>
                    <w:t>布袋除尘</w:t>
                  </w:r>
                </w:p>
              </w:tc>
              <w:tc>
                <w:tcPr>
                  <w:tcW w:w="922"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11.750 </w:t>
                  </w:r>
                </w:p>
              </w:tc>
              <w:tc>
                <w:tcPr>
                  <w:tcW w:w="767"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0.035 </w:t>
                  </w:r>
                </w:p>
              </w:tc>
              <w:tc>
                <w:tcPr>
                  <w:tcW w:w="734"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0.085 </w:t>
                  </w:r>
                </w:p>
              </w:tc>
              <w:tc>
                <w:tcPr>
                  <w:tcW w:w="1333" w:type="pct"/>
                  <w:vMerge w:val="continue"/>
                  <w:vAlign w:val="center"/>
                </w:tcPr>
                <w:p>
                  <w:pPr>
                    <w:jc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5" w:type="pct"/>
                  <w:vMerge w:val="restart"/>
                  <w:vAlign w:val="center"/>
                </w:tcPr>
                <w:p>
                  <w:pPr>
                    <w:jc w:val="center"/>
                    <w:rPr>
                      <w:szCs w:val="21"/>
                    </w:rPr>
                  </w:pPr>
                  <w:r>
                    <w:rPr>
                      <w:rFonts w:hint="eastAsia"/>
                      <w:szCs w:val="21"/>
                    </w:rPr>
                    <w:t>6</w:t>
                  </w:r>
                </w:p>
              </w:tc>
              <w:tc>
                <w:tcPr>
                  <w:tcW w:w="415" w:type="pct"/>
                  <w:vMerge w:val="restart"/>
                  <w:vAlign w:val="center"/>
                </w:tcPr>
                <w:p>
                  <w:pPr>
                    <w:jc w:val="center"/>
                    <w:rPr>
                      <w:szCs w:val="21"/>
                    </w:rPr>
                  </w:pPr>
                  <w:r>
                    <w:rPr>
                      <w:rFonts w:hint="eastAsia"/>
                      <w:szCs w:val="21"/>
                    </w:rPr>
                    <w:t>喷漆、晾干</w:t>
                  </w:r>
                </w:p>
              </w:tc>
              <w:tc>
                <w:tcPr>
                  <w:tcW w:w="449" w:type="pct"/>
                  <w:vMerge w:val="restart"/>
                  <w:vAlign w:val="center"/>
                </w:tcPr>
                <w:p>
                  <w:pPr>
                    <w:jc w:val="center"/>
                    <w:rPr>
                      <w:szCs w:val="21"/>
                    </w:rPr>
                  </w:pPr>
                  <w:r>
                    <w:rPr>
                      <w:rFonts w:hint="eastAsia"/>
                      <w:szCs w:val="21"/>
                    </w:rPr>
                    <w:t>5#排气筒</w:t>
                  </w:r>
                </w:p>
              </w:tc>
              <w:tc>
                <w:tcPr>
                  <w:tcW w:w="532" w:type="pct"/>
                  <w:vAlign w:val="center"/>
                </w:tcPr>
                <w:p>
                  <w:pPr>
                    <w:adjustRightInd w:val="0"/>
                    <w:snapToGrid w:val="0"/>
                    <w:jc w:val="center"/>
                    <w:rPr>
                      <w:szCs w:val="21"/>
                    </w:rPr>
                  </w:pPr>
                  <w:r>
                    <w:rPr>
                      <w:rFonts w:hint="eastAsia"/>
                      <w:szCs w:val="21"/>
                    </w:rPr>
                    <w:t>NMHC</w:t>
                  </w:r>
                </w:p>
              </w:tc>
              <w:tc>
                <w:tcPr>
                  <w:tcW w:w="480" w:type="pct"/>
                  <w:vMerge w:val="restart"/>
                  <w:vAlign w:val="center"/>
                </w:tcPr>
                <w:p>
                  <w:pPr>
                    <w:adjustRightInd w:val="0"/>
                    <w:snapToGrid w:val="0"/>
                    <w:jc w:val="center"/>
                    <w:rPr>
                      <w:rFonts w:hint="eastAsia"/>
                      <w:szCs w:val="21"/>
                    </w:rPr>
                  </w:pPr>
                  <w:r>
                    <w:rPr>
                      <w:rFonts w:hint="eastAsia"/>
                      <w:szCs w:val="21"/>
                    </w:rPr>
                    <w:t>吸附浓缩+RCO催化燃烧</w:t>
                  </w:r>
                </w:p>
              </w:tc>
              <w:tc>
                <w:tcPr>
                  <w:tcW w:w="922"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4.514 </w:t>
                  </w:r>
                </w:p>
              </w:tc>
              <w:tc>
                <w:tcPr>
                  <w:tcW w:w="767"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0.135 </w:t>
                  </w:r>
                </w:p>
              </w:tc>
              <w:tc>
                <w:tcPr>
                  <w:tcW w:w="734"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0.325 </w:t>
                  </w:r>
                </w:p>
              </w:tc>
              <w:tc>
                <w:tcPr>
                  <w:tcW w:w="1333" w:type="pct"/>
                  <w:vMerge w:val="restart"/>
                  <w:vAlign w:val="center"/>
                </w:tcPr>
                <w:p>
                  <w:pPr>
                    <w:jc w:val="center"/>
                    <w:rPr>
                      <w:kern w:val="0"/>
                      <w:szCs w:val="21"/>
                      <w:lang w:bidi="ar"/>
                    </w:rPr>
                  </w:pPr>
                  <w:r>
                    <w:rPr>
                      <w:rFonts w:hint="eastAsia"/>
                      <w:szCs w:val="21"/>
                    </w:rPr>
                    <w:t>《家具制造行业挥发性有机物排放标准》（DB43/13</w:t>
                  </w:r>
                  <w:r>
                    <w:rPr>
                      <w:rFonts w:hint="default"/>
                      <w:szCs w:val="21"/>
                      <w:lang w:val="en-US"/>
                    </w:rPr>
                    <w:t>5</w:t>
                  </w:r>
                  <w:r>
                    <w:rPr>
                      <w:rFonts w:hint="eastAsia"/>
                      <w:szCs w:val="21"/>
                    </w:rPr>
                    <w:t>5-2017）表1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5" w:type="pct"/>
                  <w:vMerge w:val="continue"/>
                  <w:vAlign w:val="center"/>
                </w:tcPr>
                <w:p>
                  <w:pPr>
                    <w:jc w:val="center"/>
                    <w:rPr>
                      <w:szCs w:val="21"/>
                    </w:rPr>
                  </w:pPr>
                </w:p>
              </w:tc>
              <w:tc>
                <w:tcPr>
                  <w:tcW w:w="415" w:type="pct"/>
                  <w:vMerge w:val="continue"/>
                  <w:vAlign w:val="center"/>
                </w:tcPr>
                <w:p>
                  <w:pPr>
                    <w:jc w:val="center"/>
                    <w:rPr>
                      <w:szCs w:val="21"/>
                    </w:rPr>
                  </w:pPr>
                </w:p>
              </w:tc>
              <w:tc>
                <w:tcPr>
                  <w:tcW w:w="449" w:type="pct"/>
                  <w:vMerge w:val="continue"/>
                  <w:vAlign w:val="center"/>
                </w:tcPr>
                <w:p>
                  <w:pPr>
                    <w:jc w:val="center"/>
                    <w:rPr>
                      <w:szCs w:val="21"/>
                    </w:rPr>
                  </w:pPr>
                </w:p>
              </w:tc>
              <w:tc>
                <w:tcPr>
                  <w:tcW w:w="532" w:type="pct"/>
                  <w:vAlign w:val="center"/>
                </w:tcPr>
                <w:p>
                  <w:pPr>
                    <w:adjustRightInd w:val="0"/>
                    <w:snapToGrid w:val="0"/>
                    <w:jc w:val="center"/>
                    <w:rPr>
                      <w:szCs w:val="21"/>
                    </w:rPr>
                  </w:pPr>
                  <w:r>
                    <w:rPr>
                      <w:rFonts w:hint="eastAsia"/>
                      <w:szCs w:val="21"/>
                    </w:rPr>
                    <w:t>苯系物</w:t>
                  </w:r>
                </w:p>
              </w:tc>
              <w:tc>
                <w:tcPr>
                  <w:tcW w:w="480" w:type="pct"/>
                  <w:vMerge w:val="continue"/>
                  <w:vAlign w:val="center"/>
                </w:tcPr>
                <w:p>
                  <w:pPr>
                    <w:adjustRightInd w:val="0"/>
                    <w:snapToGrid w:val="0"/>
                    <w:jc w:val="center"/>
                    <w:rPr>
                      <w:rFonts w:hint="eastAsia"/>
                      <w:szCs w:val="21"/>
                    </w:rPr>
                  </w:pPr>
                </w:p>
              </w:tc>
              <w:tc>
                <w:tcPr>
                  <w:tcW w:w="922"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0.433 </w:t>
                  </w:r>
                </w:p>
              </w:tc>
              <w:tc>
                <w:tcPr>
                  <w:tcW w:w="767"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0.013 </w:t>
                  </w:r>
                </w:p>
              </w:tc>
              <w:tc>
                <w:tcPr>
                  <w:tcW w:w="734"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0.031 </w:t>
                  </w:r>
                </w:p>
              </w:tc>
              <w:tc>
                <w:tcPr>
                  <w:tcW w:w="1333" w:type="pct"/>
                  <w:vMerge w:val="continue"/>
                  <w:vAlign w:val="center"/>
                </w:tcPr>
                <w:p>
                  <w:pPr>
                    <w:jc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5" w:type="pct"/>
                  <w:vMerge w:val="continue"/>
                  <w:vAlign w:val="center"/>
                </w:tcPr>
                <w:p>
                  <w:pPr>
                    <w:jc w:val="center"/>
                    <w:rPr>
                      <w:szCs w:val="21"/>
                    </w:rPr>
                  </w:pPr>
                </w:p>
              </w:tc>
              <w:tc>
                <w:tcPr>
                  <w:tcW w:w="415" w:type="pct"/>
                  <w:vMerge w:val="continue"/>
                  <w:vAlign w:val="center"/>
                </w:tcPr>
                <w:p>
                  <w:pPr>
                    <w:jc w:val="center"/>
                    <w:rPr>
                      <w:szCs w:val="21"/>
                    </w:rPr>
                  </w:pPr>
                </w:p>
              </w:tc>
              <w:tc>
                <w:tcPr>
                  <w:tcW w:w="449" w:type="pct"/>
                  <w:vMerge w:val="continue"/>
                  <w:vAlign w:val="center"/>
                </w:tcPr>
                <w:p>
                  <w:pPr>
                    <w:jc w:val="center"/>
                    <w:rPr>
                      <w:szCs w:val="21"/>
                    </w:rPr>
                  </w:pPr>
                </w:p>
              </w:tc>
              <w:tc>
                <w:tcPr>
                  <w:tcW w:w="532" w:type="pct"/>
                  <w:vAlign w:val="center"/>
                </w:tcPr>
                <w:p>
                  <w:pPr>
                    <w:adjustRightInd w:val="0"/>
                    <w:snapToGrid w:val="0"/>
                    <w:jc w:val="center"/>
                    <w:rPr>
                      <w:szCs w:val="21"/>
                    </w:rPr>
                  </w:pPr>
                  <w:r>
                    <w:rPr>
                      <w:rFonts w:hint="eastAsia"/>
                      <w:szCs w:val="21"/>
                    </w:rPr>
                    <w:t>颗粒物</w:t>
                  </w:r>
                </w:p>
              </w:tc>
              <w:tc>
                <w:tcPr>
                  <w:tcW w:w="480" w:type="pct"/>
                  <w:vMerge w:val="continue"/>
                  <w:vAlign w:val="center"/>
                </w:tcPr>
                <w:p>
                  <w:pPr>
                    <w:adjustRightInd w:val="0"/>
                    <w:snapToGrid w:val="0"/>
                    <w:jc w:val="center"/>
                    <w:rPr>
                      <w:rFonts w:hint="eastAsia"/>
                      <w:szCs w:val="21"/>
                    </w:rPr>
                  </w:pPr>
                </w:p>
              </w:tc>
              <w:tc>
                <w:tcPr>
                  <w:tcW w:w="922"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0.667 </w:t>
                  </w:r>
                </w:p>
              </w:tc>
              <w:tc>
                <w:tcPr>
                  <w:tcW w:w="767"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0.020 </w:t>
                  </w:r>
                </w:p>
              </w:tc>
              <w:tc>
                <w:tcPr>
                  <w:tcW w:w="734"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0.189 </w:t>
                  </w:r>
                </w:p>
              </w:tc>
              <w:tc>
                <w:tcPr>
                  <w:tcW w:w="1333" w:type="pct"/>
                  <w:vMerge w:val="continue"/>
                  <w:vAlign w:val="center"/>
                </w:tcPr>
                <w:p>
                  <w:pPr>
                    <w:jc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0" w:type="pct"/>
                  <w:gridSpan w:val="3"/>
                  <w:vMerge w:val="restart"/>
                  <w:vAlign w:val="center"/>
                </w:tcPr>
                <w:p>
                  <w:pPr>
                    <w:jc w:val="center"/>
                    <w:rPr>
                      <w:szCs w:val="21"/>
                    </w:rPr>
                  </w:pPr>
                  <w:r>
                    <w:rPr>
                      <w:szCs w:val="21"/>
                    </w:rPr>
                    <w:t>合计</w:t>
                  </w:r>
                </w:p>
              </w:tc>
              <w:tc>
                <w:tcPr>
                  <w:tcW w:w="2046" w:type="pct"/>
                  <w:gridSpan w:val="4"/>
                  <w:vAlign w:val="center"/>
                </w:tcPr>
                <w:p>
                  <w:pPr>
                    <w:adjustRightInd w:val="0"/>
                    <w:snapToGrid w:val="0"/>
                    <w:jc w:val="center"/>
                    <w:rPr>
                      <w:rFonts w:hint="eastAsia"/>
                      <w:szCs w:val="21"/>
                    </w:rPr>
                  </w:pPr>
                  <w:r>
                    <w:rPr>
                      <w:rFonts w:hint="eastAsia"/>
                      <w:szCs w:val="21"/>
                    </w:rPr>
                    <w:t>NMHC</w:t>
                  </w:r>
                </w:p>
              </w:tc>
              <w:tc>
                <w:tcPr>
                  <w:tcW w:w="734"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0.325 </w:t>
                  </w:r>
                </w:p>
              </w:tc>
              <w:tc>
                <w:tcPr>
                  <w:tcW w:w="1333"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0" w:type="pct"/>
                  <w:gridSpan w:val="3"/>
                  <w:vMerge w:val="continue"/>
                  <w:vAlign w:val="center"/>
                </w:tcPr>
                <w:p>
                  <w:pPr>
                    <w:jc w:val="center"/>
                    <w:rPr>
                      <w:szCs w:val="21"/>
                    </w:rPr>
                  </w:pPr>
                </w:p>
              </w:tc>
              <w:tc>
                <w:tcPr>
                  <w:tcW w:w="2046" w:type="pct"/>
                  <w:gridSpan w:val="4"/>
                  <w:vAlign w:val="center"/>
                </w:tcPr>
                <w:p>
                  <w:pPr>
                    <w:adjustRightInd w:val="0"/>
                    <w:snapToGrid w:val="0"/>
                    <w:jc w:val="center"/>
                    <w:rPr>
                      <w:rFonts w:hint="eastAsia"/>
                      <w:szCs w:val="21"/>
                    </w:rPr>
                  </w:pPr>
                  <w:r>
                    <w:rPr>
                      <w:rFonts w:hint="eastAsia"/>
                      <w:szCs w:val="21"/>
                    </w:rPr>
                    <w:t>苯系物</w:t>
                  </w:r>
                </w:p>
              </w:tc>
              <w:tc>
                <w:tcPr>
                  <w:tcW w:w="734"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0.031 </w:t>
                  </w:r>
                </w:p>
              </w:tc>
              <w:tc>
                <w:tcPr>
                  <w:tcW w:w="1333"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0" w:type="pct"/>
                  <w:gridSpan w:val="3"/>
                  <w:vMerge w:val="continue"/>
                  <w:vAlign w:val="center"/>
                </w:tcPr>
                <w:p>
                  <w:pPr>
                    <w:jc w:val="center"/>
                    <w:rPr>
                      <w:szCs w:val="21"/>
                    </w:rPr>
                  </w:pPr>
                </w:p>
              </w:tc>
              <w:tc>
                <w:tcPr>
                  <w:tcW w:w="2046" w:type="pct"/>
                  <w:gridSpan w:val="4"/>
                  <w:vAlign w:val="center"/>
                </w:tcPr>
                <w:p>
                  <w:pPr>
                    <w:adjustRightInd w:val="0"/>
                    <w:snapToGrid w:val="0"/>
                    <w:jc w:val="center"/>
                    <w:rPr>
                      <w:rFonts w:hint="eastAsia"/>
                      <w:szCs w:val="21"/>
                    </w:rPr>
                  </w:pPr>
                  <w:r>
                    <w:rPr>
                      <w:rFonts w:hint="eastAsia"/>
                      <w:szCs w:val="21"/>
                    </w:rPr>
                    <w:t>颗粒物</w:t>
                  </w:r>
                </w:p>
              </w:tc>
              <w:tc>
                <w:tcPr>
                  <w:tcW w:w="734" w:type="dxa"/>
                  <w:vAlign w:val="center"/>
                </w:tcPr>
                <w:p>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0.821 </w:t>
                  </w:r>
                </w:p>
              </w:tc>
              <w:tc>
                <w:tcPr>
                  <w:tcW w:w="1333" w:type="pct"/>
                  <w:vAlign w:val="center"/>
                </w:tcPr>
                <w:p>
                  <w:pPr>
                    <w:jc w:val="center"/>
                    <w:rPr>
                      <w:szCs w:val="21"/>
                    </w:rPr>
                  </w:pPr>
                  <w:r>
                    <w:rPr>
                      <w:rFonts w:hint="eastAsia"/>
                      <w:szCs w:val="21"/>
                    </w:rPr>
                    <w:t>/</w:t>
                  </w:r>
                </w:p>
              </w:tc>
            </w:tr>
          </w:tbl>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4-21    无组织排放量核算汇总表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819"/>
              <w:gridCol w:w="891"/>
              <w:gridCol w:w="1142"/>
              <w:gridCol w:w="1126"/>
              <w:gridCol w:w="1004"/>
              <w:gridCol w:w="2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50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产污环节</w:t>
                  </w:r>
                </w:p>
              </w:tc>
              <w:tc>
                <w:tcPr>
                  <w:tcW w:w="54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69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主要污染防治措施</w:t>
                  </w:r>
                </w:p>
              </w:tc>
              <w:tc>
                <w:tcPr>
                  <w:tcW w:w="68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排放速率kg/h</w:t>
                  </w:r>
                </w:p>
              </w:tc>
              <w:tc>
                <w:tcPr>
                  <w:tcW w:w="61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年排放量t/a</w:t>
                  </w:r>
                </w:p>
              </w:tc>
              <w:tc>
                <w:tcPr>
                  <w:tcW w:w="170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国家或地方污染物排放标准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50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下料</w:t>
                  </w:r>
                </w:p>
              </w:tc>
              <w:tc>
                <w:tcPr>
                  <w:tcW w:w="54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69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26"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0.100 </w:t>
                  </w:r>
                </w:p>
              </w:tc>
              <w:tc>
                <w:tcPr>
                  <w:tcW w:w="100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0.300 </w:t>
                  </w:r>
                </w:p>
              </w:tc>
              <w:tc>
                <w:tcPr>
                  <w:tcW w:w="1700"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50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砂光</w:t>
                  </w:r>
                </w:p>
              </w:tc>
              <w:tc>
                <w:tcPr>
                  <w:tcW w:w="54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69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26"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0.142 </w:t>
                  </w:r>
                </w:p>
              </w:tc>
              <w:tc>
                <w:tcPr>
                  <w:tcW w:w="100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0.342 </w:t>
                  </w:r>
                </w:p>
              </w:tc>
              <w:tc>
                <w:tcPr>
                  <w:tcW w:w="1700"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50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热压</w:t>
                  </w:r>
                </w:p>
              </w:tc>
              <w:tc>
                <w:tcPr>
                  <w:tcW w:w="54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NMHC</w:t>
                  </w:r>
                </w:p>
              </w:tc>
              <w:tc>
                <w:tcPr>
                  <w:tcW w:w="69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26"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0.081 </w:t>
                  </w:r>
                </w:p>
              </w:tc>
              <w:tc>
                <w:tcPr>
                  <w:tcW w:w="100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0.194 </w:t>
                  </w:r>
                </w:p>
              </w:tc>
              <w:tc>
                <w:tcPr>
                  <w:tcW w:w="170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《家具制造行业挥发性有机物排放标准》（DB43/13</w:t>
                  </w:r>
                  <w:r>
                    <w:rPr>
                      <w:rFonts w:hint="default"/>
                      <w:color w:val="000000" w:themeColor="text1"/>
                      <w:szCs w:val="21"/>
                      <w:lang w:val="en-US"/>
                      <w14:textFill>
                        <w14:solidFill>
                          <w14:schemeClr w14:val="tx1"/>
                        </w14:solidFill>
                      </w14:textFill>
                    </w:rPr>
                    <w:t>5</w:t>
                  </w:r>
                  <w:r>
                    <w:rPr>
                      <w:rFonts w:hint="eastAsia"/>
                      <w:color w:val="000000" w:themeColor="text1"/>
                      <w:szCs w:val="21"/>
                      <w14:textFill>
                        <w14:solidFill>
                          <w14:schemeClr w14:val="tx1"/>
                        </w14:solidFill>
                      </w14:textFill>
                    </w:rPr>
                    <w:t>5-2017）表2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50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机加工</w:t>
                  </w:r>
                </w:p>
              </w:tc>
              <w:tc>
                <w:tcPr>
                  <w:tcW w:w="54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69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26"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0.100 </w:t>
                  </w:r>
                </w:p>
              </w:tc>
              <w:tc>
                <w:tcPr>
                  <w:tcW w:w="100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0.300 </w:t>
                  </w:r>
                </w:p>
              </w:tc>
              <w:tc>
                <w:tcPr>
                  <w:tcW w:w="1700"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50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腻子粉打磨</w:t>
                  </w:r>
                </w:p>
              </w:tc>
              <w:tc>
                <w:tcPr>
                  <w:tcW w:w="54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699" w:type="pct"/>
                  <w:vAlign w:val="center"/>
                </w:tcPr>
                <w:p>
                  <w:pPr>
                    <w:jc w:val="center"/>
                    <w:rPr>
                      <w:color w:val="000000" w:themeColor="text1"/>
                      <w:szCs w:val="21"/>
                      <w14:textFill>
                        <w14:solidFill>
                          <w14:schemeClr w14:val="tx1"/>
                        </w14:solidFill>
                      </w14:textFill>
                    </w:rPr>
                  </w:pPr>
                </w:p>
              </w:tc>
              <w:tc>
                <w:tcPr>
                  <w:tcW w:w="1126"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0.088 </w:t>
                  </w:r>
                </w:p>
              </w:tc>
              <w:tc>
                <w:tcPr>
                  <w:tcW w:w="100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0.212 </w:t>
                  </w:r>
                </w:p>
              </w:tc>
              <w:tc>
                <w:tcPr>
                  <w:tcW w:w="1700"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50"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500"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喷漆、晾干</w:t>
                  </w:r>
                </w:p>
              </w:tc>
              <w:tc>
                <w:tcPr>
                  <w:tcW w:w="54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NMHC</w:t>
                  </w:r>
                </w:p>
              </w:tc>
              <w:tc>
                <w:tcPr>
                  <w:tcW w:w="69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26"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0.150 </w:t>
                  </w:r>
                </w:p>
              </w:tc>
              <w:tc>
                <w:tcPr>
                  <w:tcW w:w="100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0.361 </w:t>
                  </w:r>
                </w:p>
              </w:tc>
              <w:tc>
                <w:tcPr>
                  <w:tcW w:w="1700"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非甲烷总烃、苯系物执行《家具制造行业挥发性有机物排放标准》（DB43/13</w:t>
                  </w:r>
                  <w:r>
                    <w:rPr>
                      <w:rFonts w:hint="default"/>
                      <w:color w:val="000000" w:themeColor="text1"/>
                      <w:szCs w:val="21"/>
                      <w:lang w:val="en-US"/>
                      <w14:textFill>
                        <w14:solidFill>
                          <w14:schemeClr w14:val="tx1"/>
                        </w14:solidFill>
                      </w14:textFill>
                    </w:rPr>
                    <w:t>5</w:t>
                  </w:r>
                  <w:r>
                    <w:rPr>
                      <w:rFonts w:hint="eastAsia"/>
                      <w:color w:val="000000" w:themeColor="text1"/>
                      <w:szCs w:val="21"/>
                      <w14:textFill>
                        <w14:solidFill>
                          <w14:schemeClr w14:val="tx1"/>
                        </w14:solidFill>
                      </w14:textFill>
                    </w:rPr>
                    <w:t>5-2017）表2、颗粒物执行《大气污染物综合排放标准》（GB16297-1996）表2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50" w:type="pct"/>
                  <w:vMerge w:val="continue"/>
                  <w:vAlign w:val="center"/>
                </w:tcPr>
                <w:p>
                  <w:pPr>
                    <w:jc w:val="center"/>
                    <w:rPr>
                      <w:color w:val="000000" w:themeColor="text1"/>
                      <w:szCs w:val="21"/>
                      <w14:textFill>
                        <w14:solidFill>
                          <w14:schemeClr w14:val="tx1"/>
                        </w14:solidFill>
                      </w14:textFill>
                    </w:rPr>
                  </w:pPr>
                </w:p>
              </w:tc>
              <w:tc>
                <w:tcPr>
                  <w:tcW w:w="500" w:type="pct"/>
                  <w:vMerge w:val="continue"/>
                  <w:vAlign w:val="center"/>
                </w:tcPr>
                <w:p>
                  <w:pPr>
                    <w:pStyle w:val="28"/>
                    <w:widowControl w:val="0"/>
                    <w:spacing w:before="0" w:beforeAutospacing="0" w:after="0" w:afterAutospacing="0"/>
                    <w:jc w:val="center"/>
                    <w:rPr>
                      <w:rFonts w:ascii="Times New Roman" w:hAnsi="Times New Roman"/>
                      <w:bCs/>
                      <w:color w:val="000000" w:themeColor="text1"/>
                      <w:spacing w:val="-10"/>
                      <w:sz w:val="21"/>
                      <w:szCs w:val="21"/>
                      <w14:textFill>
                        <w14:solidFill>
                          <w14:schemeClr w14:val="tx1"/>
                        </w14:solidFill>
                      </w14:textFill>
                    </w:rPr>
                  </w:pPr>
                </w:p>
              </w:tc>
              <w:tc>
                <w:tcPr>
                  <w:tcW w:w="54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苯系物</w:t>
                  </w:r>
                </w:p>
              </w:tc>
              <w:tc>
                <w:tcPr>
                  <w:tcW w:w="69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26"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0.014 </w:t>
                  </w:r>
                </w:p>
              </w:tc>
              <w:tc>
                <w:tcPr>
                  <w:tcW w:w="100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0.035 </w:t>
                  </w:r>
                </w:p>
              </w:tc>
              <w:tc>
                <w:tcPr>
                  <w:tcW w:w="1700"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vAlign w:val="center"/>
                </w:tcPr>
                <w:p>
                  <w:pPr>
                    <w:jc w:val="center"/>
                    <w:rPr>
                      <w:color w:val="000000" w:themeColor="text1"/>
                      <w:szCs w:val="21"/>
                      <w14:textFill>
                        <w14:solidFill>
                          <w14:schemeClr w14:val="tx1"/>
                        </w14:solidFill>
                      </w14:textFill>
                    </w:rPr>
                  </w:pPr>
                </w:p>
              </w:tc>
              <w:tc>
                <w:tcPr>
                  <w:tcW w:w="500" w:type="pct"/>
                  <w:vMerge w:val="continue"/>
                  <w:vAlign w:val="center"/>
                </w:tcPr>
                <w:p>
                  <w:pPr>
                    <w:pStyle w:val="28"/>
                    <w:widowControl w:val="0"/>
                    <w:spacing w:before="0" w:beforeAutospacing="0" w:after="0" w:afterAutospacing="0"/>
                    <w:jc w:val="center"/>
                    <w:rPr>
                      <w:rFonts w:ascii="Times New Roman" w:hAnsi="Times New Roman"/>
                      <w:bCs/>
                      <w:color w:val="000000" w:themeColor="text1"/>
                      <w:spacing w:val="-10"/>
                      <w:sz w:val="21"/>
                      <w:szCs w:val="21"/>
                      <w14:textFill>
                        <w14:solidFill>
                          <w14:schemeClr w14:val="tx1"/>
                        </w14:solidFill>
                      </w14:textFill>
                    </w:rPr>
                  </w:pPr>
                </w:p>
              </w:tc>
              <w:tc>
                <w:tcPr>
                  <w:tcW w:w="54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69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26"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0.175 </w:t>
                  </w:r>
                </w:p>
              </w:tc>
              <w:tc>
                <w:tcPr>
                  <w:tcW w:w="100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0.421 </w:t>
                  </w:r>
                </w:p>
              </w:tc>
              <w:tc>
                <w:tcPr>
                  <w:tcW w:w="1700"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pct"/>
                  <w:gridSpan w:val="2"/>
                  <w:vMerge w:val="restart"/>
                  <w:vAlign w:val="center"/>
                </w:tcPr>
                <w:p>
                  <w:pPr>
                    <w:pStyle w:val="28"/>
                    <w:widowControl w:val="0"/>
                    <w:spacing w:before="0" w:beforeAutospacing="0" w:after="0" w:afterAutospacing="0"/>
                    <w:jc w:val="center"/>
                    <w:rPr>
                      <w:rFonts w:ascii="Times New Roman" w:hAnsi="Times New Roman"/>
                      <w:bCs/>
                      <w:color w:val="000000" w:themeColor="text1"/>
                      <w:spacing w:val="-10"/>
                      <w:sz w:val="21"/>
                      <w:szCs w:val="21"/>
                      <w14:textFill>
                        <w14:solidFill>
                          <w14:schemeClr w14:val="tx1"/>
                        </w14:solidFill>
                      </w14:textFill>
                    </w:rPr>
                  </w:pPr>
                  <w:r>
                    <w:rPr>
                      <w:rFonts w:hint="eastAsia" w:ascii="Times New Roman" w:hAnsi="Times New Roman"/>
                      <w:bCs/>
                      <w:color w:val="000000" w:themeColor="text1"/>
                      <w:spacing w:val="-10"/>
                      <w:sz w:val="21"/>
                      <w:szCs w:val="21"/>
                      <w14:textFill>
                        <w14:solidFill>
                          <w14:schemeClr w14:val="tx1"/>
                        </w14:solidFill>
                      </w14:textFill>
                    </w:rPr>
                    <w:t>合计</w:t>
                  </w:r>
                </w:p>
              </w:tc>
              <w:tc>
                <w:tcPr>
                  <w:tcW w:w="1933" w:type="pct"/>
                  <w:gridSpan w:val="3"/>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NMHC</w:t>
                  </w:r>
                </w:p>
              </w:tc>
              <w:tc>
                <w:tcPr>
                  <w:tcW w:w="100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0.556 </w:t>
                  </w:r>
                </w:p>
              </w:tc>
              <w:tc>
                <w:tcPr>
                  <w:tcW w:w="170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pct"/>
                  <w:gridSpan w:val="2"/>
                  <w:vMerge w:val="continue"/>
                  <w:vAlign w:val="center"/>
                </w:tcPr>
                <w:p>
                  <w:pPr>
                    <w:pStyle w:val="28"/>
                    <w:widowControl w:val="0"/>
                    <w:spacing w:before="0" w:beforeAutospacing="0" w:after="0" w:afterAutospacing="0"/>
                    <w:jc w:val="center"/>
                    <w:rPr>
                      <w:rFonts w:ascii="Times New Roman" w:hAnsi="Times New Roman"/>
                      <w:bCs/>
                      <w:color w:val="000000" w:themeColor="text1"/>
                      <w:spacing w:val="-10"/>
                      <w:sz w:val="21"/>
                      <w:szCs w:val="21"/>
                      <w14:textFill>
                        <w14:solidFill>
                          <w14:schemeClr w14:val="tx1"/>
                        </w14:solidFill>
                      </w14:textFill>
                    </w:rPr>
                  </w:pPr>
                </w:p>
              </w:tc>
              <w:tc>
                <w:tcPr>
                  <w:tcW w:w="1933" w:type="pct"/>
                  <w:gridSpan w:val="3"/>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苯系物</w:t>
                  </w:r>
                </w:p>
              </w:tc>
              <w:tc>
                <w:tcPr>
                  <w:tcW w:w="100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0.035 </w:t>
                  </w:r>
                </w:p>
              </w:tc>
              <w:tc>
                <w:tcPr>
                  <w:tcW w:w="170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pct"/>
                  <w:gridSpan w:val="2"/>
                  <w:vMerge w:val="continue"/>
                  <w:vAlign w:val="center"/>
                </w:tcPr>
                <w:p>
                  <w:pPr>
                    <w:pStyle w:val="28"/>
                    <w:widowControl w:val="0"/>
                    <w:spacing w:before="0" w:beforeAutospacing="0" w:after="0" w:afterAutospacing="0"/>
                    <w:jc w:val="center"/>
                    <w:rPr>
                      <w:rFonts w:ascii="Times New Roman" w:hAnsi="Times New Roman"/>
                      <w:bCs/>
                      <w:color w:val="000000" w:themeColor="text1"/>
                      <w:spacing w:val="-10"/>
                      <w:sz w:val="21"/>
                      <w:szCs w:val="21"/>
                      <w14:textFill>
                        <w14:solidFill>
                          <w14:schemeClr w14:val="tx1"/>
                        </w14:solidFill>
                      </w14:textFill>
                    </w:rPr>
                  </w:pPr>
                </w:p>
              </w:tc>
              <w:tc>
                <w:tcPr>
                  <w:tcW w:w="1933" w:type="pct"/>
                  <w:gridSpan w:val="3"/>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00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1.574 </w:t>
                  </w:r>
                </w:p>
              </w:tc>
              <w:tc>
                <w:tcPr>
                  <w:tcW w:w="170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pPr>
              <w:pStyle w:val="12"/>
              <w:snapToGrid/>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表4-22    全厂排放量汇总</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724"/>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72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污染因子</w:t>
                  </w:r>
                </w:p>
              </w:tc>
              <w:tc>
                <w:tcPr>
                  <w:tcW w:w="272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72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p>
              </w:tc>
              <w:tc>
                <w:tcPr>
                  <w:tcW w:w="27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2.395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72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苯系物</w:t>
                  </w:r>
                </w:p>
              </w:tc>
              <w:tc>
                <w:tcPr>
                  <w:tcW w:w="272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72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非甲烷总烃</w:t>
                  </w:r>
                </w:p>
              </w:tc>
              <w:tc>
                <w:tcPr>
                  <w:tcW w:w="272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0.881 </w:t>
                  </w:r>
                </w:p>
              </w:tc>
            </w:tr>
          </w:tbl>
          <w:p>
            <w:pPr>
              <w:pStyle w:val="12"/>
              <w:spacing w:before="0" w:after="0" w:line="360" w:lineRule="auto"/>
              <w:ind w:right="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w:t>
            </w:r>
            <w:r>
              <w:rPr>
                <w:rFonts w:hint="eastAsia"/>
                <w:b/>
                <w:bCs/>
                <w:color w:val="000000" w:themeColor="text1"/>
                <w:sz w:val="24"/>
                <w:szCs w:val="24"/>
                <w14:textFill>
                  <w14:solidFill>
                    <w14:schemeClr w14:val="tx1"/>
                  </w14:solidFill>
                </w14:textFill>
              </w:rPr>
              <w:t>6</w:t>
            </w:r>
            <w:r>
              <w:rPr>
                <w:b/>
                <w:bCs/>
                <w:color w:val="000000" w:themeColor="text1"/>
                <w:sz w:val="24"/>
                <w:szCs w:val="24"/>
                <w14:textFill>
                  <w14:solidFill>
                    <w14:schemeClr w14:val="tx1"/>
                  </w14:solidFill>
                </w14:textFill>
              </w:rPr>
              <w:t>大气环境影响分析</w:t>
            </w:r>
          </w:p>
          <w:p>
            <w:pPr>
              <w:pStyle w:val="1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综上分析，本项目开料产生的粉尘、砂光产生的粉尘、机加工产生的粉尘、腻子粉打磨产生的粉尘等工序使用布袋除尘技术，经过分析颗粒物能够达到《大气污染物排放标准》（GB16297-1996）表2中排放限值要求，项目施胶采用水性白乳漆从源头替代，有效减少了挥发性有机物的产生，喷漆工序水性漆使用比例占十分之九，大大减少油性漆的使用，且采用旋转式分子筛吸附+脱附+RCO催化燃烧技术，挥发性有机物经分析能够达到《家具制造行业挥发性有机物排放标准》（DB43/13</w:t>
            </w:r>
            <w:r>
              <w:rPr>
                <w:rFonts w:hint="default"/>
                <w:color w:val="000000" w:themeColor="text1"/>
                <w:sz w:val="24"/>
                <w:szCs w:val="24"/>
                <w:lang w:val="en-US"/>
                <w14:textFill>
                  <w14:solidFill>
                    <w14:schemeClr w14:val="tx1"/>
                  </w14:solidFill>
                </w14:textFill>
              </w:rPr>
              <w:t>5</w:t>
            </w:r>
            <w:r>
              <w:rPr>
                <w:rFonts w:hint="eastAsia"/>
                <w:color w:val="000000" w:themeColor="text1"/>
                <w:sz w:val="24"/>
                <w:szCs w:val="24"/>
                <w14:textFill>
                  <w14:solidFill>
                    <w14:schemeClr w14:val="tx1"/>
                  </w14:solidFill>
                </w14:textFill>
              </w:rPr>
              <w:t>5-2017）表1排放限值要求，且项目</w:t>
            </w:r>
            <w:r>
              <w:rPr>
                <w:rFonts w:hint="eastAsia"/>
                <w:color w:val="000000" w:themeColor="text1"/>
                <w:sz w:val="24"/>
                <w:szCs w:val="24"/>
                <w:lang w:eastAsia="zh-CN"/>
                <w14:textFill>
                  <w14:solidFill>
                    <w14:schemeClr w14:val="tx1"/>
                  </w14:solidFill>
                </w14:textFill>
              </w:rPr>
              <w:t>周边</w:t>
            </w:r>
            <w:r>
              <w:rPr>
                <w:rFonts w:hint="eastAsia"/>
                <w:color w:val="000000" w:themeColor="text1"/>
                <w:sz w:val="24"/>
                <w:szCs w:val="24"/>
                <w14:textFill>
                  <w14:solidFill>
                    <w14:schemeClr w14:val="tx1"/>
                  </w14:solidFill>
                </w14:textFill>
              </w:rPr>
              <w:t>50m范围内无居民等敏感目标，无组织排放对周边环境影响较小。</w:t>
            </w:r>
          </w:p>
          <w:p>
            <w:pPr>
              <w:pStyle w:val="12"/>
              <w:spacing w:before="0" w:after="0" w:line="360" w:lineRule="auto"/>
              <w:ind w:right="0" w:firstLine="480" w:firstLineChars="200"/>
              <w:rPr>
                <w:sz w:val="24"/>
                <w:szCs w:val="24"/>
              </w:rPr>
            </w:pPr>
            <w:r>
              <w:rPr>
                <w:rFonts w:hint="eastAsia"/>
                <w:color w:val="000000" w:themeColor="text1"/>
                <w:sz w:val="24"/>
                <w:szCs w:val="24"/>
                <w14:textFill>
                  <w14:solidFill>
                    <w14:schemeClr w14:val="tx1"/>
                  </w14:solidFill>
                </w14:textFill>
              </w:rPr>
              <w:t>因此</w:t>
            </w:r>
            <w:r>
              <w:rPr>
                <w:color w:val="000000" w:themeColor="text1"/>
                <w:sz w:val="24"/>
                <w:szCs w:val="24"/>
                <w14:textFill>
                  <w14:solidFill>
                    <w14:schemeClr w14:val="tx1"/>
                  </w14:solidFill>
                </w14:textFill>
              </w:rPr>
              <w:t>运营期</w:t>
            </w:r>
            <w:r>
              <w:rPr>
                <w:rFonts w:hint="eastAsia"/>
                <w:color w:val="000000" w:themeColor="text1"/>
                <w:sz w:val="24"/>
                <w:szCs w:val="24"/>
                <w14:textFill>
                  <w14:solidFill>
                    <w14:schemeClr w14:val="tx1"/>
                  </w14:solidFill>
                </w14:textFill>
              </w:rPr>
              <w:t>项目</w:t>
            </w:r>
            <w:r>
              <w:rPr>
                <w:color w:val="000000" w:themeColor="text1"/>
                <w:sz w:val="24"/>
                <w:szCs w:val="24"/>
                <w14:textFill>
                  <w14:solidFill>
                    <w14:schemeClr w14:val="tx1"/>
                  </w14:solidFill>
                </w14:textFill>
              </w:rPr>
              <w:t>废气排放对周边区域大气环境影响较小，大气环境影响可</w:t>
            </w:r>
            <w:r>
              <w:rPr>
                <w:sz w:val="24"/>
                <w:szCs w:val="24"/>
              </w:rPr>
              <w:t>以接受。</w:t>
            </w:r>
          </w:p>
          <w:p>
            <w:pPr>
              <w:pStyle w:val="12"/>
              <w:spacing w:before="0" w:after="0" w:line="360" w:lineRule="auto"/>
              <w:ind w:right="0"/>
              <w:rPr>
                <w:b/>
                <w:bCs/>
                <w:sz w:val="24"/>
                <w:szCs w:val="24"/>
              </w:rPr>
            </w:pPr>
            <w:r>
              <w:rPr>
                <w:b/>
                <w:bCs/>
                <w:sz w:val="24"/>
                <w:szCs w:val="24"/>
              </w:rPr>
              <w:t>2、废水</w:t>
            </w:r>
          </w:p>
          <w:p>
            <w:pPr>
              <w:pStyle w:val="12"/>
              <w:spacing w:before="0" w:after="0" w:line="360" w:lineRule="auto"/>
              <w:ind w:right="0"/>
              <w:rPr>
                <w:b/>
                <w:bCs/>
                <w:sz w:val="24"/>
                <w:szCs w:val="24"/>
              </w:rPr>
            </w:pPr>
            <w:r>
              <w:rPr>
                <w:b/>
                <w:bCs/>
                <w:sz w:val="24"/>
                <w:szCs w:val="24"/>
              </w:rPr>
              <w:t>2.1废水源强分析</w:t>
            </w:r>
          </w:p>
          <w:p>
            <w:pPr>
              <w:pStyle w:val="12"/>
              <w:spacing w:before="0" w:after="0" w:line="360" w:lineRule="auto"/>
              <w:ind w:right="0" w:firstLine="360" w:firstLineChars="200"/>
              <w:rPr>
                <w:sz w:val="24"/>
                <w:szCs w:val="24"/>
              </w:rPr>
            </w:pPr>
            <w:r>
              <w:rPr>
                <w:rFonts w:hint="eastAsia"/>
              </w:rPr>
              <w:t xml:space="preserve">   </w:t>
            </w:r>
            <w:r>
              <w:rPr>
                <w:rFonts w:hint="eastAsia"/>
                <w:kern w:val="2"/>
                <w:sz w:val="24"/>
              </w:rPr>
              <w:t xml:space="preserve"> </w:t>
            </w:r>
            <w:r>
              <w:rPr>
                <w:rFonts w:hint="eastAsia"/>
                <w:sz w:val="24"/>
                <w:szCs w:val="24"/>
              </w:rPr>
              <w:t>本项目主要污水为员工生活污水，生产废水为水帘柜用水。</w:t>
            </w:r>
          </w:p>
          <w:p>
            <w:pPr>
              <w:pStyle w:val="12"/>
              <w:spacing w:before="0" w:after="0" w:line="360" w:lineRule="auto"/>
              <w:ind w:right="0"/>
              <w:rPr>
                <w:b/>
                <w:bCs/>
                <w:sz w:val="24"/>
                <w:szCs w:val="24"/>
              </w:rPr>
            </w:pPr>
            <w:r>
              <w:rPr>
                <w:rFonts w:hint="eastAsia"/>
                <w:b/>
                <w:bCs/>
                <w:sz w:val="24"/>
                <w:szCs w:val="24"/>
              </w:rPr>
              <w:t>2.1.1生活污水</w:t>
            </w:r>
          </w:p>
          <w:p>
            <w:pPr>
              <w:pStyle w:val="96"/>
              <w:ind w:left="0" w:firstLine="480" w:firstLineChars="200"/>
              <w:jc w:val="both"/>
              <w:rPr>
                <w:sz w:val="24"/>
                <w:szCs w:val="24"/>
              </w:rPr>
            </w:pPr>
            <w:r>
              <w:rPr>
                <w:sz w:val="24"/>
                <w:szCs w:val="20"/>
              </w:rPr>
              <w:t>项目劳动定员</w:t>
            </w:r>
            <w:r>
              <w:rPr>
                <w:rFonts w:hint="eastAsia"/>
                <w:sz w:val="24"/>
                <w:szCs w:val="20"/>
              </w:rPr>
              <w:t>400</w:t>
            </w:r>
            <w:r>
              <w:rPr>
                <w:sz w:val="24"/>
                <w:szCs w:val="20"/>
              </w:rPr>
              <w:t>人，</w:t>
            </w:r>
            <w:r>
              <w:rPr>
                <w:rFonts w:hint="eastAsia"/>
                <w:sz w:val="24"/>
                <w:szCs w:val="20"/>
              </w:rPr>
              <w:t>厂内提供</w:t>
            </w:r>
            <w:r>
              <w:rPr>
                <w:sz w:val="24"/>
                <w:szCs w:val="20"/>
              </w:rPr>
              <w:t>住宿。</w:t>
            </w:r>
            <w:r>
              <w:rPr>
                <w:rFonts w:hint="eastAsia"/>
                <w:sz w:val="24"/>
                <w:szCs w:val="20"/>
              </w:rPr>
              <w:t>住宿用水</w:t>
            </w:r>
            <w:r>
              <w:rPr>
                <w:sz w:val="24"/>
                <w:szCs w:val="20"/>
              </w:rPr>
              <w:t>参考《用水定额</w:t>
            </w:r>
            <w:r>
              <w:rPr>
                <w:rFonts w:hint="eastAsia"/>
                <w:sz w:val="24"/>
                <w:szCs w:val="20"/>
                <w:lang w:val="en-US" w:eastAsia="zh-CN"/>
              </w:rPr>
              <w:t xml:space="preserve"> 第3部分 生活、服务业及建筑业</w:t>
            </w:r>
            <w:r>
              <w:rPr>
                <w:sz w:val="24"/>
                <w:szCs w:val="20"/>
              </w:rPr>
              <w:t>》（DB43/T 388</w:t>
            </w:r>
            <w:r>
              <w:rPr>
                <w:rFonts w:hint="eastAsia"/>
                <w:sz w:val="24"/>
                <w:szCs w:val="20"/>
                <w:lang w:val="en-US" w:eastAsia="zh-CN"/>
              </w:rPr>
              <w:t>.3</w:t>
            </w:r>
            <w:r>
              <w:rPr>
                <w:sz w:val="24"/>
                <w:szCs w:val="20"/>
              </w:rPr>
              <w:t>-</w:t>
            </w:r>
            <w:r>
              <w:rPr>
                <w:rFonts w:hint="eastAsia"/>
                <w:sz w:val="24"/>
                <w:szCs w:val="20"/>
              </w:rPr>
              <w:t>202</w:t>
            </w:r>
            <w:r>
              <w:rPr>
                <w:rFonts w:hint="eastAsia"/>
                <w:sz w:val="24"/>
                <w:szCs w:val="20"/>
                <w:lang w:val="en-US" w:eastAsia="zh-CN"/>
              </w:rPr>
              <w:t>5</w:t>
            </w:r>
            <w:r>
              <w:rPr>
                <w:sz w:val="24"/>
                <w:szCs w:val="20"/>
              </w:rPr>
              <w:t>）</w:t>
            </w:r>
            <w:r>
              <w:rPr>
                <w:rFonts w:hint="eastAsia"/>
                <w:sz w:val="24"/>
                <w:szCs w:val="20"/>
                <w:lang w:val="en-US" w:eastAsia="zh-CN"/>
              </w:rPr>
              <w:t>表1城镇居民生活用水，</w:t>
            </w:r>
            <w:r>
              <w:rPr>
                <w:rFonts w:hint="eastAsia"/>
                <w:sz w:val="24"/>
                <w:szCs w:val="20"/>
              </w:rPr>
              <w:t>按人均145L</w:t>
            </w:r>
            <w:r>
              <w:rPr>
                <w:sz w:val="24"/>
                <w:szCs w:val="20"/>
              </w:rPr>
              <w:t>/</w:t>
            </w:r>
            <w:r>
              <w:rPr>
                <w:rFonts w:hint="eastAsia"/>
                <w:sz w:val="24"/>
                <w:szCs w:val="20"/>
              </w:rPr>
              <w:t>人.d</w:t>
            </w:r>
            <w:r>
              <w:rPr>
                <w:sz w:val="24"/>
                <w:szCs w:val="20"/>
              </w:rPr>
              <w:t>计算</w:t>
            </w:r>
            <w:r>
              <w:rPr>
                <w:rFonts w:hint="eastAsia"/>
                <w:sz w:val="24"/>
                <w:szCs w:val="20"/>
              </w:rPr>
              <w:t>。</w:t>
            </w:r>
            <w:r>
              <w:rPr>
                <w:sz w:val="24"/>
                <w:szCs w:val="20"/>
              </w:rPr>
              <w:t>项目</w:t>
            </w:r>
            <w:r>
              <w:rPr>
                <w:rFonts w:hint="eastAsia"/>
                <w:sz w:val="24"/>
                <w:szCs w:val="20"/>
              </w:rPr>
              <w:t>生活</w:t>
            </w:r>
            <w:r>
              <w:rPr>
                <w:sz w:val="24"/>
                <w:szCs w:val="20"/>
              </w:rPr>
              <w:t>用水量约</w:t>
            </w:r>
            <w:r>
              <w:rPr>
                <w:rFonts w:hint="eastAsia"/>
                <w:sz w:val="24"/>
                <w:szCs w:val="20"/>
              </w:rPr>
              <w:t>17400</w:t>
            </w:r>
            <w:r>
              <w:rPr>
                <w:sz w:val="24"/>
                <w:szCs w:val="20"/>
              </w:rPr>
              <w:t>m³/a</w:t>
            </w:r>
            <w:r>
              <w:rPr>
                <w:rFonts w:hint="eastAsia"/>
                <w:sz w:val="24"/>
                <w:szCs w:val="20"/>
              </w:rPr>
              <w:t>（58</w:t>
            </w:r>
            <w:r>
              <w:rPr>
                <w:sz w:val="24"/>
                <w:szCs w:val="20"/>
              </w:rPr>
              <w:t>m³/</w:t>
            </w:r>
            <w:r>
              <w:rPr>
                <w:rFonts w:hint="eastAsia"/>
                <w:sz w:val="24"/>
                <w:szCs w:val="20"/>
              </w:rPr>
              <w:t>d）。</w:t>
            </w:r>
            <w:r>
              <w:rPr>
                <w:rFonts w:hint="eastAsia"/>
                <w:bCs/>
                <w:sz w:val="24"/>
                <w:szCs w:val="24"/>
              </w:rPr>
              <w:t>生活污水污染物浓度参照《排放源统计调查产排污核算方法和系数手册生活源产排污核算方法和系数手册》 五区系数进行核算（湖南地区属于五区），</w:t>
            </w:r>
            <w:r>
              <w:rPr>
                <w:sz w:val="24"/>
                <w:szCs w:val="20"/>
              </w:rPr>
              <w:t>排污</w:t>
            </w:r>
            <w:r>
              <w:rPr>
                <w:rFonts w:hint="eastAsia"/>
                <w:sz w:val="24"/>
                <w:szCs w:val="20"/>
              </w:rPr>
              <w:t>系数取0.89</w:t>
            </w:r>
            <w:r>
              <w:rPr>
                <w:sz w:val="24"/>
                <w:szCs w:val="20"/>
              </w:rPr>
              <w:t>计，则生活污水产生量约</w:t>
            </w:r>
            <w:r>
              <w:rPr>
                <w:rFonts w:hint="eastAsia"/>
                <w:sz w:val="24"/>
                <w:szCs w:val="20"/>
              </w:rPr>
              <w:t>15486m</w:t>
            </w:r>
            <w:r>
              <w:rPr>
                <w:rFonts w:hint="eastAsia"/>
                <w:sz w:val="24"/>
                <w:szCs w:val="20"/>
                <w:vertAlign w:val="superscript"/>
              </w:rPr>
              <w:t>3</w:t>
            </w:r>
            <w:r>
              <w:rPr>
                <w:sz w:val="24"/>
                <w:szCs w:val="20"/>
              </w:rPr>
              <w:t>/a</w:t>
            </w:r>
            <w:r>
              <w:rPr>
                <w:rFonts w:hint="eastAsia"/>
                <w:kern w:val="0"/>
                <w:sz w:val="24"/>
                <w:szCs w:val="24"/>
                <w:lang w:bidi="ar"/>
              </w:rPr>
              <w:t>（51.62m</w:t>
            </w:r>
            <w:r>
              <w:rPr>
                <w:rFonts w:hint="eastAsia"/>
                <w:kern w:val="0"/>
                <w:sz w:val="24"/>
                <w:szCs w:val="24"/>
                <w:vertAlign w:val="superscript"/>
                <w:lang w:bidi="ar"/>
              </w:rPr>
              <w:t>3</w:t>
            </w:r>
            <w:r>
              <w:rPr>
                <w:rFonts w:hint="eastAsia"/>
                <w:kern w:val="0"/>
                <w:sz w:val="24"/>
                <w:szCs w:val="24"/>
                <w:lang w:bidi="ar"/>
              </w:rPr>
              <w:t>/d）。</w:t>
            </w:r>
            <w:r>
              <w:rPr>
                <w:bCs/>
                <w:sz w:val="24"/>
                <w:szCs w:val="24"/>
              </w:rPr>
              <w:t>生活污水中主要污染物：COD：285mg/L、NH</w:t>
            </w:r>
            <w:r>
              <w:rPr>
                <w:bCs/>
                <w:sz w:val="24"/>
                <w:szCs w:val="24"/>
                <w:vertAlign w:val="subscript"/>
              </w:rPr>
              <w:t>3</w:t>
            </w:r>
            <w:r>
              <w:rPr>
                <w:bCs/>
                <w:sz w:val="24"/>
                <w:szCs w:val="24"/>
              </w:rPr>
              <w:t>-N：28.3mg/L、总氮39.4mg/L，总磷4.1mg/L，其他污染物浓</w:t>
            </w:r>
            <w:r>
              <w:rPr>
                <w:sz w:val="24"/>
                <w:szCs w:val="24"/>
              </w:rPr>
              <w:t>度参照《给水排水设计手册》（第二版第5册）中章节4.2城镇污水的水</w:t>
            </w:r>
            <w:r>
              <w:rPr>
                <w:rFonts w:hint="eastAsia" w:ascii="宋体" w:hAnsi="宋体" w:cs="宋体"/>
                <w:sz w:val="24"/>
                <w:szCs w:val="24"/>
              </w:rPr>
              <w:t>质“表</w:t>
            </w:r>
            <w:r>
              <w:rPr>
                <w:sz w:val="24"/>
                <w:szCs w:val="24"/>
              </w:rPr>
              <w:t>4-1</w:t>
            </w:r>
            <w:r>
              <w:rPr>
                <w:rFonts w:hint="eastAsia" w:ascii="宋体" w:hAnsi="宋体" w:cs="宋体"/>
                <w:sz w:val="24"/>
                <w:szCs w:val="24"/>
              </w:rPr>
              <w:t>典型的生活污水水质”中</w:t>
            </w:r>
            <w:r>
              <w:rPr>
                <w:sz w:val="24"/>
                <w:szCs w:val="24"/>
              </w:rPr>
              <w:t>等浓度取值，</w:t>
            </w:r>
            <w:r>
              <w:rPr>
                <w:bCs/>
                <w:sz w:val="24"/>
                <w:szCs w:val="24"/>
              </w:rPr>
              <w:t>BOD</w:t>
            </w:r>
            <w:r>
              <w:rPr>
                <w:bCs/>
                <w:sz w:val="24"/>
                <w:szCs w:val="24"/>
                <w:vertAlign w:val="subscript"/>
              </w:rPr>
              <w:t>5</w:t>
            </w:r>
            <w:r>
              <w:rPr>
                <w:bCs/>
                <w:sz w:val="24"/>
                <w:szCs w:val="24"/>
              </w:rPr>
              <w:t>：180mg/L、</w:t>
            </w:r>
            <w:r>
              <w:rPr>
                <w:sz w:val="24"/>
                <w:szCs w:val="24"/>
              </w:rPr>
              <w:t>动植物油：30mg/L，SS：110mg/L。</w:t>
            </w:r>
          </w:p>
          <w:p>
            <w:pPr>
              <w:pStyle w:val="96"/>
              <w:ind w:left="0" w:firstLine="480" w:firstLineChars="200"/>
              <w:jc w:val="both"/>
              <w:rPr>
                <w:sz w:val="24"/>
                <w:szCs w:val="20"/>
              </w:rPr>
            </w:pPr>
            <w:r>
              <w:rPr>
                <w:rFonts w:hint="eastAsia"/>
                <w:sz w:val="24"/>
                <w:szCs w:val="20"/>
              </w:rPr>
              <w:t>详细产污数据见下表。</w:t>
            </w:r>
          </w:p>
          <w:p>
            <w:pPr>
              <w:pStyle w:val="12"/>
              <w:snapToGrid/>
              <w:spacing w:before="0" w:after="0" w:line="240" w:lineRule="auto"/>
              <w:ind w:right="0"/>
              <w:jc w:val="center"/>
              <w:rPr>
                <w:rFonts w:hint="eastAsia"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表4-23     生活</w:t>
            </w:r>
            <w:r>
              <w:rPr>
                <w:rFonts w:hint="eastAsia"/>
                <w:b/>
                <w:bCs/>
                <w:color w:val="000000" w:themeColor="text1"/>
                <w:sz w:val="21"/>
                <w:szCs w:val="21"/>
                <w:lang w:eastAsia="zh-CN"/>
                <w14:textFill>
                  <w14:solidFill>
                    <w14:schemeClr w14:val="tx1"/>
                  </w14:solidFill>
                </w14:textFill>
              </w:rPr>
              <w:t>污水</w:t>
            </w:r>
            <w:r>
              <w:rPr>
                <w:rFonts w:hint="eastAsia"/>
                <w:b/>
                <w:bCs/>
                <w:color w:val="000000" w:themeColor="text1"/>
                <w:sz w:val="21"/>
                <w:szCs w:val="21"/>
                <w:lang w:val="en-US" w:eastAsia="zh-CN"/>
                <w14:textFill>
                  <w14:solidFill>
                    <w14:schemeClr w14:val="tx1"/>
                  </w14:solidFill>
                </w14:textFill>
              </w:rPr>
              <w:t>产</w:t>
            </w:r>
            <w:r>
              <w:rPr>
                <w:rFonts w:hint="eastAsia"/>
                <w:b/>
                <w:bCs/>
                <w:color w:val="000000" w:themeColor="text1"/>
                <w:sz w:val="21"/>
                <w:szCs w:val="21"/>
                <w14:textFill>
                  <w14:solidFill>
                    <w14:schemeClr w14:val="tx1"/>
                  </w14:solidFill>
                </w14:textFill>
              </w:rPr>
              <w:t>排污因子</w:t>
            </w:r>
            <w:r>
              <w:rPr>
                <w:rFonts w:hint="eastAsia"/>
                <w:b/>
                <w:bCs/>
                <w:color w:val="000000" w:themeColor="text1"/>
                <w:sz w:val="21"/>
                <w:szCs w:val="21"/>
                <w:lang w:val="en-US" w:eastAsia="zh-CN"/>
                <w14:textFill>
                  <w14:solidFill>
                    <w14:schemeClr w14:val="tx1"/>
                  </w14:solidFill>
                </w14:textFill>
              </w:rPr>
              <w:t>一览表</w:t>
            </w:r>
          </w:p>
          <w:tbl>
            <w:tblPr>
              <w:tblStyle w:val="32"/>
              <w:tblW w:w="8262" w:type="dxa"/>
              <w:tblInd w:w="0" w:type="dxa"/>
              <w:tblLayout w:type="fixed"/>
              <w:tblCellMar>
                <w:top w:w="0" w:type="dxa"/>
                <w:left w:w="108" w:type="dxa"/>
                <w:bottom w:w="0" w:type="dxa"/>
                <w:right w:w="108" w:type="dxa"/>
              </w:tblCellMar>
            </w:tblPr>
            <w:tblGrid>
              <w:gridCol w:w="1521"/>
              <w:gridCol w:w="2134"/>
              <w:gridCol w:w="1521"/>
              <w:gridCol w:w="1564"/>
              <w:gridCol w:w="1522"/>
            </w:tblGrid>
            <w:tr>
              <w:tc>
                <w:tcPr>
                  <w:tcW w:w="15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rFonts w:hint="eastAsia" w:ascii="宋体" w:hAnsi="宋体" w:cs="宋体"/>
                      <w:b/>
                      <w:bCs/>
                      <w:szCs w:val="21"/>
                    </w:rPr>
                  </w:pPr>
                  <w:r>
                    <w:rPr>
                      <w:rFonts w:hint="eastAsia" w:ascii="宋体" w:hAnsi="宋体" w:cs="宋体"/>
                      <w:b/>
                      <w:bCs/>
                      <w:kern w:val="0"/>
                      <w:szCs w:val="21"/>
                      <w:lang w:bidi="ar"/>
                    </w:rPr>
                    <w:t>产排污环节</w:t>
                  </w:r>
                </w:p>
              </w:tc>
              <w:tc>
                <w:tcPr>
                  <w:tcW w:w="21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rFonts w:hint="eastAsia" w:ascii="宋体" w:hAnsi="宋体" w:cs="宋体"/>
                      <w:b/>
                      <w:bCs/>
                      <w:szCs w:val="21"/>
                    </w:rPr>
                  </w:pPr>
                  <w:r>
                    <w:rPr>
                      <w:rFonts w:hint="eastAsia" w:ascii="宋体" w:hAnsi="宋体" w:cs="宋体"/>
                      <w:b/>
                      <w:bCs/>
                      <w:kern w:val="0"/>
                      <w:szCs w:val="21"/>
                      <w:lang w:bidi="ar"/>
                    </w:rPr>
                    <w:t>类别</w:t>
                  </w:r>
                </w:p>
              </w:tc>
              <w:tc>
                <w:tcPr>
                  <w:tcW w:w="15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rFonts w:hint="eastAsia" w:ascii="宋体" w:hAnsi="宋体" w:cs="宋体"/>
                      <w:b/>
                      <w:bCs/>
                      <w:szCs w:val="21"/>
                    </w:rPr>
                  </w:pPr>
                  <w:r>
                    <w:rPr>
                      <w:rFonts w:hint="eastAsia" w:ascii="宋体" w:hAnsi="宋体" w:cs="宋体"/>
                      <w:b/>
                      <w:bCs/>
                      <w:kern w:val="0"/>
                      <w:szCs w:val="21"/>
                      <w:lang w:bidi="ar"/>
                    </w:rPr>
                    <w:t>污染物种类</w:t>
                  </w:r>
                </w:p>
              </w:tc>
              <w:tc>
                <w:tcPr>
                  <w:tcW w:w="15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rFonts w:hint="eastAsia" w:ascii="宋体" w:hAnsi="宋体" w:cs="宋体"/>
                      <w:b/>
                      <w:bCs/>
                      <w:szCs w:val="21"/>
                    </w:rPr>
                  </w:pPr>
                  <w:r>
                    <w:rPr>
                      <w:rFonts w:hint="eastAsia" w:ascii="宋体" w:hAnsi="宋体" w:cs="宋体"/>
                      <w:b/>
                      <w:bCs/>
                      <w:kern w:val="0"/>
                      <w:szCs w:val="21"/>
                      <w:lang w:bidi="ar"/>
                    </w:rPr>
                    <w:t>污染物产生量</w:t>
                  </w:r>
                  <w:r>
                    <w:rPr>
                      <w:b/>
                      <w:bCs/>
                      <w:kern w:val="0"/>
                      <w:szCs w:val="21"/>
                      <w:lang w:bidi="ar"/>
                    </w:rPr>
                    <w:t>t/a</w:t>
                  </w:r>
                </w:p>
              </w:tc>
              <w:tc>
                <w:tcPr>
                  <w:tcW w:w="15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rFonts w:hint="eastAsia" w:ascii="宋体" w:hAnsi="宋体" w:cs="宋体"/>
                      <w:b/>
                      <w:bCs/>
                      <w:szCs w:val="21"/>
                    </w:rPr>
                  </w:pPr>
                  <w:r>
                    <w:rPr>
                      <w:rFonts w:hint="eastAsia" w:ascii="宋体" w:hAnsi="宋体" w:cs="宋体"/>
                      <w:b/>
                      <w:bCs/>
                      <w:kern w:val="0"/>
                      <w:szCs w:val="21"/>
                      <w:lang w:bidi="ar"/>
                    </w:rPr>
                    <w:t>污染物排放浓度</w:t>
                  </w:r>
                  <w:r>
                    <w:rPr>
                      <w:b/>
                      <w:bCs/>
                      <w:kern w:val="0"/>
                      <w:szCs w:val="21"/>
                      <w:lang w:bidi="ar"/>
                    </w:rPr>
                    <w:t>mg/L</w:t>
                  </w:r>
                </w:p>
              </w:tc>
            </w:tr>
            <w:tr>
              <w:tblPrEx>
                <w:tblCellMar>
                  <w:top w:w="0" w:type="dxa"/>
                  <w:left w:w="108" w:type="dxa"/>
                  <w:bottom w:w="0" w:type="dxa"/>
                  <w:right w:w="108" w:type="dxa"/>
                </w:tblCellMar>
              </w:tblPrEx>
              <w:tc>
                <w:tcPr>
                  <w:tcW w:w="1521"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宋体" w:hAnsi="宋体" w:cs="宋体"/>
                      <w:kern w:val="0"/>
                      <w:szCs w:val="21"/>
                      <w:lang w:bidi="ar"/>
                    </w:rPr>
                  </w:pPr>
                </w:p>
                <w:p>
                  <w:pPr>
                    <w:widowControl/>
                    <w:jc w:val="center"/>
                    <w:textAlignment w:val="center"/>
                    <w:rPr>
                      <w:rFonts w:hint="eastAsia" w:ascii="宋体" w:hAnsi="宋体" w:cs="宋体"/>
                      <w:kern w:val="0"/>
                      <w:szCs w:val="21"/>
                      <w:lang w:bidi="ar"/>
                    </w:rPr>
                  </w:pPr>
                </w:p>
                <w:p>
                  <w:pPr>
                    <w:widowControl/>
                    <w:jc w:val="center"/>
                    <w:textAlignment w:val="center"/>
                    <w:rPr>
                      <w:rFonts w:hint="eastAsia" w:ascii="宋体" w:hAnsi="宋体" w:cs="宋体"/>
                      <w:szCs w:val="21"/>
                    </w:rPr>
                  </w:pPr>
                  <w:r>
                    <w:rPr>
                      <w:rFonts w:hint="eastAsia" w:ascii="宋体" w:hAnsi="宋体" w:cs="宋体"/>
                      <w:kern w:val="0"/>
                      <w:szCs w:val="21"/>
                      <w:lang w:bidi="ar"/>
                    </w:rPr>
                    <w:t>员工办公</w:t>
                  </w:r>
                </w:p>
              </w:tc>
              <w:tc>
                <w:tcPr>
                  <w:tcW w:w="2134"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宋体" w:hAnsi="宋体" w:cs="宋体"/>
                      <w:kern w:val="0"/>
                      <w:szCs w:val="21"/>
                      <w:lang w:bidi="ar"/>
                    </w:rPr>
                  </w:pPr>
                </w:p>
                <w:p>
                  <w:pPr>
                    <w:widowControl/>
                    <w:jc w:val="center"/>
                    <w:textAlignment w:val="center"/>
                    <w:rPr>
                      <w:rFonts w:hint="eastAsia" w:ascii="宋体" w:hAnsi="宋体" w:cs="宋体"/>
                      <w:kern w:val="0"/>
                      <w:szCs w:val="21"/>
                      <w:lang w:bidi="ar"/>
                    </w:rPr>
                  </w:pPr>
                </w:p>
                <w:p>
                  <w:pPr>
                    <w:widowControl/>
                    <w:jc w:val="center"/>
                    <w:textAlignment w:val="center"/>
                    <w:rPr>
                      <w:rFonts w:hint="eastAsia" w:ascii="宋体" w:hAnsi="宋体" w:cs="宋体"/>
                      <w:szCs w:val="21"/>
                    </w:rPr>
                  </w:pPr>
                  <w:r>
                    <w:rPr>
                      <w:rFonts w:hint="eastAsia" w:ascii="宋体" w:hAnsi="宋体" w:cs="宋体"/>
                      <w:kern w:val="0"/>
                      <w:szCs w:val="21"/>
                      <w:lang w:bidi="ar"/>
                    </w:rPr>
                    <w:t>生活污水</w:t>
                  </w:r>
                  <w:r>
                    <w:rPr>
                      <w:rFonts w:hint="eastAsia"/>
                      <w:kern w:val="0"/>
                      <w:szCs w:val="21"/>
                      <w:lang w:bidi="ar"/>
                    </w:rPr>
                    <w:t>（51.62</w:t>
                  </w:r>
                  <w:r>
                    <w:rPr>
                      <w:kern w:val="0"/>
                      <w:szCs w:val="21"/>
                      <w:lang w:bidi="ar"/>
                    </w:rPr>
                    <w:t>m</w:t>
                  </w:r>
                  <w:r>
                    <w:rPr>
                      <w:kern w:val="0"/>
                      <w:szCs w:val="21"/>
                      <w:vertAlign w:val="superscript"/>
                      <w:lang w:bidi="ar"/>
                    </w:rPr>
                    <w:t>3</w:t>
                  </w:r>
                  <w:r>
                    <w:rPr>
                      <w:rFonts w:hint="eastAsia"/>
                      <w:kern w:val="0"/>
                      <w:szCs w:val="21"/>
                      <w:lang w:bidi="ar"/>
                    </w:rPr>
                    <w:t>）</w:t>
                  </w:r>
                </w:p>
              </w:tc>
              <w:tc>
                <w:tcPr>
                  <w:tcW w:w="15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COD</w:t>
                  </w:r>
                </w:p>
              </w:tc>
              <w:tc>
                <w:tcPr>
                  <w:tcW w:w="1564" w:type="dxa"/>
                  <w:tcBorders>
                    <w:top w:val="single" w:color="000000" w:sz="4" w:space="0"/>
                    <w:left w:val="single" w:color="000000" w:sz="4" w:space="0"/>
                    <w:bottom w:val="single" w:color="000000" w:sz="4" w:space="0"/>
                    <w:right w:val="single" w:color="000000" w:sz="4" w:space="0"/>
                  </w:tcBorders>
                </w:tcPr>
                <w:p>
                  <w:pPr>
                    <w:widowControl/>
                    <w:jc w:val="center"/>
                    <w:textAlignment w:val="top"/>
                    <w:rPr>
                      <w:szCs w:val="21"/>
                    </w:rPr>
                  </w:pPr>
                  <w:r>
                    <w:rPr>
                      <w:kern w:val="0"/>
                      <w:szCs w:val="21"/>
                      <w:lang w:bidi="ar"/>
                    </w:rPr>
                    <w:t xml:space="preserve">4.414 </w:t>
                  </w:r>
                </w:p>
              </w:tc>
              <w:tc>
                <w:tcPr>
                  <w:tcW w:w="1522" w:type="dxa"/>
                  <w:tcBorders>
                    <w:top w:val="single" w:color="000000" w:sz="4" w:space="0"/>
                    <w:left w:val="single" w:color="000000" w:sz="4" w:space="0"/>
                    <w:bottom w:val="single" w:color="000000" w:sz="4" w:space="0"/>
                    <w:right w:val="single" w:color="000000" w:sz="4" w:space="0"/>
                  </w:tcBorders>
                </w:tcPr>
                <w:p>
                  <w:pPr>
                    <w:widowControl/>
                    <w:jc w:val="center"/>
                    <w:textAlignment w:val="top"/>
                    <w:rPr>
                      <w:szCs w:val="21"/>
                    </w:rPr>
                  </w:pPr>
                  <w:r>
                    <w:rPr>
                      <w:kern w:val="0"/>
                      <w:szCs w:val="21"/>
                      <w:lang w:bidi="ar"/>
                    </w:rPr>
                    <w:t>285</w:t>
                  </w:r>
                </w:p>
              </w:tc>
            </w:tr>
            <w:tr>
              <w:tblPrEx>
                <w:tblCellMar>
                  <w:top w:w="0" w:type="dxa"/>
                  <w:left w:w="108" w:type="dxa"/>
                  <w:bottom w:w="0" w:type="dxa"/>
                  <w:right w:w="108" w:type="dxa"/>
                </w:tblCellMar>
              </w:tblPrEx>
              <w:tc>
                <w:tcPr>
                  <w:tcW w:w="1521" w:type="dxa"/>
                  <w:vMerge w:val="continue"/>
                  <w:tcBorders>
                    <w:left w:val="single" w:color="000000" w:sz="4" w:space="0"/>
                    <w:right w:val="single" w:color="000000" w:sz="4" w:space="0"/>
                  </w:tcBorders>
                  <w:vAlign w:val="center"/>
                </w:tcPr>
                <w:p>
                  <w:pPr>
                    <w:jc w:val="center"/>
                    <w:rPr>
                      <w:rFonts w:hint="eastAsia" w:ascii="宋体" w:hAnsi="宋体" w:cs="宋体"/>
                      <w:szCs w:val="21"/>
                    </w:rPr>
                  </w:pPr>
                </w:p>
              </w:tc>
              <w:tc>
                <w:tcPr>
                  <w:tcW w:w="2134" w:type="dxa"/>
                  <w:vMerge w:val="continue"/>
                  <w:tcBorders>
                    <w:left w:val="single" w:color="000000" w:sz="4" w:space="0"/>
                    <w:right w:val="single" w:color="000000" w:sz="4" w:space="0"/>
                  </w:tcBorders>
                  <w:vAlign w:val="center"/>
                </w:tcPr>
                <w:p>
                  <w:pPr>
                    <w:jc w:val="center"/>
                    <w:rPr>
                      <w:rFonts w:hint="eastAsia" w:ascii="宋体" w:hAnsi="宋体" w:cs="宋体"/>
                      <w:szCs w:val="21"/>
                    </w:rPr>
                  </w:pPr>
                </w:p>
              </w:tc>
              <w:tc>
                <w:tcPr>
                  <w:tcW w:w="15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1564" w:type="dxa"/>
                  <w:tcBorders>
                    <w:top w:val="single" w:color="000000" w:sz="4" w:space="0"/>
                    <w:left w:val="single" w:color="000000" w:sz="4" w:space="0"/>
                    <w:bottom w:val="single" w:color="000000" w:sz="4" w:space="0"/>
                    <w:right w:val="single" w:color="000000" w:sz="4" w:space="0"/>
                  </w:tcBorders>
                </w:tcPr>
                <w:p>
                  <w:pPr>
                    <w:widowControl/>
                    <w:jc w:val="center"/>
                    <w:textAlignment w:val="top"/>
                    <w:rPr>
                      <w:szCs w:val="21"/>
                    </w:rPr>
                  </w:pPr>
                  <w:r>
                    <w:rPr>
                      <w:kern w:val="0"/>
                      <w:szCs w:val="21"/>
                      <w:lang w:bidi="ar"/>
                    </w:rPr>
                    <w:t xml:space="preserve">0.438 </w:t>
                  </w:r>
                </w:p>
              </w:tc>
              <w:tc>
                <w:tcPr>
                  <w:tcW w:w="1522" w:type="dxa"/>
                  <w:tcBorders>
                    <w:top w:val="single" w:color="000000" w:sz="4" w:space="0"/>
                    <w:left w:val="single" w:color="000000" w:sz="4" w:space="0"/>
                    <w:bottom w:val="single" w:color="000000" w:sz="4" w:space="0"/>
                    <w:right w:val="single" w:color="000000" w:sz="4" w:space="0"/>
                  </w:tcBorders>
                </w:tcPr>
                <w:p>
                  <w:pPr>
                    <w:widowControl/>
                    <w:jc w:val="center"/>
                    <w:textAlignment w:val="top"/>
                    <w:rPr>
                      <w:szCs w:val="21"/>
                    </w:rPr>
                  </w:pPr>
                  <w:r>
                    <w:rPr>
                      <w:kern w:val="0"/>
                      <w:szCs w:val="21"/>
                      <w:lang w:bidi="ar"/>
                    </w:rPr>
                    <w:t>28.3</w:t>
                  </w:r>
                </w:p>
              </w:tc>
            </w:tr>
            <w:tr>
              <w:tblPrEx>
                <w:tblCellMar>
                  <w:top w:w="0" w:type="dxa"/>
                  <w:left w:w="108" w:type="dxa"/>
                  <w:bottom w:w="0" w:type="dxa"/>
                  <w:right w:w="108" w:type="dxa"/>
                </w:tblCellMar>
              </w:tblPrEx>
              <w:tc>
                <w:tcPr>
                  <w:tcW w:w="1521" w:type="dxa"/>
                  <w:vMerge w:val="continue"/>
                  <w:tcBorders>
                    <w:left w:val="single" w:color="000000" w:sz="4" w:space="0"/>
                    <w:right w:val="single" w:color="000000" w:sz="4" w:space="0"/>
                  </w:tcBorders>
                  <w:vAlign w:val="center"/>
                </w:tcPr>
                <w:p>
                  <w:pPr>
                    <w:jc w:val="center"/>
                    <w:rPr>
                      <w:rFonts w:hint="eastAsia" w:ascii="宋体" w:hAnsi="宋体" w:cs="宋体"/>
                      <w:szCs w:val="21"/>
                    </w:rPr>
                  </w:pPr>
                </w:p>
              </w:tc>
              <w:tc>
                <w:tcPr>
                  <w:tcW w:w="2134" w:type="dxa"/>
                  <w:vMerge w:val="continue"/>
                  <w:tcBorders>
                    <w:left w:val="single" w:color="000000" w:sz="4" w:space="0"/>
                    <w:right w:val="single" w:color="000000" w:sz="4" w:space="0"/>
                  </w:tcBorders>
                  <w:vAlign w:val="center"/>
                </w:tcPr>
                <w:p>
                  <w:pPr>
                    <w:jc w:val="center"/>
                    <w:rPr>
                      <w:rFonts w:hint="eastAsia" w:ascii="宋体" w:hAnsi="宋体" w:cs="宋体"/>
                      <w:szCs w:val="21"/>
                    </w:rPr>
                  </w:pPr>
                </w:p>
              </w:tc>
              <w:tc>
                <w:tcPr>
                  <w:tcW w:w="15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BOD</w:t>
                  </w:r>
                  <w:r>
                    <w:rPr>
                      <w:kern w:val="0"/>
                      <w:szCs w:val="21"/>
                      <w:vertAlign w:val="subscript"/>
                      <w:lang w:bidi="ar"/>
                    </w:rPr>
                    <w:t>5</w:t>
                  </w:r>
                </w:p>
              </w:tc>
              <w:tc>
                <w:tcPr>
                  <w:tcW w:w="1564" w:type="dxa"/>
                  <w:tcBorders>
                    <w:top w:val="single" w:color="000000" w:sz="4" w:space="0"/>
                    <w:left w:val="single" w:color="000000" w:sz="4" w:space="0"/>
                    <w:bottom w:val="single" w:color="000000" w:sz="4" w:space="0"/>
                    <w:right w:val="single" w:color="000000" w:sz="4" w:space="0"/>
                  </w:tcBorders>
                </w:tcPr>
                <w:p>
                  <w:pPr>
                    <w:widowControl/>
                    <w:jc w:val="center"/>
                    <w:textAlignment w:val="top"/>
                    <w:rPr>
                      <w:szCs w:val="21"/>
                    </w:rPr>
                  </w:pPr>
                  <w:r>
                    <w:rPr>
                      <w:kern w:val="0"/>
                      <w:szCs w:val="21"/>
                      <w:lang w:bidi="ar"/>
                    </w:rPr>
                    <w:t xml:space="preserve">2.787 </w:t>
                  </w:r>
                </w:p>
              </w:tc>
              <w:tc>
                <w:tcPr>
                  <w:tcW w:w="1522" w:type="dxa"/>
                  <w:tcBorders>
                    <w:top w:val="single" w:color="000000" w:sz="4" w:space="0"/>
                    <w:left w:val="single" w:color="000000" w:sz="4" w:space="0"/>
                    <w:bottom w:val="single" w:color="000000" w:sz="4" w:space="0"/>
                    <w:right w:val="single" w:color="000000" w:sz="4" w:space="0"/>
                  </w:tcBorders>
                </w:tcPr>
                <w:p>
                  <w:pPr>
                    <w:widowControl/>
                    <w:jc w:val="center"/>
                    <w:textAlignment w:val="top"/>
                    <w:rPr>
                      <w:szCs w:val="21"/>
                    </w:rPr>
                  </w:pPr>
                  <w:r>
                    <w:rPr>
                      <w:kern w:val="0"/>
                      <w:szCs w:val="21"/>
                      <w:lang w:bidi="ar"/>
                    </w:rPr>
                    <w:t>180</w:t>
                  </w:r>
                </w:p>
              </w:tc>
            </w:tr>
            <w:tr>
              <w:tblPrEx>
                <w:tblCellMar>
                  <w:top w:w="0" w:type="dxa"/>
                  <w:left w:w="108" w:type="dxa"/>
                  <w:bottom w:w="0" w:type="dxa"/>
                  <w:right w:w="108" w:type="dxa"/>
                </w:tblCellMar>
              </w:tblPrEx>
              <w:tc>
                <w:tcPr>
                  <w:tcW w:w="1521" w:type="dxa"/>
                  <w:vMerge w:val="continue"/>
                  <w:tcBorders>
                    <w:left w:val="single" w:color="000000" w:sz="4" w:space="0"/>
                    <w:right w:val="single" w:color="000000" w:sz="4" w:space="0"/>
                  </w:tcBorders>
                  <w:vAlign w:val="center"/>
                </w:tcPr>
                <w:p>
                  <w:pPr>
                    <w:jc w:val="center"/>
                    <w:rPr>
                      <w:rFonts w:hint="eastAsia" w:ascii="宋体" w:hAnsi="宋体" w:cs="宋体"/>
                      <w:szCs w:val="21"/>
                    </w:rPr>
                  </w:pPr>
                </w:p>
              </w:tc>
              <w:tc>
                <w:tcPr>
                  <w:tcW w:w="2134" w:type="dxa"/>
                  <w:vMerge w:val="continue"/>
                  <w:tcBorders>
                    <w:left w:val="single" w:color="000000" w:sz="4" w:space="0"/>
                    <w:right w:val="single" w:color="000000" w:sz="4" w:space="0"/>
                  </w:tcBorders>
                  <w:vAlign w:val="center"/>
                </w:tcPr>
                <w:p>
                  <w:pPr>
                    <w:jc w:val="center"/>
                    <w:rPr>
                      <w:rFonts w:hint="eastAsia" w:ascii="宋体" w:hAnsi="宋体" w:cs="宋体"/>
                      <w:szCs w:val="21"/>
                    </w:rPr>
                  </w:pPr>
                </w:p>
              </w:tc>
              <w:tc>
                <w:tcPr>
                  <w:tcW w:w="15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SS</w:t>
                  </w:r>
                </w:p>
              </w:tc>
              <w:tc>
                <w:tcPr>
                  <w:tcW w:w="1564" w:type="dxa"/>
                  <w:tcBorders>
                    <w:top w:val="single" w:color="000000" w:sz="4" w:space="0"/>
                    <w:left w:val="single" w:color="000000" w:sz="4" w:space="0"/>
                    <w:bottom w:val="single" w:color="000000" w:sz="4" w:space="0"/>
                    <w:right w:val="single" w:color="000000" w:sz="4" w:space="0"/>
                  </w:tcBorders>
                </w:tcPr>
                <w:p>
                  <w:pPr>
                    <w:widowControl/>
                    <w:jc w:val="center"/>
                    <w:textAlignment w:val="top"/>
                    <w:rPr>
                      <w:szCs w:val="21"/>
                    </w:rPr>
                  </w:pPr>
                  <w:r>
                    <w:rPr>
                      <w:kern w:val="0"/>
                      <w:szCs w:val="21"/>
                      <w:lang w:bidi="ar"/>
                    </w:rPr>
                    <w:t xml:space="preserve">1.703 </w:t>
                  </w:r>
                </w:p>
              </w:tc>
              <w:tc>
                <w:tcPr>
                  <w:tcW w:w="1522" w:type="dxa"/>
                  <w:tcBorders>
                    <w:top w:val="single" w:color="000000" w:sz="4" w:space="0"/>
                    <w:left w:val="single" w:color="000000" w:sz="4" w:space="0"/>
                    <w:bottom w:val="single" w:color="000000" w:sz="4" w:space="0"/>
                    <w:right w:val="single" w:color="000000" w:sz="4" w:space="0"/>
                  </w:tcBorders>
                </w:tcPr>
                <w:p>
                  <w:pPr>
                    <w:widowControl/>
                    <w:jc w:val="center"/>
                    <w:textAlignment w:val="top"/>
                    <w:rPr>
                      <w:szCs w:val="21"/>
                    </w:rPr>
                  </w:pPr>
                  <w:r>
                    <w:rPr>
                      <w:kern w:val="0"/>
                      <w:szCs w:val="21"/>
                      <w:lang w:bidi="ar"/>
                    </w:rPr>
                    <w:t>110</w:t>
                  </w:r>
                </w:p>
              </w:tc>
            </w:tr>
            <w:tr>
              <w:tblPrEx>
                <w:tblCellMar>
                  <w:top w:w="0" w:type="dxa"/>
                  <w:left w:w="108" w:type="dxa"/>
                  <w:bottom w:w="0" w:type="dxa"/>
                  <w:right w:w="108" w:type="dxa"/>
                </w:tblCellMar>
              </w:tblPrEx>
              <w:tc>
                <w:tcPr>
                  <w:tcW w:w="1521" w:type="dxa"/>
                  <w:vMerge w:val="continue"/>
                  <w:tcBorders>
                    <w:left w:val="single" w:color="000000" w:sz="4" w:space="0"/>
                    <w:right w:val="single" w:color="000000" w:sz="4" w:space="0"/>
                  </w:tcBorders>
                  <w:vAlign w:val="center"/>
                </w:tcPr>
                <w:p>
                  <w:pPr>
                    <w:jc w:val="center"/>
                    <w:rPr>
                      <w:rFonts w:hint="eastAsia" w:ascii="宋体" w:hAnsi="宋体" w:cs="宋体"/>
                      <w:szCs w:val="21"/>
                    </w:rPr>
                  </w:pPr>
                </w:p>
              </w:tc>
              <w:tc>
                <w:tcPr>
                  <w:tcW w:w="2134" w:type="dxa"/>
                  <w:vMerge w:val="continue"/>
                  <w:tcBorders>
                    <w:left w:val="single" w:color="000000" w:sz="4" w:space="0"/>
                    <w:right w:val="single" w:color="000000" w:sz="4" w:space="0"/>
                  </w:tcBorders>
                  <w:vAlign w:val="center"/>
                </w:tcPr>
                <w:p>
                  <w:pPr>
                    <w:jc w:val="center"/>
                    <w:rPr>
                      <w:rFonts w:hint="eastAsia" w:ascii="宋体" w:hAnsi="宋体" w:cs="宋体"/>
                      <w:szCs w:val="21"/>
                    </w:rPr>
                  </w:pPr>
                </w:p>
              </w:tc>
              <w:tc>
                <w:tcPr>
                  <w:tcW w:w="15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TN</w:t>
                  </w:r>
                </w:p>
              </w:tc>
              <w:tc>
                <w:tcPr>
                  <w:tcW w:w="1564" w:type="dxa"/>
                  <w:tcBorders>
                    <w:top w:val="single" w:color="000000" w:sz="4" w:space="0"/>
                    <w:left w:val="single" w:color="000000" w:sz="4" w:space="0"/>
                    <w:bottom w:val="single" w:color="000000" w:sz="4" w:space="0"/>
                    <w:right w:val="single" w:color="000000" w:sz="4" w:space="0"/>
                  </w:tcBorders>
                </w:tcPr>
                <w:p>
                  <w:pPr>
                    <w:widowControl/>
                    <w:jc w:val="center"/>
                    <w:textAlignment w:val="top"/>
                    <w:rPr>
                      <w:kern w:val="0"/>
                      <w:szCs w:val="21"/>
                      <w:lang w:bidi="ar"/>
                    </w:rPr>
                  </w:pPr>
                  <w:r>
                    <w:rPr>
                      <w:kern w:val="0"/>
                      <w:szCs w:val="21"/>
                      <w:lang w:bidi="ar"/>
                    </w:rPr>
                    <w:t xml:space="preserve">0.610 </w:t>
                  </w:r>
                </w:p>
              </w:tc>
              <w:tc>
                <w:tcPr>
                  <w:tcW w:w="1522" w:type="dxa"/>
                  <w:tcBorders>
                    <w:top w:val="single" w:color="000000" w:sz="4" w:space="0"/>
                    <w:left w:val="single" w:color="000000" w:sz="4" w:space="0"/>
                    <w:bottom w:val="single" w:color="000000" w:sz="4" w:space="0"/>
                    <w:right w:val="single" w:color="000000" w:sz="4" w:space="0"/>
                  </w:tcBorders>
                </w:tcPr>
                <w:p>
                  <w:pPr>
                    <w:widowControl/>
                    <w:jc w:val="center"/>
                    <w:textAlignment w:val="top"/>
                    <w:rPr>
                      <w:kern w:val="0"/>
                      <w:szCs w:val="21"/>
                      <w:lang w:bidi="ar"/>
                    </w:rPr>
                  </w:pPr>
                  <w:r>
                    <w:rPr>
                      <w:kern w:val="0"/>
                      <w:szCs w:val="21"/>
                      <w:lang w:bidi="ar"/>
                    </w:rPr>
                    <w:t>39.4</w:t>
                  </w:r>
                </w:p>
              </w:tc>
            </w:tr>
            <w:tr>
              <w:tblPrEx>
                <w:tblCellMar>
                  <w:top w:w="0" w:type="dxa"/>
                  <w:left w:w="108" w:type="dxa"/>
                  <w:bottom w:w="0" w:type="dxa"/>
                  <w:right w:w="108" w:type="dxa"/>
                </w:tblCellMar>
              </w:tblPrEx>
              <w:tc>
                <w:tcPr>
                  <w:tcW w:w="1521" w:type="dxa"/>
                  <w:vMerge w:val="continue"/>
                  <w:tcBorders>
                    <w:left w:val="single" w:color="000000" w:sz="4" w:space="0"/>
                    <w:right w:val="single" w:color="000000" w:sz="4" w:space="0"/>
                  </w:tcBorders>
                  <w:vAlign w:val="center"/>
                </w:tcPr>
                <w:p>
                  <w:pPr>
                    <w:jc w:val="center"/>
                    <w:rPr>
                      <w:rFonts w:hint="eastAsia" w:ascii="宋体" w:hAnsi="宋体" w:cs="宋体"/>
                      <w:szCs w:val="21"/>
                    </w:rPr>
                  </w:pPr>
                </w:p>
              </w:tc>
              <w:tc>
                <w:tcPr>
                  <w:tcW w:w="2134" w:type="dxa"/>
                  <w:vMerge w:val="continue"/>
                  <w:tcBorders>
                    <w:left w:val="single" w:color="000000" w:sz="4" w:space="0"/>
                    <w:right w:val="single" w:color="000000" w:sz="4" w:space="0"/>
                  </w:tcBorders>
                  <w:vAlign w:val="center"/>
                </w:tcPr>
                <w:p>
                  <w:pPr>
                    <w:jc w:val="center"/>
                    <w:rPr>
                      <w:rFonts w:hint="eastAsia" w:ascii="宋体" w:hAnsi="宋体" w:cs="宋体"/>
                      <w:szCs w:val="21"/>
                    </w:rPr>
                  </w:pPr>
                </w:p>
              </w:tc>
              <w:tc>
                <w:tcPr>
                  <w:tcW w:w="15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TP</w:t>
                  </w:r>
                </w:p>
              </w:tc>
              <w:tc>
                <w:tcPr>
                  <w:tcW w:w="1564" w:type="dxa"/>
                  <w:tcBorders>
                    <w:top w:val="single" w:color="000000" w:sz="4" w:space="0"/>
                    <w:left w:val="single" w:color="000000" w:sz="4" w:space="0"/>
                    <w:bottom w:val="single" w:color="000000" w:sz="4" w:space="0"/>
                    <w:right w:val="single" w:color="000000" w:sz="4" w:space="0"/>
                  </w:tcBorders>
                </w:tcPr>
                <w:p>
                  <w:pPr>
                    <w:widowControl/>
                    <w:jc w:val="center"/>
                    <w:textAlignment w:val="top"/>
                    <w:rPr>
                      <w:kern w:val="0"/>
                      <w:szCs w:val="21"/>
                      <w:lang w:bidi="ar"/>
                    </w:rPr>
                  </w:pPr>
                  <w:r>
                    <w:rPr>
                      <w:kern w:val="0"/>
                      <w:szCs w:val="21"/>
                      <w:lang w:bidi="ar"/>
                    </w:rPr>
                    <w:t xml:space="preserve">0.063 </w:t>
                  </w:r>
                </w:p>
              </w:tc>
              <w:tc>
                <w:tcPr>
                  <w:tcW w:w="1522" w:type="dxa"/>
                  <w:tcBorders>
                    <w:top w:val="single" w:color="000000" w:sz="4" w:space="0"/>
                    <w:left w:val="single" w:color="000000" w:sz="4" w:space="0"/>
                    <w:bottom w:val="single" w:color="000000" w:sz="4" w:space="0"/>
                    <w:right w:val="single" w:color="000000" w:sz="4" w:space="0"/>
                  </w:tcBorders>
                </w:tcPr>
                <w:p>
                  <w:pPr>
                    <w:widowControl/>
                    <w:jc w:val="center"/>
                    <w:textAlignment w:val="top"/>
                    <w:rPr>
                      <w:kern w:val="0"/>
                      <w:szCs w:val="21"/>
                      <w:lang w:bidi="ar"/>
                    </w:rPr>
                  </w:pPr>
                  <w:r>
                    <w:rPr>
                      <w:kern w:val="0"/>
                      <w:szCs w:val="21"/>
                      <w:lang w:bidi="ar"/>
                    </w:rPr>
                    <w:t>4.1</w:t>
                  </w:r>
                </w:p>
              </w:tc>
            </w:tr>
            <w:tr>
              <w:tblPrEx>
                <w:tblCellMar>
                  <w:top w:w="0" w:type="dxa"/>
                  <w:left w:w="108" w:type="dxa"/>
                  <w:bottom w:w="0" w:type="dxa"/>
                  <w:right w:w="108" w:type="dxa"/>
                </w:tblCellMar>
              </w:tblPrEx>
              <w:tc>
                <w:tcPr>
                  <w:tcW w:w="1521"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2134"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5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rFonts w:hint="eastAsia" w:ascii="宋体" w:hAnsi="宋体" w:cs="宋体"/>
                      <w:kern w:val="0"/>
                      <w:szCs w:val="21"/>
                      <w:lang w:bidi="ar"/>
                    </w:rPr>
                    <w:t>动植物油</w:t>
                  </w:r>
                </w:p>
              </w:tc>
              <w:tc>
                <w:tcPr>
                  <w:tcW w:w="1564" w:type="dxa"/>
                  <w:tcBorders>
                    <w:top w:val="single" w:color="000000" w:sz="4" w:space="0"/>
                    <w:left w:val="single" w:color="000000" w:sz="4" w:space="0"/>
                    <w:bottom w:val="single" w:color="000000" w:sz="4" w:space="0"/>
                    <w:right w:val="single" w:color="000000" w:sz="4" w:space="0"/>
                  </w:tcBorders>
                </w:tcPr>
                <w:p>
                  <w:pPr>
                    <w:widowControl/>
                    <w:jc w:val="center"/>
                    <w:textAlignment w:val="top"/>
                    <w:rPr>
                      <w:kern w:val="0"/>
                      <w:szCs w:val="21"/>
                      <w:lang w:bidi="ar"/>
                    </w:rPr>
                  </w:pPr>
                  <w:r>
                    <w:rPr>
                      <w:kern w:val="0"/>
                      <w:szCs w:val="21"/>
                      <w:lang w:bidi="ar"/>
                    </w:rPr>
                    <w:t xml:space="preserve">0.465 </w:t>
                  </w:r>
                </w:p>
              </w:tc>
              <w:tc>
                <w:tcPr>
                  <w:tcW w:w="1522" w:type="dxa"/>
                  <w:tcBorders>
                    <w:top w:val="single" w:color="000000" w:sz="4" w:space="0"/>
                    <w:left w:val="single" w:color="000000" w:sz="4" w:space="0"/>
                    <w:bottom w:val="single" w:color="000000" w:sz="4" w:space="0"/>
                    <w:right w:val="single" w:color="000000" w:sz="4" w:space="0"/>
                  </w:tcBorders>
                </w:tcPr>
                <w:p>
                  <w:pPr>
                    <w:widowControl/>
                    <w:jc w:val="center"/>
                    <w:textAlignment w:val="top"/>
                    <w:rPr>
                      <w:kern w:val="0"/>
                      <w:szCs w:val="21"/>
                      <w:lang w:bidi="ar"/>
                    </w:rPr>
                  </w:pPr>
                  <w:r>
                    <w:rPr>
                      <w:kern w:val="0"/>
                      <w:szCs w:val="21"/>
                      <w:lang w:bidi="ar"/>
                    </w:rPr>
                    <w:t>30</w:t>
                  </w:r>
                </w:p>
              </w:tc>
            </w:tr>
          </w:tbl>
          <w:p>
            <w:pPr>
              <w:pStyle w:val="12"/>
              <w:snapToGrid/>
              <w:spacing w:before="0" w:after="0" w:line="360" w:lineRule="auto"/>
              <w:ind w:right="0" w:firstLine="480" w:firstLineChars="200"/>
              <w:rPr>
                <w:sz w:val="24"/>
                <w:szCs w:val="24"/>
              </w:rPr>
            </w:pPr>
            <w:r>
              <w:rPr>
                <w:sz w:val="24"/>
                <w:szCs w:val="24"/>
              </w:rPr>
              <w:t>参考《我国农村化粪池污染物去除效果及影响因素分析》（环境工程学报，2021 年2月第15卷第2 期）、《化粪池在实际生活中的比选和应用》（环境与发展，陈杰、姜红）、《化粪池</w:t>
            </w:r>
            <w:r>
              <w:rPr>
                <w:rFonts w:hint="eastAsia"/>
                <w:sz w:val="24"/>
                <w:szCs w:val="24"/>
              </w:rPr>
              <w:t>污水处理能力研究及其评价</w:t>
            </w:r>
            <w:r>
              <w:rPr>
                <w:sz w:val="24"/>
                <w:szCs w:val="24"/>
              </w:rPr>
              <w:t>》（</w:t>
            </w:r>
            <w:r>
              <w:rPr>
                <w:rFonts w:hint="eastAsia"/>
                <w:sz w:val="24"/>
                <w:szCs w:val="24"/>
              </w:rPr>
              <w:t>兰州大学</w:t>
            </w:r>
            <w:r>
              <w:rPr>
                <w:sz w:val="24"/>
                <w:szCs w:val="24"/>
              </w:rPr>
              <w:t>，</w:t>
            </w:r>
            <w:r>
              <w:rPr>
                <w:rFonts w:hint="eastAsia"/>
                <w:sz w:val="24"/>
                <w:szCs w:val="24"/>
              </w:rPr>
              <w:t>王红燕等</w:t>
            </w:r>
            <w:r>
              <w:rPr>
                <w:sz w:val="24"/>
                <w:szCs w:val="24"/>
              </w:rPr>
              <w:t>）等文献，三级化粪池对CODcr去除效率为21%~65%、BOD</w:t>
            </w:r>
            <w:r>
              <w:rPr>
                <w:sz w:val="24"/>
                <w:szCs w:val="24"/>
                <w:vertAlign w:val="subscript"/>
              </w:rPr>
              <w:t>5</w:t>
            </w:r>
            <w:r>
              <w:rPr>
                <w:sz w:val="24"/>
                <w:szCs w:val="24"/>
              </w:rPr>
              <w:t>去除效率29%~72%、SS去除效率50%~60%、氨氮去除效率25%~30%（总氮去除效率参考氨氮取值）</w:t>
            </w:r>
            <w:r>
              <w:rPr>
                <w:rFonts w:hint="eastAsia"/>
                <w:sz w:val="24"/>
                <w:szCs w:val="24"/>
              </w:rPr>
              <w:t>、动植物油75.6%</w:t>
            </w:r>
            <w:r>
              <w:rPr>
                <w:sz w:val="24"/>
                <w:szCs w:val="24"/>
              </w:rPr>
              <w:t>；参考《第一次全国污染源普查城镇生活源产排污系数手册》中的三级化粪池产排污系数计算处理效率，三级化粪池对总磷去除效率为15%。因此，本项目三级化粪池对CODcr、BOD</w:t>
            </w:r>
            <w:r>
              <w:rPr>
                <w:sz w:val="24"/>
                <w:szCs w:val="24"/>
                <w:vertAlign w:val="subscript"/>
              </w:rPr>
              <w:t>5</w:t>
            </w:r>
            <w:r>
              <w:rPr>
                <w:sz w:val="24"/>
                <w:szCs w:val="24"/>
              </w:rPr>
              <w:t>、SS、氨氮、总氮、总磷</w:t>
            </w:r>
            <w:r>
              <w:rPr>
                <w:rFonts w:hint="eastAsia"/>
                <w:sz w:val="24"/>
                <w:szCs w:val="24"/>
              </w:rPr>
              <w:t>、动植物油</w:t>
            </w:r>
            <w:r>
              <w:rPr>
                <w:sz w:val="24"/>
                <w:szCs w:val="24"/>
              </w:rPr>
              <w:t>的去除效率分别取43%、50%、55%、27.5%、27.5%、15%</w:t>
            </w:r>
            <w:r>
              <w:rPr>
                <w:rFonts w:hint="eastAsia"/>
                <w:sz w:val="24"/>
                <w:szCs w:val="24"/>
              </w:rPr>
              <w:t>、75.6%</w:t>
            </w:r>
            <w:r>
              <w:rPr>
                <w:sz w:val="24"/>
                <w:szCs w:val="24"/>
              </w:rPr>
              <w:t>。本项目生活污水产排情况见下表。</w:t>
            </w:r>
          </w:p>
          <w:p>
            <w:pPr>
              <w:jc w:val="center"/>
              <w:rPr>
                <w:b/>
                <w:bCs/>
              </w:rPr>
            </w:pPr>
            <w:r>
              <w:rPr>
                <w:rFonts w:hint="eastAsia"/>
                <w:b/>
                <w:bCs/>
              </w:rPr>
              <w:t>表4-24    生活污水污染防治措施</w:t>
            </w:r>
          </w:p>
          <w:tbl>
            <w:tblPr>
              <w:tblStyle w:val="32"/>
              <w:tblW w:w="8263" w:type="dxa"/>
              <w:jc w:val="center"/>
              <w:tblLayout w:type="fixed"/>
              <w:tblCellMar>
                <w:top w:w="0" w:type="dxa"/>
                <w:left w:w="108" w:type="dxa"/>
                <w:bottom w:w="0" w:type="dxa"/>
                <w:right w:w="108" w:type="dxa"/>
              </w:tblCellMar>
            </w:tblPr>
            <w:tblGrid>
              <w:gridCol w:w="843"/>
              <w:gridCol w:w="1193"/>
              <w:gridCol w:w="1018"/>
              <w:gridCol w:w="1046"/>
              <w:gridCol w:w="1080"/>
              <w:gridCol w:w="1046"/>
              <w:gridCol w:w="1148"/>
              <w:gridCol w:w="889"/>
            </w:tblGrid>
            <w:tr>
              <w:tblPrEx>
                <w:tblCellMar>
                  <w:top w:w="0" w:type="dxa"/>
                  <w:left w:w="108" w:type="dxa"/>
                  <w:bottom w:w="0" w:type="dxa"/>
                  <w:right w:w="108" w:type="dxa"/>
                </w:tblCellMar>
              </w:tblPrEx>
              <w:trPr>
                <w:trHeight w:val="525" w:hRule="atLeast"/>
                <w:jc w:val="center"/>
              </w:trPr>
              <w:tc>
                <w:tcPr>
                  <w:tcW w:w="203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szCs w:val="21"/>
                    </w:rPr>
                  </w:pPr>
                  <w:r>
                    <w:rPr>
                      <w:rFonts w:hint="eastAsia" w:ascii="宋体" w:hAnsi="宋体" w:cs="宋体"/>
                      <w:b/>
                      <w:bCs/>
                      <w:kern w:val="0"/>
                      <w:szCs w:val="21"/>
                      <w:lang w:bidi="ar"/>
                    </w:rPr>
                    <w:t>产排污环节</w:t>
                  </w:r>
                </w:p>
              </w:tc>
              <w:tc>
                <w:tcPr>
                  <w:tcW w:w="10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szCs w:val="21"/>
                    </w:rPr>
                  </w:pPr>
                  <w:r>
                    <w:rPr>
                      <w:rFonts w:hint="eastAsia" w:ascii="宋体" w:hAnsi="宋体" w:cs="宋体"/>
                      <w:b/>
                      <w:bCs/>
                      <w:kern w:val="0"/>
                      <w:szCs w:val="21"/>
                      <w:lang w:bidi="ar"/>
                    </w:rPr>
                    <w:t>治理措施</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szCs w:val="21"/>
                    </w:rPr>
                  </w:pPr>
                  <w:r>
                    <w:rPr>
                      <w:rFonts w:hint="eastAsia" w:ascii="宋体" w:hAnsi="宋体" w:cs="宋体"/>
                      <w:b/>
                      <w:bCs/>
                      <w:kern w:val="0"/>
                      <w:szCs w:val="21"/>
                      <w:lang w:bidi="ar"/>
                    </w:rPr>
                    <w:t>处理能力</w:t>
                  </w:r>
                  <w:r>
                    <w:rPr>
                      <w:b/>
                      <w:bCs/>
                      <w:kern w:val="0"/>
                      <w:szCs w:val="21"/>
                      <w:lang w:bidi="ar"/>
                    </w:rPr>
                    <w:t>m</w:t>
                  </w:r>
                  <w:r>
                    <w:rPr>
                      <w:b/>
                      <w:bCs/>
                      <w:kern w:val="0"/>
                      <w:szCs w:val="21"/>
                      <w:vertAlign w:val="superscript"/>
                      <w:lang w:bidi="ar"/>
                    </w:rPr>
                    <w:t>3</w:t>
                  </w:r>
                  <w:r>
                    <w:rPr>
                      <w:b/>
                      <w:bCs/>
                      <w:kern w:val="0"/>
                      <w:szCs w:val="21"/>
                      <w:lang w:bidi="ar"/>
                    </w:rPr>
                    <w:t>/d</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处理效率</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szCs w:val="21"/>
                    </w:rPr>
                  </w:pPr>
                  <w:r>
                    <w:rPr>
                      <w:rFonts w:hint="eastAsia" w:ascii="宋体" w:hAnsi="宋体" w:cs="宋体"/>
                      <w:b/>
                      <w:bCs/>
                      <w:kern w:val="0"/>
                      <w:szCs w:val="21"/>
                      <w:lang w:bidi="ar"/>
                    </w:rPr>
                    <w:t>污染物排放量</w:t>
                  </w:r>
                  <w:r>
                    <w:rPr>
                      <w:b/>
                      <w:bCs/>
                      <w:kern w:val="0"/>
                      <w:szCs w:val="21"/>
                      <w:lang w:bidi="ar"/>
                    </w:rPr>
                    <w:t>t/a</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szCs w:val="21"/>
                    </w:rPr>
                  </w:pPr>
                  <w:r>
                    <w:rPr>
                      <w:rFonts w:hint="eastAsia" w:ascii="宋体" w:hAnsi="宋体" w:cs="宋体"/>
                      <w:b/>
                      <w:bCs/>
                      <w:kern w:val="0"/>
                      <w:szCs w:val="21"/>
                      <w:lang w:bidi="ar"/>
                    </w:rPr>
                    <w:t>排放浓度</w:t>
                  </w:r>
                  <w:r>
                    <w:rPr>
                      <w:b/>
                      <w:bCs/>
                      <w:kern w:val="0"/>
                      <w:szCs w:val="21"/>
                      <w:lang w:bidi="ar"/>
                    </w:rPr>
                    <w:t>mg/m</w:t>
                  </w:r>
                  <w:r>
                    <w:rPr>
                      <w:b/>
                      <w:bCs/>
                      <w:kern w:val="0"/>
                      <w:szCs w:val="21"/>
                      <w:vertAlign w:val="superscript"/>
                      <w:lang w:bidi="ar"/>
                    </w:rPr>
                    <w:t>3</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szCs w:val="21"/>
                    </w:rPr>
                  </w:pPr>
                  <w:r>
                    <w:rPr>
                      <w:rFonts w:hint="eastAsia" w:ascii="宋体" w:hAnsi="宋体" w:cs="宋体"/>
                      <w:b/>
                      <w:bCs/>
                      <w:kern w:val="0"/>
                      <w:szCs w:val="21"/>
                      <w:lang w:bidi="ar"/>
                    </w:rPr>
                    <w:t>排放口编号</w:t>
                  </w:r>
                </w:p>
              </w:tc>
            </w:tr>
            <w:tr>
              <w:tblPrEx>
                <w:tblCellMar>
                  <w:top w:w="0" w:type="dxa"/>
                  <w:left w:w="108" w:type="dxa"/>
                  <w:bottom w:w="0" w:type="dxa"/>
                  <w:right w:w="108" w:type="dxa"/>
                </w:tblCellMar>
              </w:tblPrEx>
              <w:trPr>
                <w:trHeight w:val="270" w:hRule="atLeast"/>
                <w:jc w:val="center"/>
              </w:trPr>
              <w:tc>
                <w:tcPr>
                  <w:tcW w:w="84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员工生活</w:t>
                  </w:r>
                </w:p>
              </w:tc>
              <w:tc>
                <w:tcPr>
                  <w:tcW w:w="11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COD</w:t>
                  </w:r>
                </w:p>
              </w:tc>
              <w:tc>
                <w:tcPr>
                  <w:tcW w:w="101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三格化粪池</w:t>
                  </w:r>
                  <w:r>
                    <w:rPr>
                      <w:rFonts w:hint="eastAsia"/>
                      <w:lang w:eastAsia="zh-CN"/>
                    </w:rPr>
                    <w:t>（</w:t>
                  </w:r>
                  <w:r>
                    <w:rPr>
                      <w:rFonts w:hint="eastAsia"/>
                      <w:lang w:val="en-US" w:eastAsia="zh-CN"/>
                    </w:rPr>
                    <w:t>食堂污水先经隔油池处理</w:t>
                  </w:r>
                  <w:r>
                    <w:rPr>
                      <w:rFonts w:hint="eastAsia"/>
                      <w:lang w:eastAsia="zh-CN"/>
                    </w:rPr>
                    <w:t>）</w:t>
                  </w:r>
                </w:p>
              </w:tc>
              <w:tc>
                <w:tcPr>
                  <w:tcW w:w="104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rFonts w:hint="eastAsia"/>
                      <w:kern w:val="0"/>
                      <w:szCs w:val="21"/>
                      <w:lang w:bidi="ar"/>
                    </w:rPr>
                    <w:t>60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0.43</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2.516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162.45</w:t>
                  </w:r>
                </w:p>
              </w:tc>
              <w:tc>
                <w:tcPr>
                  <w:tcW w:w="88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DW001</w:t>
                  </w:r>
                </w:p>
              </w:tc>
            </w:tr>
            <w:tr>
              <w:tblPrEx>
                <w:tblCellMar>
                  <w:top w:w="0" w:type="dxa"/>
                  <w:left w:w="108" w:type="dxa"/>
                  <w:bottom w:w="0" w:type="dxa"/>
                  <w:right w:w="108" w:type="dxa"/>
                </w:tblCellMar>
              </w:tblPrEx>
              <w:trPr>
                <w:trHeight w:val="345"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1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101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04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0.275</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0.318</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20.52</w:t>
                  </w:r>
                </w:p>
              </w:tc>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r>
            <w:tr>
              <w:tblPrEx>
                <w:tblCellMar>
                  <w:top w:w="0" w:type="dxa"/>
                  <w:left w:w="108" w:type="dxa"/>
                  <w:bottom w:w="0" w:type="dxa"/>
                  <w:right w:w="108" w:type="dxa"/>
                </w:tblCellMar>
              </w:tblPrEx>
              <w:trPr>
                <w:trHeight w:val="345"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1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BOD</w:t>
                  </w:r>
                  <w:r>
                    <w:rPr>
                      <w:kern w:val="0"/>
                      <w:szCs w:val="21"/>
                      <w:vertAlign w:val="subscript"/>
                      <w:lang w:bidi="ar"/>
                    </w:rPr>
                    <w:t>5</w:t>
                  </w:r>
                </w:p>
              </w:tc>
              <w:tc>
                <w:tcPr>
                  <w:tcW w:w="101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04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0.5</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1.394</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90.00</w:t>
                  </w:r>
                </w:p>
              </w:tc>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r>
            <w:tr>
              <w:tblPrEx>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1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SS</w:t>
                  </w:r>
                </w:p>
              </w:tc>
              <w:tc>
                <w:tcPr>
                  <w:tcW w:w="101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04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0.55</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0.767</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49.50</w:t>
                  </w:r>
                </w:p>
              </w:tc>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r>
            <w:tr>
              <w:tblPrEx>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1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TN</w:t>
                  </w:r>
                </w:p>
              </w:tc>
              <w:tc>
                <w:tcPr>
                  <w:tcW w:w="101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04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0.15</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0.519</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33.49</w:t>
                  </w:r>
                </w:p>
              </w:tc>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r>
            <w:tr>
              <w:tblPrEx>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1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TP</w:t>
                  </w:r>
                </w:p>
              </w:tc>
              <w:tc>
                <w:tcPr>
                  <w:tcW w:w="101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04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0.275</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0.046</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2.97</w:t>
                  </w:r>
                </w:p>
              </w:tc>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r>
            <w:tr>
              <w:tblPrEx>
                <w:tblCellMar>
                  <w:top w:w="0" w:type="dxa"/>
                  <w:left w:w="108" w:type="dxa"/>
                  <w:bottom w:w="0" w:type="dxa"/>
                  <w:right w:w="108" w:type="dxa"/>
                </w:tblCellMar>
              </w:tblPrEx>
              <w:trPr>
                <w:trHeight w:val="270" w:hRule="atLeast"/>
                <w:jc w:val="center"/>
              </w:trPr>
              <w:tc>
                <w:tcPr>
                  <w:tcW w:w="84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1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动植物油</w:t>
                  </w:r>
                </w:p>
              </w:tc>
              <w:tc>
                <w:tcPr>
                  <w:tcW w:w="101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Cs w:val="21"/>
                    </w:rPr>
                  </w:pPr>
                </w:p>
              </w:tc>
              <w:tc>
                <w:tcPr>
                  <w:tcW w:w="104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lang w:bidi="ar"/>
                    </w:rPr>
                    <w:t>0.756</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0.113</w:t>
                  </w:r>
                </w:p>
              </w:tc>
              <w:tc>
                <w:tcPr>
                  <w:tcW w:w="11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7.32</w:t>
                  </w:r>
                </w:p>
              </w:tc>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Cs w:val="21"/>
                    </w:rPr>
                  </w:pPr>
                </w:p>
              </w:tc>
            </w:tr>
          </w:tbl>
          <w:p>
            <w:pPr>
              <w:pStyle w:val="96"/>
              <w:ind w:left="0" w:firstLine="480" w:firstLineChars="200"/>
              <w:jc w:val="both"/>
              <w:rPr>
                <w:kern w:val="0"/>
                <w:sz w:val="24"/>
                <w:szCs w:val="24"/>
                <w:lang w:bidi="ar"/>
              </w:rPr>
            </w:pPr>
            <w:r>
              <w:rPr>
                <w:rFonts w:hint="eastAsia"/>
                <w:kern w:val="0"/>
                <w:sz w:val="24"/>
                <w:szCs w:val="24"/>
                <w:lang w:bidi="ar"/>
              </w:rPr>
              <w:t>本项目生活污水经化粪池处理后</w:t>
            </w:r>
            <w:r>
              <w:rPr>
                <w:rFonts w:hint="eastAsia"/>
                <w:kern w:val="0"/>
                <w:sz w:val="24"/>
                <w:szCs w:val="24"/>
                <w:lang w:eastAsia="zh-CN" w:bidi="ar"/>
              </w:rPr>
              <w:t>（</w:t>
            </w:r>
            <w:r>
              <w:rPr>
                <w:rFonts w:hint="eastAsia"/>
                <w:kern w:val="0"/>
                <w:sz w:val="24"/>
                <w:szCs w:val="24"/>
                <w:lang w:val="en-US" w:eastAsia="zh-CN" w:bidi="ar"/>
              </w:rPr>
              <w:t>食堂污水先经隔油池处理</w:t>
            </w:r>
            <w:r>
              <w:rPr>
                <w:rFonts w:hint="eastAsia"/>
                <w:kern w:val="0"/>
                <w:sz w:val="24"/>
                <w:szCs w:val="24"/>
                <w:lang w:eastAsia="zh-CN" w:bidi="ar"/>
              </w:rPr>
              <w:t>）达到</w:t>
            </w:r>
            <w:r>
              <w:rPr>
                <w:rFonts w:hint="eastAsia"/>
                <w:kern w:val="0"/>
                <w:sz w:val="24"/>
                <w:szCs w:val="24"/>
                <w:lang w:bidi="ar"/>
              </w:rPr>
              <w:t>《污水综合排放标准》GB8978-1996三级标准和湘阴县第二污水处理厂进水水质标准后排入湘阴县第二污水处理厂进行深度处理。</w:t>
            </w:r>
          </w:p>
          <w:p>
            <w:pPr>
              <w:pStyle w:val="12"/>
              <w:spacing w:before="0" w:after="0" w:line="360" w:lineRule="auto"/>
              <w:ind w:right="0"/>
              <w:rPr>
                <w:b/>
                <w:bCs/>
                <w:sz w:val="24"/>
                <w:szCs w:val="24"/>
              </w:rPr>
            </w:pPr>
            <w:r>
              <w:rPr>
                <w:rFonts w:hint="eastAsia"/>
                <w:b/>
                <w:bCs/>
                <w:sz w:val="24"/>
                <w:szCs w:val="24"/>
              </w:rPr>
              <w:t>2.1.2 水帘柜用水</w:t>
            </w:r>
          </w:p>
          <w:p>
            <w:pPr>
              <w:pStyle w:val="12"/>
              <w:spacing w:before="0" w:after="0" w:line="360" w:lineRule="auto"/>
              <w:ind w:right="0" w:firstLine="480" w:firstLineChars="200"/>
              <w:rPr>
                <w:sz w:val="24"/>
                <w:szCs w:val="24"/>
              </w:rPr>
            </w:pPr>
            <w:r>
              <w:rPr>
                <w:rFonts w:hint="eastAsia"/>
                <w:sz w:val="24"/>
                <w:szCs w:val="24"/>
              </w:rPr>
              <w:t>项目喷漆房内设置有水帘柜作为第一级除漆雾设施，每个水帘柜下方设置有沉淀水池，水池容量为2m</w:t>
            </w:r>
            <w:r>
              <w:rPr>
                <w:rFonts w:hint="eastAsia"/>
                <w:sz w:val="24"/>
                <w:szCs w:val="24"/>
                <w:vertAlign w:val="superscript"/>
              </w:rPr>
              <w:t>3</w:t>
            </w:r>
            <w:r>
              <w:rPr>
                <w:rFonts w:hint="eastAsia"/>
                <w:sz w:val="24"/>
                <w:szCs w:val="24"/>
              </w:rPr>
              <w:t>，循环水量为</w:t>
            </w:r>
            <w:r>
              <w:rPr>
                <w:rFonts w:hint="eastAsia"/>
                <w:sz w:val="24"/>
                <w:szCs w:val="24"/>
                <w:lang w:val="en-US" w:eastAsia="zh-CN"/>
              </w:rPr>
              <w:t>5</w:t>
            </w:r>
            <w:r>
              <w:rPr>
                <w:rFonts w:hint="eastAsia"/>
                <w:sz w:val="24"/>
                <w:szCs w:val="24"/>
              </w:rPr>
              <w:t>m</w:t>
            </w:r>
            <w:r>
              <w:rPr>
                <w:rFonts w:hint="eastAsia"/>
                <w:sz w:val="24"/>
                <w:szCs w:val="24"/>
                <w:vertAlign w:val="superscript"/>
              </w:rPr>
              <w:t>3</w:t>
            </w:r>
            <w:r>
              <w:rPr>
                <w:rFonts w:hint="eastAsia"/>
                <w:sz w:val="24"/>
                <w:szCs w:val="24"/>
              </w:rPr>
              <w:t>/h，每天循环水量为</w:t>
            </w:r>
            <w:r>
              <w:rPr>
                <w:rFonts w:hint="eastAsia"/>
                <w:sz w:val="24"/>
                <w:szCs w:val="24"/>
                <w:lang w:val="en-US" w:eastAsia="zh-CN"/>
              </w:rPr>
              <w:t>40</w:t>
            </w:r>
            <w:r>
              <w:rPr>
                <w:rFonts w:hint="eastAsia"/>
                <w:sz w:val="24"/>
                <w:szCs w:val="24"/>
              </w:rPr>
              <w:t>m</w:t>
            </w:r>
            <w:r>
              <w:rPr>
                <w:rFonts w:hint="eastAsia"/>
                <w:sz w:val="24"/>
                <w:szCs w:val="24"/>
                <w:vertAlign w:val="superscript"/>
              </w:rPr>
              <w:t>3</w:t>
            </w:r>
            <w:r>
              <w:rPr>
                <w:rFonts w:hint="eastAsia"/>
                <w:sz w:val="24"/>
                <w:szCs w:val="24"/>
              </w:rPr>
              <w:t>，年总循环水量为</w:t>
            </w:r>
            <w:r>
              <w:rPr>
                <w:rFonts w:hint="eastAsia"/>
                <w:sz w:val="24"/>
                <w:szCs w:val="24"/>
                <w:lang w:val="en-US" w:eastAsia="zh-CN"/>
              </w:rPr>
              <w:t>120</w:t>
            </w:r>
            <w:r>
              <w:rPr>
                <w:rFonts w:hint="eastAsia"/>
                <w:sz w:val="24"/>
                <w:szCs w:val="24"/>
              </w:rPr>
              <w:t>00m</w:t>
            </w:r>
            <w:r>
              <w:rPr>
                <w:rFonts w:hint="eastAsia"/>
                <w:sz w:val="24"/>
                <w:szCs w:val="24"/>
                <w:vertAlign w:val="superscript"/>
              </w:rPr>
              <w:t>3</w:t>
            </w:r>
            <w:r>
              <w:rPr>
                <w:rFonts w:hint="eastAsia"/>
                <w:sz w:val="24"/>
                <w:szCs w:val="24"/>
              </w:rPr>
              <w:t>/a，每天定期补充循环水量的</w:t>
            </w:r>
            <w:r>
              <w:rPr>
                <w:rFonts w:hint="eastAsia"/>
                <w:sz w:val="24"/>
                <w:szCs w:val="24"/>
                <w:lang w:val="en-US" w:eastAsia="zh-CN"/>
              </w:rPr>
              <w:t>1</w:t>
            </w:r>
            <w:r>
              <w:rPr>
                <w:rFonts w:hint="eastAsia"/>
                <w:sz w:val="24"/>
                <w:szCs w:val="24"/>
              </w:rPr>
              <w:t>%，计算可得每台水帘柜每天补充水量为0.4m</w:t>
            </w:r>
            <w:r>
              <w:rPr>
                <w:rFonts w:hint="eastAsia"/>
                <w:sz w:val="24"/>
                <w:szCs w:val="24"/>
                <w:vertAlign w:val="superscript"/>
              </w:rPr>
              <w:t>3</w:t>
            </w:r>
            <w:r>
              <w:rPr>
                <w:rFonts w:hint="eastAsia"/>
                <w:sz w:val="24"/>
                <w:szCs w:val="24"/>
              </w:rPr>
              <w:t>，项目设置有三个喷漆房，配套建设3个水帘柜，每天补充水量为1.2m</w:t>
            </w:r>
            <w:r>
              <w:rPr>
                <w:rFonts w:hint="eastAsia"/>
                <w:sz w:val="24"/>
                <w:szCs w:val="24"/>
                <w:vertAlign w:val="superscript"/>
              </w:rPr>
              <w:t>3</w:t>
            </w:r>
            <w:r>
              <w:rPr>
                <w:rFonts w:hint="eastAsia"/>
                <w:sz w:val="24"/>
                <w:szCs w:val="24"/>
              </w:rPr>
              <w:t>，年补充水量为360m</w:t>
            </w:r>
            <w:r>
              <w:rPr>
                <w:rFonts w:hint="eastAsia"/>
                <w:sz w:val="24"/>
                <w:szCs w:val="24"/>
                <w:vertAlign w:val="superscript"/>
              </w:rPr>
              <w:t>3</w:t>
            </w:r>
            <w:r>
              <w:rPr>
                <w:rFonts w:hint="eastAsia"/>
                <w:sz w:val="24"/>
                <w:szCs w:val="24"/>
              </w:rPr>
              <w:t>。每年定期全部更换一次，作为危废处理，每次更换水量为6m</w:t>
            </w:r>
            <w:r>
              <w:rPr>
                <w:rFonts w:hint="eastAsia"/>
                <w:sz w:val="24"/>
                <w:szCs w:val="24"/>
                <w:vertAlign w:val="superscript"/>
              </w:rPr>
              <w:t>3</w:t>
            </w:r>
            <w:r>
              <w:rPr>
                <w:rFonts w:hint="eastAsia"/>
                <w:sz w:val="24"/>
                <w:szCs w:val="24"/>
              </w:rPr>
              <w:t>，平常循环使用不外排。</w:t>
            </w:r>
          </w:p>
          <w:p>
            <w:pPr>
              <w:pStyle w:val="12"/>
              <w:spacing w:before="0" w:after="0" w:line="360" w:lineRule="auto"/>
              <w:ind w:right="0"/>
              <w:rPr>
                <w:b/>
                <w:bCs/>
                <w:sz w:val="24"/>
                <w:szCs w:val="24"/>
              </w:rPr>
            </w:pPr>
            <w:r>
              <w:rPr>
                <w:rFonts w:hint="eastAsia"/>
                <w:b/>
                <w:bCs/>
                <w:sz w:val="24"/>
                <w:szCs w:val="24"/>
              </w:rPr>
              <w:t>2.2、</w:t>
            </w:r>
            <w:r>
              <w:rPr>
                <w:b/>
                <w:bCs/>
                <w:sz w:val="24"/>
                <w:szCs w:val="24"/>
              </w:rPr>
              <w:t>废水污染防治措施可行性分析</w:t>
            </w:r>
          </w:p>
          <w:p>
            <w:pPr>
              <w:pStyle w:val="12"/>
              <w:spacing w:before="0" w:after="0" w:line="360" w:lineRule="auto"/>
              <w:ind w:right="0" w:firstLine="480" w:firstLineChars="200"/>
              <w:rPr>
                <w:sz w:val="24"/>
                <w:szCs w:val="24"/>
              </w:rPr>
            </w:pPr>
            <w:r>
              <w:rPr>
                <w:rFonts w:hint="eastAsia"/>
                <w:sz w:val="24"/>
                <w:szCs w:val="24"/>
              </w:rPr>
              <w:t>项目生产废水主要为水帘柜用水，经沉淀后循环使用，不外排，措施可行。</w:t>
            </w:r>
          </w:p>
          <w:p>
            <w:pPr>
              <w:pStyle w:val="12"/>
              <w:spacing w:before="0" w:after="0" w:line="360" w:lineRule="auto"/>
              <w:ind w:right="0" w:firstLine="480" w:firstLineChars="200"/>
              <w:rPr>
                <w:sz w:val="24"/>
                <w:szCs w:val="24"/>
              </w:rPr>
            </w:pPr>
            <w:r>
              <w:rPr>
                <w:rFonts w:hint="eastAsia"/>
                <w:sz w:val="24"/>
                <w:szCs w:val="24"/>
              </w:rPr>
              <w:t>生活污水排入自建的化粪池，自建一座三格化粪池，处理能力为60m</w:t>
            </w:r>
            <w:r>
              <w:rPr>
                <w:rFonts w:hint="eastAsia"/>
                <w:sz w:val="24"/>
                <w:szCs w:val="24"/>
                <w:vertAlign w:val="superscript"/>
              </w:rPr>
              <w:t>3</w:t>
            </w:r>
            <w:r>
              <w:rPr>
                <w:rFonts w:hint="eastAsia"/>
                <w:sz w:val="24"/>
                <w:szCs w:val="24"/>
              </w:rPr>
              <w:t>/d，可处理本项目产生的生活污水</w:t>
            </w:r>
            <w:r>
              <w:rPr>
                <w:rFonts w:hint="eastAsia"/>
                <w:sz w:val="24"/>
                <w:szCs w:val="24"/>
                <w:lang w:val="en-US" w:eastAsia="zh-CN"/>
              </w:rPr>
              <w:t>51.62</w:t>
            </w:r>
            <w:r>
              <w:rPr>
                <w:rFonts w:hint="eastAsia"/>
                <w:sz w:val="24"/>
                <w:szCs w:val="24"/>
              </w:rPr>
              <w:t>m</w:t>
            </w:r>
            <w:r>
              <w:rPr>
                <w:rFonts w:hint="eastAsia"/>
                <w:sz w:val="24"/>
                <w:szCs w:val="24"/>
                <w:vertAlign w:val="superscript"/>
              </w:rPr>
              <w:t>3</w:t>
            </w:r>
            <w:r>
              <w:rPr>
                <w:rFonts w:hint="eastAsia"/>
                <w:sz w:val="24"/>
                <w:szCs w:val="24"/>
              </w:rPr>
              <w:t>/d，经分析可达《污水综合排放标准》GB8978-1996三级标准和湘阴县第二污水处理厂进水水质标准后排入园区市政污水管网，然后进入湘阴县第二污水处理厂深度处理，措施可行。</w:t>
            </w:r>
          </w:p>
          <w:p>
            <w:pPr>
              <w:pStyle w:val="12"/>
              <w:spacing w:before="0" w:after="0" w:line="360" w:lineRule="auto"/>
              <w:ind w:right="0"/>
              <w:rPr>
                <w:b/>
                <w:bCs/>
                <w:sz w:val="24"/>
                <w:szCs w:val="24"/>
              </w:rPr>
            </w:pPr>
            <w:r>
              <w:rPr>
                <w:rFonts w:hint="eastAsia"/>
                <w:b/>
                <w:bCs/>
                <w:sz w:val="24"/>
                <w:szCs w:val="24"/>
              </w:rPr>
              <w:t>2.3污水接入湘阴县第二污水处理厂的可行性分析</w:t>
            </w:r>
          </w:p>
          <w:p>
            <w:pPr>
              <w:pStyle w:val="12"/>
              <w:spacing w:before="0" w:after="0" w:line="360" w:lineRule="auto"/>
              <w:ind w:right="0" w:firstLine="480" w:firstLineChars="200"/>
              <w:rPr>
                <w:sz w:val="24"/>
                <w:szCs w:val="24"/>
              </w:rPr>
            </w:pPr>
            <w:r>
              <w:rPr>
                <w:rFonts w:hint="eastAsia"/>
                <w:sz w:val="24"/>
                <w:szCs w:val="24"/>
              </w:rPr>
              <w:t xml:space="preserve">湘阴县第二污水处理厂位于湘阴县洋沙湖大道南侧，北纬 </w:t>
            </w:r>
            <w:r>
              <w:rPr>
                <w:sz w:val="24"/>
                <w:szCs w:val="24"/>
              </w:rPr>
              <w:t>28°39′51″</w:t>
            </w:r>
            <w:r>
              <w:rPr>
                <w:rFonts w:hint="eastAsia"/>
                <w:sz w:val="24"/>
                <w:szCs w:val="24"/>
              </w:rPr>
              <w:t xml:space="preserve">，东经 </w:t>
            </w:r>
            <w:r>
              <w:rPr>
                <w:sz w:val="24"/>
                <w:szCs w:val="24"/>
              </w:rPr>
              <w:t>112°51′51″</w:t>
            </w:r>
            <w:r>
              <w:rPr>
                <w:rFonts w:hint="eastAsia"/>
                <w:sz w:val="24"/>
                <w:szCs w:val="24"/>
              </w:rPr>
              <w:t>，服务范围为湘阴县工业园、东湖生态新城、洋沙湖东部片区等，即南至顺天大道以南的轻工产业园，北至新白水江</w:t>
            </w:r>
            <w:r>
              <w:rPr>
                <w:sz w:val="24"/>
                <w:szCs w:val="24"/>
              </w:rPr>
              <w:t>—</w:t>
            </w:r>
            <w:r>
              <w:rPr>
                <w:rFonts w:hint="eastAsia"/>
                <w:sz w:val="24"/>
                <w:szCs w:val="24"/>
              </w:rPr>
              <w:t>烈士公园；西以湘江为界，东至规划的环城大道，总纳污面积</w:t>
            </w:r>
            <w:r>
              <w:rPr>
                <w:sz w:val="24"/>
                <w:szCs w:val="24"/>
              </w:rPr>
              <w:t xml:space="preserve">28.10 </w:t>
            </w:r>
            <w:r>
              <w:rPr>
                <w:rFonts w:hint="eastAsia"/>
                <w:sz w:val="24"/>
                <w:szCs w:val="24"/>
              </w:rPr>
              <w:t>平方公里，主要处理湘阴工业园的工业废水和生活污水。</w:t>
            </w:r>
            <w:r>
              <w:rPr>
                <w:sz w:val="24"/>
                <w:szCs w:val="24"/>
              </w:rPr>
              <w:t>2012</w:t>
            </w:r>
            <w:r>
              <w:rPr>
                <w:rFonts w:hint="eastAsia"/>
                <w:sz w:val="24"/>
                <w:szCs w:val="24"/>
              </w:rPr>
              <w:t>年</w:t>
            </w:r>
            <w:r>
              <w:rPr>
                <w:sz w:val="24"/>
                <w:szCs w:val="24"/>
              </w:rPr>
              <w:t>8</w:t>
            </w:r>
            <w:r>
              <w:rPr>
                <w:rFonts w:hint="eastAsia"/>
                <w:sz w:val="24"/>
                <w:szCs w:val="24"/>
              </w:rPr>
              <w:t>月获得岳阳市环境保护局对一期工程的环境批复（岳环评批</w:t>
            </w:r>
            <w:r>
              <w:rPr>
                <w:sz w:val="24"/>
                <w:szCs w:val="24"/>
              </w:rPr>
              <w:t>[2012]68</w:t>
            </w:r>
            <w:r>
              <w:rPr>
                <w:rFonts w:hint="eastAsia"/>
                <w:sz w:val="24"/>
                <w:szCs w:val="24"/>
              </w:rPr>
              <w:t>号）。</w:t>
            </w:r>
            <w:r>
              <w:rPr>
                <w:sz w:val="24"/>
                <w:szCs w:val="24"/>
              </w:rPr>
              <w:t xml:space="preserve">2012 </w:t>
            </w:r>
            <w:r>
              <w:rPr>
                <w:rFonts w:hint="eastAsia"/>
                <w:sz w:val="24"/>
                <w:szCs w:val="24"/>
              </w:rPr>
              <w:t>年开始建设，</w:t>
            </w:r>
            <w:r>
              <w:rPr>
                <w:sz w:val="24"/>
                <w:szCs w:val="24"/>
              </w:rPr>
              <w:t>2016</w:t>
            </w:r>
            <w:r>
              <w:rPr>
                <w:rFonts w:hint="eastAsia"/>
                <w:sz w:val="24"/>
                <w:szCs w:val="24"/>
              </w:rPr>
              <w:t>年</w:t>
            </w:r>
            <w:r>
              <w:rPr>
                <w:sz w:val="24"/>
                <w:szCs w:val="24"/>
              </w:rPr>
              <w:t>11</w:t>
            </w:r>
            <w:r>
              <w:rPr>
                <w:rFonts w:hint="eastAsia"/>
                <w:sz w:val="24"/>
                <w:szCs w:val="24"/>
              </w:rPr>
              <w:t>月投入运行，处理能力为</w:t>
            </w:r>
            <w:r>
              <w:rPr>
                <w:sz w:val="24"/>
                <w:szCs w:val="24"/>
              </w:rPr>
              <w:t>2.0</w:t>
            </w:r>
            <w:r>
              <w:rPr>
                <w:rFonts w:hint="eastAsia"/>
                <w:sz w:val="24"/>
                <w:szCs w:val="24"/>
              </w:rPr>
              <w:t>万</w:t>
            </w:r>
            <w:r>
              <w:rPr>
                <w:sz w:val="24"/>
                <w:szCs w:val="24"/>
              </w:rPr>
              <w:t>t/d</w:t>
            </w:r>
            <w:r>
              <w:rPr>
                <w:rFonts w:hint="eastAsia"/>
                <w:sz w:val="24"/>
                <w:szCs w:val="24"/>
              </w:rPr>
              <w:t>，采用</w:t>
            </w:r>
            <w:r>
              <w:rPr>
                <w:sz w:val="24"/>
                <w:szCs w:val="24"/>
              </w:rPr>
              <w:t>A/A/O</w:t>
            </w:r>
            <w:r>
              <w:rPr>
                <w:rFonts w:hint="eastAsia"/>
                <w:sz w:val="24"/>
                <w:szCs w:val="24"/>
              </w:rPr>
              <w:t>工艺，</w:t>
            </w:r>
            <w:r>
              <w:rPr>
                <w:sz w:val="24"/>
                <w:szCs w:val="24"/>
              </w:rPr>
              <w:t>2018</w:t>
            </w:r>
            <w:r>
              <w:rPr>
                <w:rFonts w:hint="eastAsia"/>
                <w:sz w:val="24"/>
                <w:szCs w:val="24"/>
              </w:rPr>
              <w:t>年</w:t>
            </w:r>
            <w:r>
              <w:rPr>
                <w:sz w:val="24"/>
                <w:szCs w:val="24"/>
              </w:rPr>
              <w:t>2</w:t>
            </w:r>
            <w:r>
              <w:rPr>
                <w:rFonts w:hint="eastAsia"/>
                <w:sz w:val="24"/>
                <w:szCs w:val="24"/>
              </w:rPr>
              <w:t>月湘阴首创水务有限责任公司根据相关会议要求，增加事故应急池、高效沉淀、深床滤池等处理工艺，启动提标改造，</w:t>
            </w:r>
            <w:r>
              <w:rPr>
                <w:sz w:val="24"/>
                <w:szCs w:val="24"/>
              </w:rPr>
              <w:t>2018</w:t>
            </w:r>
            <w:r>
              <w:rPr>
                <w:rFonts w:hint="eastAsia"/>
                <w:sz w:val="24"/>
                <w:szCs w:val="24"/>
              </w:rPr>
              <w:t>年</w:t>
            </w:r>
            <w:r>
              <w:rPr>
                <w:sz w:val="24"/>
                <w:szCs w:val="24"/>
              </w:rPr>
              <w:t>4</w:t>
            </w:r>
            <w:r>
              <w:rPr>
                <w:rFonts w:hint="eastAsia"/>
                <w:sz w:val="24"/>
                <w:szCs w:val="24"/>
              </w:rPr>
              <w:t>月提标改造工程获得岳阳市环境保护局的批复（岳环评</w:t>
            </w:r>
            <w:r>
              <w:rPr>
                <w:sz w:val="24"/>
                <w:szCs w:val="24"/>
              </w:rPr>
              <w:t xml:space="preserve">[2018]32 </w:t>
            </w:r>
            <w:r>
              <w:rPr>
                <w:rFonts w:hint="eastAsia"/>
                <w:sz w:val="24"/>
                <w:szCs w:val="24"/>
              </w:rPr>
              <w:t>号），</w:t>
            </w:r>
            <w:r>
              <w:rPr>
                <w:sz w:val="24"/>
                <w:szCs w:val="24"/>
              </w:rPr>
              <w:t xml:space="preserve">2019 </w:t>
            </w:r>
            <w:r>
              <w:rPr>
                <w:rFonts w:hint="eastAsia"/>
                <w:sz w:val="24"/>
                <w:szCs w:val="24"/>
              </w:rPr>
              <w:t xml:space="preserve">年 </w:t>
            </w:r>
            <w:r>
              <w:rPr>
                <w:sz w:val="24"/>
                <w:szCs w:val="24"/>
              </w:rPr>
              <w:t xml:space="preserve">4 </w:t>
            </w:r>
            <w:r>
              <w:rPr>
                <w:rFonts w:hint="eastAsia"/>
                <w:sz w:val="24"/>
                <w:szCs w:val="24"/>
              </w:rPr>
              <w:t>月完成了提标改造工程（一期提标</w:t>
            </w:r>
            <w:r>
              <w:rPr>
                <w:sz w:val="24"/>
                <w:szCs w:val="24"/>
              </w:rPr>
              <w:t>1.0</w:t>
            </w:r>
            <w:r>
              <w:rPr>
                <w:rFonts w:hint="eastAsia"/>
                <w:sz w:val="24"/>
                <w:szCs w:val="24"/>
              </w:rPr>
              <w:t>万</w:t>
            </w:r>
            <w:r>
              <w:rPr>
                <w:sz w:val="24"/>
                <w:szCs w:val="24"/>
              </w:rPr>
              <w:t>t/d</w:t>
            </w:r>
            <w:r>
              <w:rPr>
                <w:rFonts w:hint="eastAsia"/>
                <w:sz w:val="24"/>
                <w:szCs w:val="24"/>
              </w:rPr>
              <w:t>）建设和整体工艺调试，出水水质为《城镇污水处理厂污染物排放标准》（</w:t>
            </w:r>
            <w:r>
              <w:rPr>
                <w:sz w:val="24"/>
                <w:szCs w:val="24"/>
              </w:rPr>
              <w:t>GB18918-2002</w:t>
            </w:r>
            <w:r>
              <w:rPr>
                <w:rFonts w:hint="eastAsia"/>
                <w:sz w:val="24"/>
                <w:szCs w:val="24"/>
              </w:rPr>
              <w:t>）一级A标准。</w:t>
            </w:r>
          </w:p>
          <w:p>
            <w:pPr>
              <w:pStyle w:val="12"/>
              <w:spacing w:before="0" w:after="0" w:line="360" w:lineRule="auto"/>
              <w:ind w:right="0" w:firstLine="480" w:firstLineChars="200"/>
              <w:rPr>
                <w:sz w:val="24"/>
                <w:szCs w:val="24"/>
              </w:rPr>
            </w:pPr>
          </w:p>
          <w:p>
            <w:pPr>
              <w:jc w:val="center"/>
            </w:pPr>
            <w:r>
              <w:drawing>
                <wp:inline distT="0" distB="0" distL="114300" distR="114300">
                  <wp:extent cx="4176395" cy="4486910"/>
                  <wp:effectExtent l="0" t="0" r="1460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4176395" cy="4486910"/>
                          </a:xfrm>
                          <a:prstGeom prst="rect">
                            <a:avLst/>
                          </a:prstGeom>
                          <a:noFill/>
                          <a:ln>
                            <a:noFill/>
                          </a:ln>
                        </pic:spPr>
                      </pic:pic>
                    </a:graphicData>
                  </a:graphic>
                </wp:inline>
              </w:drawing>
            </w:r>
          </w:p>
          <w:p>
            <w:pPr>
              <w:jc w:val="center"/>
              <w:rPr>
                <w:b/>
                <w:bCs/>
                <w:kern w:val="0"/>
                <w:sz w:val="24"/>
              </w:rPr>
            </w:pPr>
            <w:r>
              <w:rPr>
                <w:rFonts w:hint="eastAsia"/>
                <w:b/>
                <w:bCs/>
                <w:kern w:val="0"/>
                <w:sz w:val="24"/>
              </w:rPr>
              <w:t>图4-1    湘阴县第二污水处理厂工艺流程图</w:t>
            </w:r>
          </w:p>
          <w:p>
            <w:pPr>
              <w:pStyle w:val="12"/>
              <w:spacing w:before="0" w:after="0" w:line="360" w:lineRule="auto"/>
              <w:ind w:right="0" w:firstLine="480" w:firstLineChars="200"/>
              <w:rPr>
                <w:sz w:val="24"/>
                <w:szCs w:val="24"/>
              </w:rPr>
            </w:pPr>
            <w:r>
              <w:rPr>
                <w:rFonts w:hint="eastAsia"/>
                <w:sz w:val="24"/>
                <w:szCs w:val="24"/>
              </w:rPr>
              <w:t>根据湘阴县洋沙湖污水管网规划图，本项目属于湘阴县第二污水处理厂纳污范围，详见附图5，建成规模为2万m</w:t>
            </w:r>
            <w:r>
              <w:rPr>
                <w:rFonts w:hint="eastAsia"/>
                <w:sz w:val="24"/>
                <w:szCs w:val="24"/>
                <w:vertAlign w:val="superscript"/>
              </w:rPr>
              <w:t>3</w:t>
            </w:r>
            <w:r>
              <w:rPr>
                <w:rFonts w:hint="eastAsia"/>
                <w:sz w:val="24"/>
                <w:szCs w:val="24"/>
              </w:rPr>
              <w:t>/d，现状进水约为6000m</w:t>
            </w:r>
            <w:r>
              <w:rPr>
                <w:rFonts w:hint="eastAsia"/>
                <w:sz w:val="24"/>
                <w:szCs w:val="24"/>
                <w:vertAlign w:val="superscript"/>
              </w:rPr>
              <w:t>3</w:t>
            </w:r>
            <w:r>
              <w:rPr>
                <w:rFonts w:hint="eastAsia"/>
                <w:sz w:val="24"/>
                <w:szCs w:val="24"/>
              </w:rPr>
              <w:t>/d。本项目主要排放生活污水，排放量约为51.62</w:t>
            </w:r>
            <w:r>
              <w:rPr>
                <w:sz w:val="24"/>
                <w:szCs w:val="24"/>
              </w:rPr>
              <w:t>m</w:t>
            </w:r>
            <w:r>
              <w:rPr>
                <w:sz w:val="24"/>
                <w:szCs w:val="24"/>
                <w:vertAlign w:val="superscript"/>
              </w:rPr>
              <w:t>3</w:t>
            </w:r>
            <w:r>
              <w:rPr>
                <w:sz w:val="24"/>
                <w:szCs w:val="24"/>
              </w:rPr>
              <w:t>/</w:t>
            </w:r>
            <w:r>
              <w:rPr>
                <w:rFonts w:hint="eastAsia"/>
                <w:sz w:val="24"/>
                <w:szCs w:val="24"/>
              </w:rPr>
              <w:t>d，占剩余处理规模的0.37%，远低于湘阴县第二污水处理厂剩余处理规模；湘阴县第二污水处理厂主要处理工艺为采用</w:t>
            </w:r>
            <w:r>
              <w:rPr>
                <w:sz w:val="24"/>
                <w:szCs w:val="24"/>
              </w:rPr>
              <w:t>A/A/O</w:t>
            </w:r>
            <w:r>
              <w:rPr>
                <w:rFonts w:hint="eastAsia"/>
                <w:sz w:val="24"/>
                <w:szCs w:val="24"/>
              </w:rPr>
              <w:t>工艺，可处理生活污水。</w:t>
            </w:r>
          </w:p>
          <w:p>
            <w:pPr>
              <w:pStyle w:val="12"/>
              <w:spacing w:before="0" w:after="0" w:line="360" w:lineRule="auto"/>
              <w:ind w:right="0" w:firstLine="480" w:firstLineChars="200"/>
              <w:rPr>
                <w:sz w:val="24"/>
                <w:szCs w:val="24"/>
              </w:rPr>
            </w:pPr>
            <w:r>
              <w:rPr>
                <w:sz w:val="24"/>
                <w:szCs w:val="24"/>
              </w:rPr>
              <w:t>综上所述，本项目预处理后的废水依托</w:t>
            </w:r>
            <w:r>
              <w:rPr>
                <w:rFonts w:hint="eastAsia"/>
                <w:sz w:val="24"/>
                <w:szCs w:val="24"/>
              </w:rPr>
              <w:t>湘阴县第二污水处理厂</w:t>
            </w:r>
            <w:r>
              <w:rPr>
                <w:sz w:val="24"/>
                <w:szCs w:val="24"/>
              </w:rPr>
              <w:t>处理是可行的</w:t>
            </w:r>
            <w:r>
              <w:rPr>
                <w:rFonts w:hint="eastAsia"/>
                <w:sz w:val="24"/>
                <w:szCs w:val="24"/>
              </w:rPr>
              <w:t>。</w:t>
            </w:r>
          </w:p>
          <w:p>
            <w:pPr>
              <w:pStyle w:val="12"/>
              <w:spacing w:before="0" w:after="0" w:line="360" w:lineRule="auto"/>
              <w:ind w:right="0"/>
              <w:rPr>
                <w:b/>
                <w:bCs/>
                <w:sz w:val="24"/>
                <w:szCs w:val="24"/>
              </w:rPr>
            </w:pPr>
            <w:r>
              <w:rPr>
                <w:rFonts w:hint="eastAsia"/>
                <w:b/>
                <w:bCs/>
                <w:sz w:val="24"/>
                <w:szCs w:val="24"/>
              </w:rPr>
              <w:t>2.4、项目废水监测计划</w:t>
            </w:r>
          </w:p>
          <w:p>
            <w:pPr>
              <w:pStyle w:val="12"/>
              <w:spacing w:before="0" w:after="0" w:line="360" w:lineRule="auto"/>
              <w:ind w:right="0" w:firstLine="480" w:firstLineChars="200"/>
              <w:rPr>
                <w:sz w:val="24"/>
                <w:szCs w:val="24"/>
              </w:rPr>
            </w:pPr>
            <w:r>
              <w:rPr>
                <w:rFonts w:hint="eastAsia"/>
                <w:sz w:val="24"/>
                <w:szCs w:val="24"/>
              </w:rPr>
              <w:t>根据《排污单位自行监测技术指南 总则》、《排污许可证申请与核发技术指南 总则》、《排污许可证申请与核发技术指南 家具制造业》，单独排入城镇污水处理厂的生活污水仅说明排放去向，不需要监测。</w:t>
            </w:r>
          </w:p>
          <w:p>
            <w:pPr>
              <w:pStyle w:val="12"/>
              <w:spacing w:before="0" w:after="0" w:line="360" w:lineRule="auto"/>
              <w:ind w:right="0"/>
              <w:rPr>
                <w:b/>
                <w:bCs/>
                <w:sz w:val="24"/>
                <w:szCs w:val="24"/>
              </w:rPr>
            </w:pPr>
            <w:r>
              <w:rPr>
                <w:b/>
                <w:bCs/>
                <w:sz w:val="24"/>
                <w:szCs w:val="24"/>
              </w:rPr>
              <w:t>2</w:t>
            </w:r>
            <w:r>
              <w:rPr>
                <w:rFonts w:hint="eastAsia"/>
                <w:b/>
                <w:bCs/>
                <w:sz w:val="24"/>
                <w:szCs w:val="24"/>
              </w:rPr>
              <w:t>.5</w:t>
            </w:r>
            <w:r>
              <w:rPr>
                <w:b/>
                <w:bCs/>
                <w:sz w:val="24"/>
                <w:szCs w:val="24"/>
              </w:rPr>
              <w:t>、</w:t>
            </w:r>
            <w:r>
              <w:rPr>
                <w:rFonts w:hint="eastAsia"/>
                <w:b/>
                <w:bCs/>
                <w:sz w:val="24"/>
                <w:szCs w:val="24"/>
              </w:rPr>
              <w:t>结论</w:t>
            </w:r>
          </w:p>
          <w:p>
            <w:pPr>
              <w:pStyle w:val="12"/>
              <w:spacing w:before="0" w:after="0" w:line="360" w:lineRule="auto"/>
              <w:ind w:right="0" w:firstLine="480" w:firstLineChars="200"/>
              <w:rPr>
                <w:sz w:val="24"/>
                <w:szCs w:val="24"/>
              </w:rPr>
            </w:pPr>
            <w:r>
              <w:rPr>
                <w:sz w:val="24"/>
                <w:szCs w:val="24"/>
              </w:rPr>
              <w:t>根据分析可知，</w:t>
            </w:r>
            <w:r>
              <w:rPr>
                <w:rFonts w:hint="eastAsia"/>
                <w:sz w:val="24"/>
                <w:szCs w:val="24"/>
              </w:rPr>
              <w:t>本</w:t>
            </w:r>
            <w:r>
              <w:rPr>
                <w:sz w:val="24"/>
                <w:szCs w:val="24"/>
              </w:rPr>
              <w:t>项目</w:t>
            </w:r>
            <w:r>
              <w:rPr>
                <w:rFonts w:hint="eastAsia"/>
                <w:sz w:val="24"/>
                <w:szCs w:val="24"/>
              </w:rPr>
              <w:t>产生的生活污水经化粪池处理后出水能够满足湘阴县第二污水处理厂</w:t>
            </w:r>
            <w:r>
              <w:rPr>
                <w:sz w:val="24"/>
                <w:szCs w:val="24"/>
              </w:rPr>
              <w:t>接管要求，因此，本项目不会对当地地表水环境产生不利影响，地表水影响可接受。</w:t>
            </w:r>
          </w:p>
          <w:p>
            <w:pPr>
              <w:spacing w:line="360" w:lineRule="auto"/>
              <w:rPr>
                <w:b/>
                <w:sz w:val="24"/>
              </w:rPr>
            </w:pPr>
            <w:r>
              <w:rPr>
                <w:b/>
                <w:sz w:val="24"/>
              </w:rPr>
              <w:t>3、噪声</w:t>
            </w:r>
          </w:p>
          <w:p>
            <w:pPr>
              <w:spacing w:line="360" w:lineRule="auto"/>
              <w:rPr>
                <w:b/>
                <w:bCs/>
                <w:spacing w:val="-10"/>
                <w:sz w:val="24"/>
              </w:rPr>
            </w:pPr>
            <w:r>
              <w:rPr>
                <w:b/>
                <w:bCs/>
                <w:spacing w:val="-10"/>
                <w:sz w:val="24"/>
              </w:rPr>
              <w:t>3.1、噪声源强分析</w:t>
            </w:r>
          </w:p>
          <w:p>
            <w:pPr>
              <w:spacing w:line="360" w:lineRule="auto"/>
              <w:ind w:firstLine="480" w:firstLineChars="200"/>
              <w:rPr>
                <w:sz w:val="24"/>
              </w:rPr>
            </w:pPr>
            <w:r>
              <w:rPr>
                <w:rFonts w:hint="eastAsia"/>
                <w:sz w:val="24"/>
              </w:rPr>
              <w:t>本项目运营期噪声主要为生产设备运行时产生的噪声，拟通过合理布局、选用先进设备、设立减振台座、建筑隔声等措施降低设备噪声对环境的影响， 项目噪声源强见下表。</w:t>
            </w:r>
          </w:p>
          <w:p>
            <w:pPr>
              <w:spacing w:line="360" w:lineRule="auto"/>
              <w:ind w:firstLine="480" w:firstLineChars="200"/>
              <w:rPr>
                <w:bCs/>
                <w:snapToGrid w:val="0"/>
                <w:kern w:val="0"/>
                <w:sz w:val="24"/>
              </w:rPr>
            </w:pPr>
            <w:r>
              <w:rPr>
                <w:rFonts w:hint="eastAsia"/>
                <w:bCs/>
                <w:snapToGrid w:val="0"/>
                <w:kern w:val="0"/>
                <w:sz w:val="24"/>
              </w:rPr>
              <w:t>参照《污染源源强核算技术指南 汽车制造》（HJ1097-2020）附录G，机加工设备源强为75-90</w:t>
            </w:r>
            <w:r>
              <w:rPr>
                <w:bCs/>
                <w:snapToGrid w:val="0"/>
                <w:kern w:val="0"/>
                <w:sz w:val="24"/>
              </w:rPr>
              <w:t>dB(A)</w:t>
            </w:r>
            <w:r>
              <w:rPr>
                <w:rFonts w:hint="eastAsia"/>
                <w:bCs/>
                <w:snapToGrid w:val="0"/>
                <w:kern w:val="0"/>
                <w:sz w:val="24"/>
              </w:rPr>
              <w:t>之间，厂房隔声10-15</w:t>
            </w:r>
            <w:r>
              <w:rPr>
                <w:bCs/>
                <w:snapToGrid w:val="0"/>
                <w:kern w:val="0"/>
                <w:sz w:val="24"/>
              </w:rPr>
              <w:t>dB(A)</w:t>
            </w:r>
            <w:r>
              <w:rPr>
                <w:rFonts w:hint="eastAsia"/>
                <w:bCs/>
                <w:snapToGrid w:val="0"/>
                <w:kern w:val="0"/>
                <w:sz w:val="24"/>
              </w:rPr>
              <w:t>。</w:t>
            </w:r>
          </w:p>
          <w:p>
            <w:pPr>
              <w:spacing w:line="360" w:lineRule="auto"/>
              <w:ind w:firstLine="480" w:firstLineChars="200"/>
              <w:rPr>
                <w:bCs/>
                <w:snapToGrid w:val="0"/>
                <w:kern w:val="0"/>
                <w:sz w:val="24"/>
              </w:rPr>
            </w:pPr>
            <w:r>
              <w:rPr>
                <w:rFonts w:hint="eastAsia"/>
                <w:bCs/>
                <w:snapToGrid w:val="0"/>
                <w:kern w:val="0"/>
                <w:sz w:val="24"/>
              </w:rPr>
              <w:t>建筑物插入损失计算。根据《环境影响评价技术导则声环境》( HJ2.4-2021)附录 B，室内声源可采用等效室外声源声功率级法进行计算。设近开口处(或窗户)室内、室外某倍频带的声压级分别为Lp1和Lp2。若声源所在室内声场为近似扩散声场，则室外的信频带声压级可按以下公式近似求出:</w:t>
            </w:r>
          </w:p>
          <w:p>
            <w:pPr>
              <w:spacing w:line="360" w:lineRule="auto"/>
              <w:ind w:firstLine="480" w:firstLineChars="200"/>
              <w:jc w:val="center"/>
              <w:rPr>
                <w:bCs/>
                <w:snapToGrid w:val="0"/>
                <w:kern w:val="0"/>
                <w:sz w:val="24"/>
              </w:rPr>
            </w:pPr>
            <w:r>
              <w:rPr>
                <w:rFonts w:hint="eastAsia"/>
                <w:bCs/>
                <w:snapToGrid w:val="0"/>
                <w:kern w:val="0"/>
                <w:sz w:val="24"/>
              </w:rPr>
              <w:t>L</w:t>
            </w:r>
            <w:r>
              <w:rPr>
                <w:rFonts w:hint="eastAsia"/>
                <w:bCs/>
                <w:snapToGrid w:val="0"/>
                <w:kern w:val="0"/>
                <w:sz w:val="24"/>
                <w:vertAlign w:val="subscript"/>
              </w:rPr>
              <w:t>p2</w:t>
            </w:r>
            <w:r>
              <w:rPr>
                <w:rFonts w:hint="eastAsia"/>
                <w:bCs/>
                <w:snapToGrid w:val="0"/>
                <w:kern w:val="0"/>
                <w:sz w:val="24"/>
              </w:rPr>
              <w:t>=L</w:t>
            </w:r>
            <w:r>
              <w:rPr>
                <w:rFonts w:hint="eastAsia"/>
                <w:bCs/>
                <w:snapToGrid w:val="0"/>
                <w:kern w:val="0"/>
                <w:sz w:val="24"/>
                <w:vertAlign w:val="subscript"/>
              </w:rPr>
              <w:t>p1</w:t>
            </w:r>
            <w:r>
              <w:rPr>
                <w:rFonts w:hint="eastAsia"/>
                <w:bCs/>
                <w:snapToGrid w:val="0"/>
                <w:kern w:val="0"/>
                <w:sz w:val="24"/>
              </w:rPr>
              <w:t>-( TL+6)</w:t>
            </w:r>
          </w:p>
          <w:p>
            <w:pPr>
              <w:spacing w:line="360" w:lineRule="auto"/>
              <w:ind w:firstLine="480" w:firstLineChars="200"/>
              <w:rPr>
                <w:bCs/>
                <w:snapToGrid w:val="0"/>
                <w:kern w:val="0"/>
                <w:sz w:val="24"/>
              </w:rPr>
            </w:pPr>
            <w:r>
              <w:rPr>
                <w:rFonts w:hint="eastAsia"/>
                <w:bCs/>
                <w:snapToGrid w:val="0"/>
                <w:kern w:val="0"/>
                <w:sz w:val="24"/>
              </w:rPr>
              <w:t>式中:TL一隔墙(或窗户)倍频带的隔声量，dB。</w:t>
            </w:r>
          </w:p>
          <w:p>
            <w:pPr>
              <w:spacing w:line="360" w:lineRule="auto"/>
              <w:ind w:firstLine="480" w:firstLineChars="200"/>
              <w:rPr>
                <w:bCs/>
                <w:snapToGrid w:val="0"/>
                <w:kern w:val="0"/>
                <w:sz w:val="24"/>
              </w:rPr>
            </w:pPr>
            <w:r>
              <w:rPr>
                <w:rFonts w:hint="eastAsia"/>
                <w:bCs/>
                <w:snapToGrid w:val="0"/>
                <w:kern w:val="0"/>
                <w:sz w:val="24"/>
              </w:rPr>
              <w:t>综上可知，建筑物插入损失等于建筑物隔音量+6，本项目取15dB。</w:t>
            </w:r>
          </w:p>
          <w:p>
            <w:pPr>
              <w:spacing w:line="360" w:lineRule="auto"/>
              <w:ind w:firstLine="480" w:firstLineChars="200"/>
              <w:rPr>
                <w:bCs/>
                <w:snapToGrid w:val="0"/>
                <w:kern w:val="0"/>
                <w:sz w:val="24"/>
              </w:rPr>
            </w:pPr>
            <w:r>
              <w:rPr>
                <w:rFonts w:hint="eastAsia"/>
                <w:bCs/>
                <w:snapToGrid w:val="0"/>
                <w:kern w:val="0"/>
                <w:sz w:val="24"/>
              </w:rPr>
              <w:t>表中坐标以厂区中心为坐标原点，正东向为X轴正方向，正北向为Y轴正方向。</w:t>
            </w:r>
          </w:p>
          <w:p>
            <w:pPr>
              <w:pStyle w:val="12"/>
              <w:snapToGrid/>
              <w:spacing w:before="0" w:after="0" w:line="240" w:lineRule="auto"/>
              <w:ind w:right="0" w:firstLine="422" w:firstLineChars="200"/>
              <w:jc w:val="center"/>
              <w:rPr>
                <w:b/>
                <w:kern w:val="2"/>
                <w:sz w:val="21"/>
                <w:szCs w:val="21"/>
              </w:rPr>
            </w:pPr>
            <w:r>
              <w:rPr>
                <w:b/>
                <w:kern w:val="2"/>
                <w:sz w:val="21"/>
                <w:szCs w:val="21"/>
              </w:rPr>
              <w:t>表4-</w:t>
            </w:r>
            <w:r>
              <w:rPr>
                <w:rFonts w:hint="eastAsia"/>
                <w:b/>
                <w:kern w:val="2"/>
                <w:sz w:val="21"/>
                <w:szCs w:val="21"/>
              </w:rPr>
              <w:t xml:space="preserve">25  </w:t>
            </w:r>
            <w:r>
              <w:rPr>
                <w:b/>
                <w:kern w:val="2"/>
                <w:sz w:val="21"/>
                <w:szCs w:val="21"/>
              </w:rPr>
              <w:t xml:space="preserve"> 工业企业噪声源强调查清单（室外声源）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1137"/>
              <w:gridCol w:w="633"/>
              <w:gridCol w:w="585"/>
              <w:gridCol w:w="365"/>
              <w:gridCol w:w="1842"/>
              <w:gridCol w:w="1371"/>
              <w:gridCol w:w="966"/>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Merge w:val="restart"/>
                  <w:vAlign w:val="center"/>
                </w:tcPr>
                <w:p>
                  <w:pPr>
                    <w:pStyle w:val="139"/>
                    <w:rPr>
                      <w:b/>
                      <w:color w:val="auto"/>
                      <w:szCs w:val="21"/>
                    </w:rPr>
                  </w:pPr>
                  <w:r>
                    <w:rPr>
                      <w:b/>
                      <w:color w:val="auto"/>
                      <w:szCs w:val="21"/>
                    </w:rPr>
                    <w:t>序号</w:t>
                  </w:r>
                </w:p>
              </w:tc>
              <w:tc>
                <w:tcPr>
                  <w:tcW w:w="1137" w:type="dxa"/>
                  <w:vMerge w:val="restart"/>
                  <w:vAlign w:val="center"/>
                </w:tcPr>
                <w:p>
                  <w:pPr>
                    <w:pStyle w:val="139"/>
                    <w:rPr>
                      <w:b/>
                      <w:color w:val="auto"/>
                      <w:szCs w:val="21"/>
                    </w:rPr>
                  </w:pPr>
                  <w:r>
                    <w:rPr>
                      <w:b/>
                      <w:color w:val="auto"/>
                      <w:szCs w:val="21"/>
                    </w:rPr>
                    <w:t>声源名称</w:t>
                  </w:r>
                </w:p>
              </w:tc>
              <w:tc>
                <w:tcPr>
                  <w:tcW w:w="1583" w:type="dxa"/>
                  <w:gridSpan w:val="3"/>
                  <w:vAlign w:val="center"/>
                </w:tcPr>
                <w:p>
                  <w:pPr>
                    <w:pStyle w:val="139"/>
                    <w:rPr>
                      <w:b/>
                      <w:color w:val="auto"/>
                      <w:szCs w:val="21"/>
                    </w:rPr>
                  </w:pPr>
                  <w:r>
                    <w:rPr>
                      <w:b/>
                      <w:color w:val="auto"/>
                      <w:szCs w:val="21"/>
                    </w:rPr>
                    <w:t>空间相对位置/m</w:t>
                  </w:r>
                </w:p>
              </w:tc>
              <w:tc>
                <w:tcPr>
                  <w:tcW w:w="3213" w:type="dxa"/>
                  <w:gridSpan w:val="2"/>
                  <w:vAlign w:val="center"/>
                </w:tcPr>
                <w:p>
                  <w:pPr>
                    <w:pStyle w:val="139"/>
                    <w:rPr>
                      <w:b/>
                      <w:color w:val="auto"/>
                      <w:szCs w:val="21"/>
                    </w:rPr>
                  </w:pPr>
                  <w:r>
                    <w:rPr>
                      <w:b/>
                      <w:color w:val="auto"/>
                      <w:szCs w:val="21"/>
                    </w:rPr>
                    <w:t>声源源强（任选一种）</w:t>
                  </w:r>
                </w:p>
              </w:tc>
              <w:tc>
                <w:tcPr>
                  <w:tcW w:w="966" w:type="dxa"/>
                  <w:vMerge w:val="restart"/>
                  <w:vAlign w:val="center"/>
                </w:tcPr>
                <w:p>
                  <w:pPr>
                    <w:pStyle w:val="139"/>
                    <w:rPr>
                      <w:b/>
                      <w:color w:val="auto"/>
                      <w:szCs w:val="21"/>
                    </w:rPr>
                  </w:pPr>
                  <w:r>
                    <w:rPr>
                      <w:b/>
                      <w:color w:val="auto"/>
                      <w:szCs w:val="21"/>
                    </w:rPr>
                    <w:t>声源控制措施</w:t>
                  </w:r>
                </w:p>
              </w:tc>
              <w:tc>
                <w:tcPr>
                  <w:tcW w:w="902" w:type="dxa"/>
                  <w:vMerge w:val="restart"/>
                  <w:vAlign w:val="center"/>
                </w:tcPr>
                <w:p>
                  <w:pPr>
                    <w:pStyle w:val="139"/>
                    <w:rPr>
                      <w:b/>
                      <w:color w:val="auto"/>
                      <w:szCs w:val="21"/>
                    </w:rPr>
                  </w:pPr>
                  <w:r>
                    <w:rPr>
                      <w:rFonts w:hint="eastAsia"/>
                      <w:b/>
                      <w:color w:val="auto"/>
                      <w:szCs w:val="21"/>
                    </w:rPr>
                    <w:t>持续时间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Merge w:val="continue"/>
                  <w:vAlign w:val="center"/>
                </w:tcPr>
                <w:p>
                  <w:pPr>
                    <w:pStyle w:val="139"/>
                    <w:rPr>
                      <w:color w:val="auto"/>
                      <w:szCs w:val="21"/>
                    </w:rPr>
                  </w:pPr>
                </w:p>
              </w:tc>
              <w:tc>
                <w:tcPr>
                  <w:tcW w:w="1137" w:type="dxa"/>
                  <w:vMerge w:val="continue"/>
                  <w:vAlign w:val="center"/>
                </w:tcPr>
                <w:p>
                  <w:pPr>
                    <w:pStyle w:val="139"/>
                    <w:rPr>
                      <w:color w:val="auto"/>
                      <w:szCs w:val="21"/>
                    </w:rPr>
                  </w:pPr>
                </w:p>
              </w:tc>
              <w:tc>
                <w:tcPr>
                  <w:tcW w:w="633" w:type="dxa"/>
                  <w:vAlign w:val="center"/>
                </w:tcPr>
                <w:p>
                  <w:pPr>
                    <w:pStyle w:val="139"/>
                    <w:rPr>
                      <w:color w:val="auto"/>
                      <w:szCs w:val="21"/>
                    </w:rPr>
                  </w:pPr>
                  <w:r>
                    <w:rPr>
                      <w:color w:val="auto"/>
                      <w:szCs w:val="21"/>
                    </w:rPr>
                    <w:t>X</w:t>
                  </w:r>
                </w:p>
              </w:tc>
              <w:tc>
                <w:tcPr>
                  <w:tcW w:w="585" w:type="dxa"/>
                  <w:vAlign w:val="center"/>
                </w:tcPr>
                <w:p>
                  <w:pPr>
                    <w:pStyle w:val="139"/>
                    <w:rPr>
                      <w:color w:val="auto"/>
                      <w:szCs w:val="21"/>
                    </w:rPr>
                  </w:pPr>
                  <w:r>
                    <w:rPr>
                      <w:color w:val="auto"/>
                      <w:szCs w:val="21"/>
                    </w:rPr>
                    <w:t>Y</w:t>
                  </w:r>
                </w:p>
              </w:tc>
              <w:tc>
                <w:tcPr>
                  <w:tcW w:w="365" w:type="dxa"/>
                  <w:vAlign w:val="center"/>
                </w:tcPr>
                <w:p>
                  <w:pPr>
                    <w:pStyle w:val="139"/>
                    <w:rPr>
                      <w:color w:val="auto"/>
                      <w:szCs w:val="21"/>
                    </w:rPr>
                  </w:pPr>
                  <w:r>
                    <w:rPr>
                      <w:color w:val="auto"/>
                      <w:szCs w:val="21"/>
                    </w:rPr>
                    <w:t>Z</w:t>
                  </w:r>
                </w:p>
              </w:tc>
              <w:tc>
                <w:tcPr>
                  <w:tcW w:w="1842" w:type="dxa"/>
                  <w:vAlign w:val="center"/>
                </w:tcPr>
                <w:p>
                  <w:pPr>
                    <w:pStyle w:val="139"/>
                    <w:rPr>
                      <w:color w:val="auto"/>
                      <w:szCs w:val="21"/>
                    </w:rPr>
                  </w:pPr>
                  <w:r>
                    <w:rPr>
                      <w:color w:val="auto"/>
                      <w:szCs w:val="21"/>
                    </w:rPr>
                    <w:t>（声压级/距声源距离）/（dB(A)/m）</w:t>
                  </w:r>
                </w:p>
              </w:tc>
              <w:tc>
                <w:tcPr>
                  <w:tcW w:w="1371" w:type="dxa"/>
                  <w:vAlign w:val="center"/>
                </w:tcPr>
                <w:p>
                  <w:pPr>
                    <w:pStyle w:val="139"/>
                    <w:rPr>
                      <w:color w:val="auto"/>
                      <w:szCs w:val="21"/>
                    </w:rPr>
                  </w:pPr>
                  <w:r>
                    <w:rPr>
                      <w:color w:val="auto"/>
                      <w:szCs w:val="21"/>
                    </w:rPr>
                    <w:t>声功率级/dB(A)</w:t>
                  </w:r>
                </w:p>
              </w:tc>
              <w:tc>
                <w:tcPr>
                  <w:tcW w:w="966" w:type="dxa"/>
                  <w:vMerge w:val="continue"/>
                  <w:vAlign w:val="center"/>
                </w:tcPr>
                <w:p>
                  <w:pPr>
                    <w:pStyle w:val="139"/>
                    <w:rPr>
                      <w:color w:val="auto"/>
                      <w:szCs w:val="21"/>
                    </w:rPr>
                  </w:pPr>
                </w:p>
              </w:tc>
              <w:tc>
                <w:tcPr>
                  <w:tcW w:w="902" w:type="dxa"/>
                  <w:vMerge w:val="continue"/>
                  <w:vAlign w:val="center"/>
                </w:tcPr>
                <w:p>
                  <w:pPr>
                    <w:pStyle w:val="139"/>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369" w:type="dxa"/>
                  <w:vAlign w:val="center"/>
                </w:tcPr>
                <w:p>
                  <w:pPr>
                    <w:jc w:val="center"/>
                    <w:rPr>
                      <w:bCs/>
                      <w:szCs w:val="21"/>
                    </w:rPr>
                  </w:pPr>
                  <w:r>
                    <w:rPr>
                      <w:rFonts w:hint="eastAsia"/>
                      <w:bCs/>
                      <w:szCs w:val="21"/>
                    </w:rPr>
                    <w:t>1</w:t>
                  </w:r>
                </w:p>
              </w:tc>
              <w:tc>
                <w:tcPr>
                  <w:tcW w:w="1137" w:type="dxa"/>
                  <w:vAlign w:val="center"/>
                </w:tcPr>
                <w:p>
                  <w:pPr>
                    <w:jc w:val="center"/>
                    <w:rPr>
                      <w:rFonts w:hint="eastAsia" w:eastAsia="宋体"/>
                      <w:bCs/>
                      <w:szCs w:val="21"/>
                      <w:lang w:val="en-US" w:eastAsia="zh-CN"/>
                    </w:rPr>
                  </w:pPr>
                  <w:r>
                    <w:rPr>
                      <w:rFonts w:hint="eastAsia"/>
                      <w:bCs/>
                      <w:szCs w:val="21"/>
                    </w:rPr>
                    <w:t>风机</w:t>
                  </w:r>
                  <w:r>
                    <w:rPr>
                      <w:rFonts w:hint="eastAsia"/>
                      <w:bCs/>
                      <w:szCs w:val="21"/>
                      <w:lang w:val="en-US" w:eastAsia="zh-CN"/>
                    </w:rPr>
                    <w:t>1</w:t>
                  </w:r>
                </w:p>
              </w:tc>
              <w:tc>
                <w:tcPr>
                  <w:tcW w:w="633" w:type="dxa"/>
                  <w:vAlign w:val="center"/>
                </w:tcPr>
                <w:p>
                  <w:pPr>
                    <w:jc w:val="center"/>
                    <w:rPr>
                      <w:rFonts w:hint="default" w:eastAsia="宋体"/>
                      <w:bCs/>
                      <w:szCs w:val="21"/>
                      <w:lang w:val="en-US" w:eastAsia="zh-CN"/>
                    </w:rPr>
                  </w:pPr>
                  <w:r>
                    <w:rPr>
                      <w:rFonts w:hint="eastAsia"/>
                      <w:bCs/>
                      <w:szCs w:val="21"/>
                      <w:lang w:val="en-US" w:eastAsia="zh-CN"/>
                    </w:rPr>
                    <w:t>-180</w:t>
                  </w:r>
                </w:p>
              </w:tc>
              <w:tc>
                <w:tcPr>
                  <w:tcW w:w="585" w:type="dxa"/>
                  <w:vAlign w:val="center"/>
                </w:tcPr>
                <w:p>
                  <w:pPr>
                    <w:jc w:val="center"/>
                    <w:rPr>
                      <w:rFonts w:hint="default" w:eastAsia="宋体"/>
                      <w:bCs/>
                      <w:szCs w:val="21"/>
                      <w:lang w:val="en-US" w:eastAsia="zh-CN"/>
                    </w:rPr>
                  </w:pPr>
                  <w:r>
                    <w:rPr>
                      <w:rFonts w:hint="eastAsia"/>
                      <w:bCs/>
                      <w:szCs w:val="21"/>
                      <w:lang w:val="en-US" w:eastAsia="zh-CN"/>
                    </w:rPr>
                    <w:t>-90</w:t>
                  </w:r>
                </w:p>
              </w:tc>
              <w:tc>
                <w:tcPr>
                  <w:tcW w:w="365" w:type="dxa"/>
                  <w:vAlign w:val="center"/>
                </w:tcPr>
                <w:p>
                  <w:pPr>
                    <w:jc w:val="center"/>
                    <w:rPr>
                      <w:bCs/>
                      <w:szCs w:val="21"/>
                    </w:rPr>
                  </w:pPr>
                  <w:r>
                    <w:rPr>
                      <w:rFonts w:hint="eastAsia"/>
                      <w:bCs/>
                      <w:szCs w:val="21"/>
                    </w:rPr>
                    <w:t>1</w:t>
                  </w:r>
                </w:p>
              </w:tc>
              <w:tc>
                <w:tcPr>
                  <w:tcW w:w="1842" w:type="dxa"/>
                  <w:vAlign w:val="center"/>
                </w:tcPr>
                <w:p>
                  <w:pPr>
                    <w:jc w:val="center"/>
                    <w:rPr>
                      <w:bCs/>
                      <w:szCs w:val="21"/>
                    </w:rPr>
                  </w:pPr>
                  <w:r>
                    <w:rPr>
                      <w:rFonts w:hint="eastAsia"/>
                      <w:bCs/>
                      <w:szCs w:val="21"/>
                    </w:rPr>
                    <w:t>/</w:t>
                  </w:r>
                </w:p>
              </w:tc>
              <w:tc>
                <w:tcPr>
                  <w:tcW w:w="1371" w:type="dxa"/>
                  <w:vAlign w:val="center"/>
                </w:tcPr>
                <w:p>
                  <w:pPr>
                    <w:jc w:val="center"/>
                    <w:rPr>
                      <w:rFonts w:hint="default" w:eastAsia="宋体"/>
                      <w:bCs/>
                      <w:szCs w:val="21"/>
                      <w:lang w:val="en-US" w:eastAsia="zh-CN"/>
                    </w:rPr>
                  </w:pPr>
                  <w:r>
                    <w:rPr>
                      <w:rFonts w:hint="eastAsia"/>
                      <w:bCs/>
                      <w:szCs w:val="21"/>
                      <w:lang w:val="en-US" w:eastAsia="zh-CN"/>
                    </w:rPr>
                    <w:t>90</w:t>
                  </w:r>
                </w:p>
              </w:tc>
              <w:tc>
                <w:tcPr>
                  <w:tcW w:w="966" w:type="dxa"/>
                  <w:vAlign w:val="center"/>
                </w:tcPr>
                <w:p>
                  <w:pPr>
                    <w:jc w:val="center"/>
                    <w:rPr>
                      <w:bCs/>
                      <w:szCs w:val="21"/>
                    </w:rPr>
                  </w:pPr>
                  <w:r>
                    <w:rPr>
                      <w:rFonts w:hint="eastAsia"/>
                      <w:bCs/>
                      <w:szCs w:val="21"/>
                    </w:rPr>
                    <w:t>隔声</w:t>
                  </w:r>
                </w:p>
              </w:tc>
              <w:tc>
                <w:tcPr>
                  <w:tcW w:w="902" w:type="dxa"/>
                  <w:vAlign w:val="center"/>
                </w:tcPr>
                <w:p>
                  <w:pPr>
                    <w:jc w:val="center"/>
                    <w:rPr>
                      <w:bCs/>
                      <w:szCs w:val="21"/>
                    </w:rPr>
                  </w:pPr>
                  <w:r>
                    <w:rPr>
                      <w:rFonts w:hint="eastAsia"/>
                      <w:bCs/>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pPr>
                    <w:jc w:val="center"/>
                    <w:rPr>
                      <w:bCs/>
                      <w:szCs w:val="21"/>
                    </w:rPr>
                  </w:pPr>
                  <w:r>
                    <w:rPr>
                      <w:rFonts w:hint="eastAsia"/>
                      <w:bCs/>
                      <w:szCs w:val="21"/>
                    </w:rPr>
                    <w:t>2</w:t>
                  </w:r>
                </w:p>
              </w:tc>
              <w:tc>
                <w:tcPr>
                  <w:tcW w:w="1137" w:type="dxa"/>
                  <w:vAlign w:val="center"/>
                </w:tcPr>
                <w:p>
                  <w:pPr>
                    <w:jc w:val="center"/>
                    <w:rPr>
                      <w:rFonts w:hint="eastAsia" w:eastAsia="宋体"/>
                      <w:bCs/>
                      <w:szCs w:val="21"/>
                      <w:lang w:val="en-US" w:eastAsia="zh-CN"/>
                    </w:rPr>
                  </w:pPr>
                  <w:r>
                    <w:rPr>
                      <w:rFonts w:hint="eastAsia"/>
                      <w:bCs/>
                      <w:szCs w:val="21"/>
                    </w:rPr>
                    <w:t>风机</w:t>
                  </w:r>
                  <w:r>
                    <w:rPr>
                      <w:rFonts w:hint="eastAsia"/>
                      <w:bCs/>
                      <w:szCs w:val="21"/>
                      <w:lang w:val="en-US" w:eastAsia="zh-CN"/>
                    </w:rPr>
                    <w:t>2</w:t>
                  </w:r>
                </w:p>
              </w:tc>
              <w:tc>
                <w:tcPr>
                  <w:tcW w:w="633" w:type="dxa"/>
                  <w:vAlign w:val="center"/>
                </w:tcPr>
                <w:p>
                  <w:pPr>
                    <w:jc w:val="center"/>
                    <w:rPr>
                      <w:rFonts w:hint="default" w:eastAsia="宋体"/>
                      <w:bCs/>
                      <w:szCs w:val="21"/>
                      <w:lang w:val="en-US" w:eastAsia="zh-CN"/>
                    </w:rPr>
                  </w:pPr>
                  <w:r>
                    <w:rPr>
                      <w:rFonts w:hint="eastAsia"/>
                      <w:bCs/>
                      <w:szCs w:val="21"/>
                      <w:lang w:val="en-US" w:eastAsia="zh-CN"/>
                    </w:rPr>
                    <w:t>-60</w:t>
                  </w:r>
                </w:p>
              </w:tc>
              <w:tc>
                <w:tcPr>
                  <w:tcW w:w="585" w:type="dxa"/>
                  <w:vAlign w:val="center"/>
                </w:tcPr>
                <w:p>
                  <w:pPr>
                    <w:jc w:val="center"/>
                    <w:rPr>
                      <w:rFonts w:hint="default" w:eastAsia="宋体"/>
                      <w:bCs/>
                      <w:szCs w:val="21"/>
                      <w:lang w:val="en-US" w:eastAsia="zh-CN"/>
                    </w:rPr>
                  </w:pPr>
                  <w:r>
                    <w:rPr>
                      <w:rFonts w:hint="eastAsia"/>
                      <w:bCs/>
                      <w:szCs w:val="21"/>
                      <w:lang w:val="en-US" w:eastAsia="zh-CN"/>
                    </w:rPr>
                    <w:t>-90</w:t>
                  </w:r>
                </w:p>
              </w:tc>
              <w:tc>
                <w:tcPr>
                  <w:tcW w:w="365" w:type="dxa"/>
                  <w:vAlign w:val="center"/>
                </w:tcPr>
                <w:p>
                  <w:pPr>
                    <w:jc w:val="center"/>
                    <w:rPr>
                      <w:bCs/>
                      <w:szCs w:val="21"/>
                    </w:rPr>
                  </w:pPr>
                  <w:r>
                    <w:rPr>
                      <w:rFonts w:hint="eastAsia"/>
                      <w:bCs/>
                      <w:szCs w:val="21"/>
                    </w:rPr>
                    <w:t>1</w:t>
                  </w:r>
                </w:p>
              </w:tc>
              <w:tc>
                <w:tcPr>
                  <w:tcW w:w="1842" w:type="dxa"/>
                  <w:vAlign w:val="center"/>
                </w:tcPr>
                <w:p>
                  <w:pPr>
                    <w:jc w:val="center"/>
                    <w:rPr>
                      <w:bCs/>
                      <w:szCs w:val="21"/>
                    </w:rPr>
                  </w:pPr>
                  <w:r>
                    <w:rPr>
                      <w:rFonts w:hint="eastAsia"/>
                      <w:bCs/>
                      <w:szCs w:val="21"/>
                    </w:rPr>
                    <w:t>/</w:t>
                  </w:r>
                </w:p>
              </w:tc>
              <w:tc>
                <w:tcPr>
                  <w:tcW w:w="1371" w:type="dxa"/>
                  <w:vAlign w:val="center"/>
                </w:tcPr>
                <w:p>
                  <w:pPr>
                    <w:jc w:val="center"/>
                    <w:rPr>
                      <w:rFonts w:hint="default" w:eastAsia="宋体"/>
                      <w:bCs/>
                      <w:szCs w:val="21"/>
                      <w:lang w:val="en-US" w:eastAsia="zh-CN"/>
                    </w:rPr>
                  </w:pPr>
                  <w:r>
                    <w:rPr>
                      <w:rFonts w:hint="eastAsia"/>
                      <w:bCs/>
                      <w:szCs w:val="21"/>
                      <w:lang w:val="en-US" w:eastAsia="zh-CN"/>
                    </w:rPr>
                    <w:t>90</w:t>
                  </w:r>
                </w:p>
              </w:tc>
              <w:tc>
                <w:tcPr>
                  <w:tcW w:w="966" w:type="dxa"/>
                  <w:vAlign w:val="center"/>
                </w:tcPr>
                <w:p>
                  <w:pPr>
                    <w:jc w:val="center"/>
                    <w:rPr>
                      <w:bCs/>
                      <w:szCs w:val="21"/>
                    </w:rPr>
                  </w:pPr>
                  <w:r>
                    <w:rPr>
                      <w:rFonts w:hint="eastAsia"/>
                      <w:bCs/>
                      <w:szCs w:val="21"/>
                    </w:rPr>
                    <w:t>隔声</w:t>
                  </w:r>
                </w:p>
              </w:tc>
              <w:tc>
                <w:tcPr>
                  <w:tcW w:w="902" w:type="dxa"/>
                  <w:vAlign w:val="center"/>
                </w:tcPr>
                <w:p>
                  <w:pPr>
                    <w:jc w:val="center"/>
                    <w:rPr>
                      <w:bCs/>
                      <w:szCs w:val="21"/>
                    </w:rPr>
                  </w:pPr>
                  <w:r>
                    <w:rPr>
                      <w:rFonts w:hint="eastAsia"/>
                      <w:bCs/>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 w:type="dxa"/>
                  <w:vAlign w:val="center"/>
                </w:tcPr>
                <w:p>
                  <w:pPr>
                    <w:jc w:val="center"/>
                    <w:rPr>
                      <w:bCs/>
                      <w:szCs w:val="21"/>
                    </w:rPr>
                  </w:pPr>
                  <w:r>
                    <w:rPr>
                      <w:rFonts w:hint="eastAsia"/>
                      <w:bCs/>
                      <w:szCs w:val="21"/>
                    </w:rPr>
                    <w:t>3</w:t>
                  </w:r>
                </w:p>
              </w:tc>
              <w:tc>
                <w:tcPr>
                  <w:tcW w:w="1137" w:type="dxa"/>
                  <w:vAlign w:val="center"/>
                </w:tcPr>
                <w:p>
                  <w:pPr>
                    <w:jc w:val="center"/>
                    <w:rPr>
                      <w:rFonts w:hint="eastAsia" w:eastAsia="宋体"/>
                      <w:bCs/>
                      <w:szCs w:val="21"/>
                      <w:lang w:val="en-US" w:eastAsia="zh-CN"/>
                    </w:rPr>
                  </w:pPr>
                  <w:r>
                    <w:rPr>
                      <w:rFonts w:hint="eastAsia"/>
                      <w:bCs/>
                      <w:szCs w:val="21"/>
                    </w:rPr>
                    <w:t>风机</w:t>
                  </w:r>
                  <w:r>
                    <w:rPr>
                      <w:rFonts w:hint="eastAsia"/>
                      <w:bCs/>
                      <w:szCs w:val="21"/>
                      <w:lang w:val="en-US" w:eastAsia="zh-CN"/>
                    </w:rPr>
                    <w:t>3</w:t>
                  </w:r>
                </w:p>
              </w:tc>
              <w:tc>
                <w:tcPr>
                  <w:tcW w:w="633" w:type="dxa"/>
                  <w:vAlign w:val="center"/>
                </w:tcPr>
                <w:p>
                  <w:pPr>
                    <w:jc w:val="center"/>
                    <w:rPr>
                      <w:rFonts w:hint="default" w:eastAsia="宋体"/>
                      <w:bCs/>
                      <w:szCs w:val="21"/>
                      <w:lang w:val="en-US" w:eastAsia="zh-CN"/>
                    </w:rPr>
                  </w:pPr>
                  <w:r>
                    <w:rPr>
                      <w:rFonts w:hint="eastAsia"/>
                      <w:bCs/>
                      <w:szCs w:val="21"/>
                      <w:lang w:val="en-US" w:eastAsia="zh-CN"/>
                    </w:rPr>
                    <w:t>-60</w:t>
                  </w:r>
                </w:p>
              </w:tc>
              <w:tc>
                <w:tcPr>
                  <w:tcW w:w="585" w:type="dxa"/>
                  <w:vAlign w:val="center"/>
                </w:tcPr>
                <w:p>
                  <w:pPr>
                    <w:jc w:val="center"/>
                    <w:rPr>
                      <w:rFonts w:hint="default" w:eastAsia="宋体"/>
                      <w:bCs/>
                      <w:szCs w:val="21"/>
                      <w:lang w:val="en-US" w:eastAsia="zh-CN"/>
                    </w:rPr>
                  </w:pPr>
                  <w:r>
                    <w:rPr>
                      <w:rFonts w:hint="eastAsia"/>
                      <w:bCs/>
                      <w:szCs w:val="21"/>
                      <w:lang w:val="en-US" w:eastAsia="zh-CN"/>
                    </w:rPr>
                    <w:t>-5</w:t>
                  </w:r>
                </w:p>
              </w:tc>
              <w:tc>
                <w:tcPr>
                  <w:tcW w:w="365" w:type="dxa"/>
                  <w:vAlign w:val="center"/>
                </w:tcPr>
                <w:p>
                  <w:pPr>
                    <w:jc w:val="center"/>
                    <w:rPr>
                      <w:bCs/>
                      <w:szCs w:val="21"/>
                    </w:rPr>
                  </w:pPr>
                  <w:r>
                    <w:rPr>
                      <w:rFonts w:hint="eastAsia"/>
                      <w:bCs/>
                      <w:szCs w:val="21"/>
                    </w:rPr>
                    <w:t>1</w:t>
                  </w:r>
                </w:p>
              </w:tc>
              <w:tc>
                <w:tcPr>
                  <w:tcW w:w="1842" w:type="dxa"/>
                  <w:vAlign w:val="center"/>
                </w:tcPr>
                <w:p>
                  <w:pPr>
                    <w:jc w:val="center"/>
                    <w:rPr>
                      <w:bCs/>
                      <w:szCs w:val="21"/>
                    </w:rPr>
                  </w:pPr>
                  <w:r>
                    <w:rPr>
                      <w:rFonts w:hint="eastAsia"/>
                      <w:bCs/>
                      <w:szCs w:val="21"/>
                    </w:rPr>
                    <w:t>/</w:t>
                  </w:r>
                </w:p>
              </w:tc>
              <w:tc>
                <w:tcPr>
                  <w:tcW w:w="1371" w:type="dxa"/>
                  <w:vAlign w:val="center"/>
                </w:tcPr>
                <w:p>
                  <w:pPr>
                    <w:jc w:val="center"/>
                    <w:rPr>
                      <w:rFonts w:hint="default" w:eastAsia="宋体"/>
                      <w:bCs/>
                      <w:szCs w:val="21"/>
                      <w:lang w:val="en-US" w:eastAsia="zh-CN"/>
                    </w:rPr>
                  </w:pPr>
                  <w:r>
                    <w:rPr>
                      <w:rFonts w:hint="eastAsia"/>
                      <w:bCs/>
                      <w:szCs w:val="21"/>
                      <w:lang w:val="en-US" w:eastAsia="zh-CN"/>
                    </w:rPr>
                    <w:t>90</w:t>
                  </w:r>
                </w:p>
              </w:tc>
              <w:tc>
                <w:tcPr>
                  <w:tcW w:w="966" w:type="dxa"/>
                  <w:vAlign w:val="center"/>
                </w:tcPr>
                <w:p>
                  <w:pPr>
                    <w:jc w:val="center"/>
                    <w:rPr>
                      <w:bCs/>
                      <w:szCs w:val="21"/>
                    </w:rPr>
                  </w:pPr>
                  <w:r>
                    <w:rPr>
                      <w:rFonts w:hint="eastAsia"/>
                      <w:bCs/>
                      <w:szCs w:val="21"/>
                    </w:rPr>
                    <w:t>隔声</w:t>
                  </w:r>
                </w:p>
              </w:tc>
              <w:tc>
                <w:tcPr>
                  <w:tcW w:w="902" w:type="dxa"/>
                  <w:vAlign w:val="center"/>
                </w:tcPr>
                <w:p>
                  <w:pPr>
                    <w:jc w:val="center"/>
                    <w:rPr>
                      <w:bCs/>
                      <w:szCs w:val="21"/>
                    </w:rPr>
                  </w:pPr>
                  <w:r>
                    <w:rPr>
                      <w:rFonts w:hint="eastAsia"/>
                      <w:bCs/>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pPr>
                    <w:jc w:val="center"/>
                    <w:rPr>
                      <w:bCs/>
                      <w:szCs w:val="21"/>
                    </w:rPr>
                  </w:pPr>
                  <w:r>
                    <w:rPr>
                      <w:rFonts w:hint="eastAsia"/>
                      <w:bCs/>
                      <w:szCs w:val="21"/>
                    </w:rPr>
                    <w:t>4</w:t>
                  </w:r>
                </w:p>
              </w:tc>
              <w:tc>
                <w:tcPr>
                  <w:tcW w:w="1137" w:type="dxa"/>
                  <w:vAlign w:val="center"/>
                </w:tcPr>
                <w:p>
                  <w:pPr>
                    <w:jc w:val="center"/>
                    <w:rPr>
                      <w:rFonts w:hint="eastAsia" w:eastAsia="宋体"/>
                      <w:bCs/>
                      <w:szCs w:val="21"/>
                      <w:lang w:val="en-US" w:eastAsia="zh-CN"/>
                    </w:rPr>
                  </w:pPr>
                  <w:r>
                    <w:rPr>
                      <w:rFonts w:hint="eastAsia"/>
                      <w:bCs/>
                      <w:szCs w:val="21"/>
                    </w:rPr>
                    <w:t>风机</w:t>
                  </w:r>
                  <w:r>
                    <w:rPr>
                      <w:rFonts w:hint="eastAsia"/>
                      <w:bCs/>
                      <w:szCs w:val="21"/>
                      <w:lang w:val="en-US" w:eastAsia="zh-CN"/>
                    </w:rPr>
                    <w:t>4</w:t>
                  </w:r>
                </w:p>
              </w:tc>
              <w:tc>
                <w:tcPr>
                  <w:tcW w:w="633" w:type="dxa"/>
                  <w:vAlign w:val="center"/>
                </w:tcPr>
                <w:p>
                  <w:pPr>
                    <w:jc w:val="center"/>
                    <w:rPr>
                      <w:rFonts w:hint="default" w:eastAsia="宋体"/>
                      <w:bCs/>
                      <w:szCs w:val="21"/>
                      <w:lang w:val="en-US" w:eastAsia="zh-CN"/>
                    </w:rPr>
                  </w:pPr>
                  <w:r>
                    <w:rPr>
                      <w:rFonts w:hint="eastAsia"/>
                      <w:bCs/>
                      <w:szCs w:val="21"/>
                      <w:lang w:val="en-US" w:eastAsia="zh-CN"/>
                    </w:rPr>
                    <w:t>20</w:t>
                  </w:r>
                </w:p>
              </w:tc>
              <w:tc>
                <w:tcPr>
                  <w:tcW w:w="585" w:type="dxa"/>
                  <w:vAlign w:val="center"/>
                </w:tcPr>
                <w:p>
                  <w:pPr>
                    <w:jc w:val="center"/>
                    <w:rPr>
                      <w:rFonts w:hint="default" w:eastAsia="宋体"/>
                      <w:bCs/>
                      <w:szCs w:val="21"/>
                      <w:lang w:val="en-US" w:eastAsia="zh-CN"/>
                    </w:rPr>
                  </w:pPr>
                  <w:r>
                    <w:rPr>
                      <w:rFonts w:hint="eastAsia"/>
                      <w:bCs/>
                      <w:szCs w:val="21"/>
                      <w:lang w:val="en-US" w:eastAsia="zh-CN"/>
                    </w:rPr>
                    <w:t>90</w:t>
                  </w:r>
                </w:p>
              </w:tc>
              <w:tc>
                <w:tcPr>
                  <w:tcW w:w="365" w:type="dxa"/>
                  <w:vAlign w:val="center"/>
                </w:tcPr>
                <w:p>
                  <w:pPr>
                    <w:jc w:val="center"/>
                    <w:rPr>
                      <w:bCs/>
                      <w:szCs w:val="21"/>
                    </w:rPr>
                  </w:pPr>
                  <w:r>
                    <w:rPr>
                      <w:rFonts w:hint="eastAsia"/>
                      <w:bCs/>
                      <w:szCs w:val="21"/>
                    </w:rPr>
                    <w:t>1</w:t>
                  </w:r>
                </w:p>
              </w:tc>
              <w:tc>
                <w:tcPr>
                  <w:tcW w:w="1842" w:type="dxa"/>
                  <w:vAlign w:val="center"/>
                </w:tcPr>
                <w:p>
                  <w:pPr>
                    <w:jc w:val="center"/>
                    <w:rPr>
                      <w:bCs/>
                      <w:szCs w:val="21"/>
                    </w:rPr>
                  </w:pPr>
                  <w:r>
                    <w:rPr>
                      <w:rFonts w:hint="eastAsia"/>
                      <w:bCs/>
                      <w:szCs w:val="21"/>
                    </w:rPr>
                    <w:t>/</w:t>
                  </w:r>
                </w:p>
              </w:tc>
              <w:tc>
                <w:tcPr>
                  <w:tcW w:w="1371" w:type="dxa"/>
                  <w:vAlign w:val="center"/>
                </w:tcPr>
                <w:p>
                  <w:pPr>
                    <w:jc w:val="center"/>
                    <w:rPr>
                      <w:rFonts w:hint="default" w:eastAsia="宋体"/>
                      <w:bCs/>
                      <w:szCs w:val="21"/>
                      <w:lang w:val="en-US" w:eastAsia="zh-CN"/>
                    </w:rPr>
                  </w:pPr>
                  <w:r>
                    <w:rPr>
                      <w:rFonts w:hint="eastAsia"/>
                      <w:bCs/>
                      <w:szCs w:val="21"/>
                      <w:lang w:val="en-US" w:eastAsia="zh-CN"/>
                    </w:rPr>
                    <w:t>90</w:t>
                  </w:r>
                </w:p>
              </w:tc>
              <w:tc>
                <w:tcPr>
                  <w:tcW w:w="966" w:type="dxa"/>
                  <w:vAlign w:val="center"/>
                </w:tcPr>
                <w:p>
                  <w:pPr>
                    <w:jc w:val="center"/>
                    <w:rPr>
                      <w:bCs/>
                      <w:szCs w:val="21"/>
                    </w:rPr>
                  </w:pPr>
                  <w:r>
                    <w:rPr>
                      <w:rFonts w:hint="eastAsia"/>
                      <w:bCs/>
                      <w:szCs w:val="21"/>
                    </w:rPr>
                    <w:t>隔声</w:t>
                  </w:r>
                </w:p>
              </w:tc>
              <w:tc>
                <w:tcPr>
                  <w:tcW w:w="902" w:type="dxa"/>
                  <w:vAlign w:val="center"/>
                </w:tcPr>
                <w:p>
                  <w:pPr>
                    <w:jc w:val="center"/>
                    <w:rPr>
                      <w:bCs/>
                      <w:szCs w:val="21"/>
                    </w:rPr>
                  </w:pPr>
                  <w:r>
                    <w:rPr>
                      <w:rFonts w:hint="eastAsia"/>
                      <w:bCs/>
                      <w:szCs w:val="21"/>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pPr>
                    <w:jc w:val="center"/>
                    <w:rPr>
                      <w:bCs/>
                      <w:szCs w:val="21"/>
                    </w:rPr>
                  </w:pPr>
                  <w:r>
                    <w:rPr>
                      <w:rFonts w:hint="eastAsia"/>
                      <w:bCs/>
                      <w:szCs w:val="21"/>
                    </w:rPr>
                    <w:t>5</w:t>
                  </w:r>
                </w:p>
              </w:tc>
              <w:tc>
                <w:tcPr>
                  <w:tcW w:w="1137" w:type="dxa"/>
                  <w:vAlign w:val="center"/>
                </w:tcPr>
                <w:p>
                  <w:pPr>
                    <w:jc w:val="center"/>
                    <w:rPr>
                      <w:rFonts w:hint="eastAsia" w:eastAsia="宋体"/>
                      <w:bCs/>
                      <w:szCs w:val="21"/>
                      <w:lang w:val="en-US" w:eastAsia="zh-CN"/>
                    </w:rPr>
                  </w:pPr>
                  <w:r>
                    <w:rPr>
                      <w:rFonts w:hint="eastAsia"/>
                      <w:bCs/>
                      <w:szCs w:val="21"/>
                    </w:rPr>
                    <w:t>风机</w:t>
                  </w:r>
                  <w:r>
                    <w:rPr>
                      <w:rFonts w:hint="eastAsia"/>
                      <w:bCs/>
                      <w:szCs w:val="21"/>
                      <w:lang w:val="en-US" w:eastAsia="zh-CN"/>
                    </w:rPr>
                    <w:t>5</w:t>
                  </w:r>
                </w:p>
              </w:tc>
              <w:tc>
                <w:tcPr>
                  <w:tcW w:w="633" w:type="dxa"/>
                  <w:vAlign w:val="center"/>
                </w:tcPr>
                <w:p>
                  <w:pPr>
                    <w:jc w:val="center"/>
                    <w:rPr>
                      <w:rFonts w:hint="default" w:eastAsia="宋体"/>
                      <w:bCs/>
                      <w:szCs w:val="21"/>
                      <w:lang w:val="en-US" w:eastAsia="zh-CN"/>
                    </w:rPr>
                  </w:pPr>
                  <w:r>
                    <w:rPr>
                      <w:rFonts w:hint="eastAsia"/>
                      <w:bCs/>
                      <w:szCs w:val="21"/>
                      <w:lang w:val="en-US" w:eastAsia="zh-CN"/>
                    </w:rPr>
                    <w:t>40</w:t>
                  </w:r>
                </w:p>
              </w:tc>
              <w:tc>
                <w:tcPr>
                  <w:tcW w:w="585" w:type="dxa"/>
                  <w:vAlign w:val="center"/>
                </w:tcPr>
                <w:p>
                  <w:pPr>
                    <w:jc w:val="center"/>
                    <w:rPr>
                      <w:rFonts w:hint="default" w:eastAsia="宋体"/>
                      <w:bCs/>
                      <w:szCs w:val="21"/>
                      <w:lang w:val="en-US" w:eastAsia="zh-CN"/>
                    </w:rPr>
                  </w:pPr>
                  <w:r>
                    <w:rPr>
                      <w:rFonts w:hint="eastAsia"/>
                      <w:bCs/>
                      <w:szCs w:val="21"/>
                      <w:lang w:val="en-US" w:eastAsia="zh-CN"/>
                    </w:rPr>
                    <w:t>90</w:t>
                  </w:r>
                </w:p>
              </w:tc>
              <w:tc>
                <w:tcPr>
                  <w:tcW w:w="365" w:type="dxa"/>
                  <w:vAlign w:val="center"/>
                </w:tcPr>
                <w:p>
                  <w:pPr>
                    <w:jc w:val="center"/>
                    <w:rPr>
                      <w:bCs/>
                      <w:szCs w:val="21"/>
                    </w:rPr>
                  </w:pPr>
                  <w:r>
                    <w:rPr>
                      <w:rFonts w:hint="eastAsia"/>
                      <w:bCs/>
                      <w:szCs w:val="21"/>
                    </w:rPr>
                    <w:t>1</w:t>
                  </w:r>
                </w:p>
              </w:tc>
              <w:tc>
                <w:tcPr>
                  <w:tcW w:w="1842" w:type="dxa"/>
                  <w:vAlign w:val="center"/>
                </w:tcPr>
                <w:p>
                  <w:pPr>
                    <w:jc w:val="center"/>
                    <w:rPr>
                      <w:bCs/>
                      <w:szCs w:val="21"/>
                    </w:rPr>
                  </w:pPr>
                  <w:r>
                    <w:rPr>
                      <w:rFonts w:hint="eastAsia"/>
                      <w:bCs/>
                      <w:szCs w:val="21"/>
                    </w:rPr>
                    <w:t>/</w:t>
                  </w:r>
                </w:p>
              </w:tc>
              <w:tc>
                <w:tcPr>
                  <w:tcW w:w="1371" w:type="dxa"/>
                  <w:vAlign w:val="center"/>
                </w:tcPr>
                <w:p>
                  <w:pPr>
                    <w:jc w:val="center"/>
                    <w:rPr>
                      <w:rFonts w:hint="default" w:eastAsia="宋体"/>
                      <w:bCs/>
                      <w:szCs w:val="21"/>
                      <w:lang w:val="en-US" w:eastAsia="zh-CN"/>
                    </w:rPr>
                  </w:pPr>
                  <w:r>
                    <w:rPr>
                      <w:rFonts w:hint="eastAsia"/>
                      <w:bCs/>
                      <w:szCs w:val="21"/>
                      <w:lang w:val="en-US" w:eastAsia="zh-CN"/>
                    </w:rPr>
                    <w:t>90</w:t>
                  </w:r>
                </w:p>
              </w:tc>
              <w:tc>
                <w:tcPr>
                  <w:tcW w:w="966" w:type="dxa"/>
                  <w:vAlign w:val="center"/>
                </w:tcPr>
                <w:p>
                  <w:pPr>
                    <w:jc w:val="center"/>
                    <w:rPr>
                      <w:bCs/>
                      <w:szCs w:val="21"/>
                    </w:rPr>
                  </w:pPr>
                  <w:r>
                    <w:rPr>
                      <w:rFonts w:hint="eastAsia"/>
                      <w:bCs/>
                      <w:szCs w:val="21"/>
                    </w:rPr>
                    <w:t>隔声</w:t>
                  </w:r>
                </w:p>
              </w:tc>
              <w:tc>
                <w:tcPr>
                  <w:tcW w:w="902" w:type="dxa"/>
                  <w:vAlign w:val="center"/>
                </w:tcPr>
                <w:p>
                  <w:pPr>
                    <w:jc w:val="center"/>
                    <w:rPr>
                      <w:bCs/>
                      <w:szCs w:val="21"/>
                    </w:rPr>
                  </w:pPr>
                  <w:r>
                    <w:rPr>
                      <w:rFonts w:hint="eastAsia"/>
                      <w:bCs/>
                      <w:szCs w:val="21"/>
                    </w:rPr>
                    <w:t>8h</w:t>
                  </w:r>
                </w:p>
              </w:tc>
            </w:tr>
          </w:tbl>
          <w:p>
            <w:pPr>
              <w:rPr>
                <w:color w:val="0000FF"/>
              </w:rPr>
            </w:pPr>
          </w:p>
        </w:tc>
      </w:tr>
    </w:tbl>
    <w:p>
      <w:pPr>
        <w:sectPr>
          <w:pgSz w:w="11907" w:h="16840"/>
          <w:pgMar w:top="1701" w:right="1531" w:bottom="2127" w:left="1531" w:header="851" w:footer="851" w:gutter="0"/>
          <w:cols w:space="720" w:num="1"/>
          <w:docGrid w:linePitch="312" w:charSpace="0"/>
        </w:sectPr>
      </w:pPr>
    </w:p>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tcPr>
          <w:p/>
        </w:tc>
        <w:tc>
          <w:tcPr>
            <w:tcW w:w="12752" w:type="dxa"/>
          </w:tcPr>
          <w:p>
            <w:pPr>
              <w:pStyle w:val="12"/>
              <w:snapToGrid/>
              <w:spacing w:before="0" w:after="0" w:line="240" w:lineRule="auto"/>
              <w:ind w:right="0" w:firstLine="422" w:firstLineChars="200"/>
              <w:jc w:val="center"/>
              <w:rPr>
                <w:b/>
                <w:kern w:val="2"/>
                <w:sz w:val="21"/>
                <w:szCs w:val="21"/>
              </w:rPr>
            </w:pPr>
            <w:r>
              <w:rPr>
                <w:b/>
                <w:kern w:val="2"/>
                <w:sz w:val="21"/>
                <w:szCs w:val="21"/>
              </w:rPr>
              <w:t>表</w:t>
            </w:r>
            <w:r>
              <w:rPr>
                <w:rFonts w:hint="eastAsia"/>
                <w:b/>
                <w:kern w:val="2"/>
                <w:sz w:val="21"/>
                <w:szCs w:val="21"/>
              </w:rPr>
              <w:t xml:space="preserve">4-26  </w:t>
            </w:r>
            <w:r>
              <w:rPr>
                <w:b/>
                <w:kern w:val="2"/>
                <w:sz w:val="21"/>
                <w:szCs w:val="21"/>
              </w:rPr>
              <w:t>工业企业噪声源强</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719"/>
              <w:gridCol w:w="1985"/>
              <w:gridCol w:w="970"/>
              <w:gridCol w:w="852"/>
              <w:gridCol w:w="735"/>
              <w:gridCol w:w="735"/>
              <w:gridCol w:w="485"/>
              <w:gridCol w:w="922"/>
              <w:gridCol w:w="1063"/>
              <w:gridCol w:w="485"/>
              <w:gridCol w:w="875"/>
              <w:gridCol w:w="103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5" w:type="dxa"/>
                  <w:vMerge w:val="restart"/>
                  <w:vAlign w:val="center"/>
                </w:tcPr>
                <w:p>
                  <w:pPr>
                    <w:widowControl/>
                    <w:jc w:val="center"/>
                    <w:textAlignment w:val="center"/>
                    <w:rPr>
                      <w:b/>
                      <w:bCs/>
                      <w:szCs w:val="21"/>
                    </w:rPr>
                  </w:pPr>
                  <w:r>
                    <w:rPr>
                      <w:b/>
                      <w:bCs/>
                      <w:kern w:val="0"/>
                      <w:szCs w:val="21"/>
                      <w:lang w:bidi="ar"/>
                    </w:rPr>
                    <w:t>序号</w:t>
                  </w:r>
                </w:p>
              </w:tc>
              <w:tc>
                <w:tcPr>
                  <w:tcW w:w="719" w:type="dxa"/>
                  <w:vMerge w:val="restart"/>
                  <w:vAlign w:val="center"/>
                </w:tcPr>
                <w:p>
                  <w:pPr>
                    <w:widowControl/>
                    <w:jc w:val="center"/>
                    <w:textAlignment w:val="center"/>
                    <w:rPr>
                      <w:b/>
                      <w:bCs/>
                      <w:szCs w:val="21"/>
                    </w:rPr>
                  </w:pPr>
                  <w:r>
                    <w:rPr>
                      <w:b/>
                      <w:bCs/>
                      <w:kern w:val="0"/>
                      <w:szCs w:val="21"/>
                      <w:lang w:bidi="ar"/>
                    </w:rPr>
                    <w:t>建筑物名称</w:t>
                  </w:r>
                </w:p>
              </w:tc>
              <w:tc>
                <w:tcPr>
                  <w:tcW w:w="1985" w:type="dxa"/>
                  <w:vMerge w:val="restart"/>
                  <w:vAlign w:val="center"/>
                </w:tcPr>
                <w:p>
                  <w:pPr>
                    <w:widowControl/>
                    <w:jc w:val="center"/>
                    <w:textAlignment w:val="center"/>
                    <w:rPr>
                      <w:b/>
                      <w:bCs/>
                      <w:szCs w:val="21"/>
                    </w:rPr>
                  </w:pPr>
                  <w:r>
                    <w:rPr>
                      <w:b/>
                      <w:bCs/>
                      <w:kern w:val="0"/>
                      <w:szCs w:val="21"/>
                      <w:lang w:bidi="ar"/>
                    </w:rPr>
                    <w:t>声源名称</w:t>
                  </w:r>
                </w:p>
              </w:tc>
              <w:tc>
                <w:tcPr>
                  <w:tcW w:w="970" w:type="dxa"/>
                  <w:vAlign w:val="center"/>
                </w:tcPr>
                <w:p>
                  <w:pPr>
                    <w:widowControl/>
                    <w:jc w:val="center"/>
                    <w:textAlignment w:val="center"/>
                    <w:rPr>
                      <w:b/>
                      <w:bCs/>
                      <w:kern w:val="0"/>
                      <w:szCs w:val="21"/>
                      <w:lang w:bidi="ar"/>
                    </w:rPr>
                  </w:pPr>
                  <w:r>
                    <w:rPr>
                      <w:b/>
                      <w:bCs/>
                      <w:kern w:val="0"/>
                      <w:szCs w:val="21"/>
                      <w:lang w:bidi="ar"/>
                    </w:rPr>
                    <w:t>声源源强</w:t>
                  </w:r>
                </w:p>
              </w:tc>
              <w:tc>
                <w:tcPr>
                  <w:tcW w:w="852" w:type="dxa"/>
                  <w:vMerge w:val="restart"/>
                  <w:vAlign w:val="center"/>
                </w:tcPr>
                <w:p>
                  <w:pPr>
                    <w:widowControl/>
                    <w:jc w:val="center"/>
                    <w:textAlignment w:val="center"/>
                    <w:rPr>
                      <w:b/>
                      <w:bCs/>
                      <w:szCs w:val="21"/>
                    </w:rPr>
                  </w:pPr>
                  <w:r>
                    <w:rPr>
                      <w:b/>
                      <w:bCs/>
                      <w:kern w:val="0"/>
                      <w:szCs w:val="21"/>
                      <w:lang w:bidi="ar"/>
                    </w:rPr>
                    <w:t>控制措施</w:t>
                  </w:r>
                </w:p>
              </w:tc>
              <w:tc>
                <w:tcPr>
                  <w:tcW w:w="1955" w:type="dxa"/>
                  <w:gridSpan w:val="3"/>
                  <w:vAlign w:val="center"/>
                </w:tcPr>
                <w:p>
                  <w:pPr>
                    <w:widowControl/>
                    <w:jc w:val="center"/>
                    <w:textAlignment w:val="center"/>
                    <w:rPr>
                      <w:b/>
                      <w:bCs/>
                      <w:szCs w:val="21"/>
                    </w:rPr>
                  </w:pPr>
                  <w:r>
                    <w:rPr>
                      <w:b/>
                      <w:bCs/>
                      <w:kern w:val="0"/>
                      <w:szCs w:val="21"/>
                      <w:lang w:bidi="ar"/>
                    </w:rPr>
                    <w:t>空间相对位置</w:t>
                  </w:r>
                  <w:r>
                    <w:rPr>
                      <w:rStyle w:val="165"/>
                      <w:color w:val="auto"/>
                      <w:lang w:bidi="ar"/>
                    </w:rPr>
                    <w:t>/m</w:t>
                  </w:r>
                </w:p>
              </w:tc>
              <w:tc>
                <w:tcPr>
                  <w:tcW w:w="922" w:type="dxa"/>
                  <w:vMerge w:val="restart"/>
                  <w:vAlign w:val="center"/>
                </w:tcPr>
                <w:p>
                  <w:pPr>
                    <w:widowControl/>
                    <w:jc w:val="center"/>
                    <w:textAlignment w:val="center"/>
                    <w:rPr>
                      <w:b/>
                      <w:bCs/>
                      <w:szCs w:val="21"/>
                    </w:rPr>
                  </w:pPr>
                  <w:r>
                    <w:rPr>
                      <w:b/>
                      <w:bCs/>
                      <w:kern w:val="0"/>
                      <w:szCs w:val="21"/>
                      <w:lang w:bidi="ar"/>
                    </w:rPr>
                    <w:t>距室内边界距离</w:t>
                  </w:r>
                  <w:r>
                    <w:rPr>
                      <w:rStyle w:val="165"/>
                      <w:color w:val="auto"/>
                      <w:lang w:bidi="ar"/>
                    </w:rPr>
                    <w:t>/m</w:t>
                  </w:r>
                </w:p>
              </w:tc>
              <w:tc>
                <w:tcPr>
                  <w:tcW w:w="1063" w:type="dxa"/>
                  <w:vMerge w:val="restart"/>
                  <w:vAlign w:val="center"/>
                </w:tcPr>
                <w:p>
                  <w:pPr>
                    <w:widowControl/>
                    <w:jc w:val="center"/>
                    <w:textAlignment w:val="center"/>
                    <w:rPr>
                      <w:b/>
                      <w:bCs/>
                      <w:szCs w:val="21"/>
                    </w:rPr>
                  </w:pPr>
                  <w:r>
                    <w:rPr>
                      <w:b/>
                      <w:bCs/>
                      <w:kern w:val="0"/>
                      <w:szCs w:val="21"/>
                      <w:lang w:bidi="ar"/>
                    </w:rPr>
                    <w:t>室内边界声级</w:t>
                  </w:r>
                  <w:r>
                    <w:rPr>
                      <w:rStyle w:val="165"/>
                      <w:color w:val="auto"/>
                      <w:lang w:bidi="ar"/>
                    </w:rPr>
                    <w:t>/dB(A)</w:t>
                  </w:r>
                </w:p>
              </w:tc>
              <w:tc>
                <w:tcPr>
                  <w:tcW w:w="485" w:type="dxa"/>
                  <w:vMerge w:val="restart"/>
                  <w:vAlign w:val="center"/>
                </w:tcPr>
                <w:p>
                  <w:pPr>
                    <w:widowControl/>
                    <w:jc w:val="center"/>
                    <w:textAlignment w:val="center"/>
                    <w:rPr>
                      <w:b/>
                      <w:bCs/>
                      <w:szCs w:val="21"/>
                    </w:rPr>
                  </w:pPr>
                  <w:r>
                    <w:rPr>
                      <w:b/>
                      <w:bCs/>
                      <w:kern w:val="0"/>
                      <w:szCs w:val="21"/>
                      <w:lang w:bidi="ar"/>
                    </w:rPr>
                    <w:t>持续时间</w:t>
                  </w:r>
                </w:p>
              </w:tc>
              <w:tc>
                <w:tcPr>
                  <w:tcW w:w="875" w:type="dxa"/>
                  <w:vMerge w:val="restart"/>
                  <w:vAlign w:val="center"/>
                </w:tcPr>
                <w:p>
                  <w:pPr>
                    <w:widowControl/>
                    <w:jc w:val="center"/>
                    <w:textAlignment w:val="center"/>
                    <w:rPr>
                      <w:b/>
                      <w:bCs/>
                      <w:szCs w:val="21"/>
                    </w:rPr>
                  </w:pPr>
                  <w:r>
                    <w:rPr>
                      <w:b/>
                      <w:bCs/>
                      <w:kern w:val="0"/>
                      <w:szCs w:val="21"/>
                      <w:lang w:bidi="ar"/>
                    </w:rPr>
                    <w:t xml:space="preserve">筑物插入损失 </w:t>
                  </w:r>
                  <w:r>
                    <w:rPr>
                      <w:rStyle w:val="165"/>
                      <w:color w:val="auto"/>
                      <w:lang w:bidi="ar"/>
                    </w:rPr>
                    <w:t>/ dB(A</w:t>
                  </w:r>
                  <w:r>
                    <w:rPr>
                      <w:kern w:val="0"/>
                      <w:szCs w:val="21"/>
                      <w:lang w:bidi="ar"/>
                    </w:rPr>
                    <w:t>)</w:t>
                  </w:r>
                </w:p>
              </w:tc>
              <w:tc>
                <w:tcPr>
                  <w:tcW w:w="1915" w:type="dxa"/>
                  <w:gridSpan w:val="2"/>
                  <w:vAlign w:val="center"/>
                </w:tcPr>
                <w:p>
                  <w:pPr>
                    <w:widowControl/>
                    <w:jc w:val="center"/>
                    <w:textAlignment w:val="center"/>
                    <w:rPr>
                      <w:b/>
                      <w:bCs/>
                      <w:szCs w:val="21"/>
                    </w:rPr>
                  </w:pPr>
                  <w:r>
                    <w:rPr>
                      <w:b/>
                      <w:bCs/>
                      <w:kern w:val="0"/>
                      <w:szCs w:val="21"/>
                      <w:lang w:bidi="ar"/>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85" w:type="dxa"/>
                  <w:vMerge w:val="continue"/>
                  <w:vAlign w:val="center"/>
                </w:tcPr>
                <w:p>
                  <w:pPr>
                    <w:jc w:val="center"/>
                    <w:rPr>
                      <w:b/>
                      <w:bCs/>
                      <w:szCs w:val="21"/>
                    </w:rPr>
                  </w:pPr>
                </w:p>
              </w:tc>
              <w:tc>
                <w:tcPr>
                  <w:tcW w:w="719" w:type="dxa"/>
                  <w:vMerge w:val="continue"/>
                  <w:vAlign w:val="center"/>
                </w:tcPr>
                <w:p>
                  <w:pPr>
                    <w:jc w:val="center"/>
                    <w:rPr>
                      <w:b/>
                      <w:bCs/>
                      <w:szCs w:val="21"/>
                    </w:rPr>
                  </w:pPr>
                </w:p>
              </w:tc>
              <w:tc>
                <w:tcPr>
                  <w:tcW w:w="1985" w:type="dxa"/>
                  <w:vMerge w:val="continue"/>
                  <w:vAlign w:val="center"/>
                </w:tcPr>
                <w:p>
                  <w:pPr>
                    <w:jc w:val="center"/>
                    <w:rPr>
                      <w:b/>
                      <w:bCs/>
                      <w:szCs w:val="21"/>
                    </w:rPr>
                  </w:pPr>
                </w:p>
              </w:tc>
              <w:tc>
                <w:tcPr>
                  <w:tcW w:w="970" w:type="dxa"/>
                  <w:vAlign w:val="center"/>
                </w:tcPr>
                <w:p>
                  <w:pPr>
                    <w:widowControl/>
                    <w:jc w:val="center"/>
                    <w:textAlignment w:val="center"/>
                    <w:rPr>
                      <w:b/>
                      <w:bCs/>
                      <w:szCs w:val="21"/>
                    </w:rPr>
                  </w:pPr>
                  <w:r>
                    <w:rPr>
                      <w:b/>
                      <w:bCs/>
                      <w:kern w:val="0"/>
                      <w:szCs w:val="21"/>
                      <w:lang w:bidi="ar"/>
                    </w:rPr>
                    <w:t>功率级/dB(A)</w:t>
                  </w:r>
                </w:p>
              </w:tc>
              <w:tc>
                <w:tcPr>
                  <w:tcW w:w="852" w:type="dxa"/>
                  <w:vMerge w:val="continue"/>
                  <w:vAlign w:val="center"/>
                </w:tcPr>
                <w:p>
                  <w:pPr>
                    <w:jc w:val="center"/>
                    <w:rPr>
                      <w:b/>
                      <w:bCs/>
                      <w:szCs w:val="21"/>
                    </w:rPr>
                  </w:pPr>
                </w:p>
              </w:tc>
              <w:tc>
                <w:tcPr>
                  <w:tcW w:w="735" w:type="dxa"/>
                  <w:vAlign w:val="center"/>
                </w:tcPr>
                <w:p>
                  <w:pPr>
                    <w:widowControl/>
                    <w:jc w:val="center"/>
                    <w:textAlignment w:val="center"/>
                    <w:rPr>
                      <w:szCs w:val="21"/>
                    </w:rPr>
                  </w:pPr>
                  <w:r>
                    <w:rPr>
                      <w:kern w:val="0"/>
                      <w:szCs w:val="21"/>
                      <w:lang w:bidi="ar"/>
                    </w:rPr>
                    <w:t>X</w:t>
                  </w:r>
                </w:p>
              </w:tc>
              <w:tc>
                <w:tcPr>
                  <w:tcW w:w="735" w:type="dxa"/>
                  <w:vAlign w:val="center"/>
                </w:tcPr>
                <w:p>
                  <w:pPr>
                    <w:widowControl/>
                    <w:jc w:val="center"/>
                    <w:textAlignment w:val="center"/>
                    <w:rPr>
                      <w:szCs w:val="21"/>
                    </w:rPr>
                  </w:pPr>
                  <w:r>
                    <w:rPr>
                      <w:kern w:val="0"/>
                      <w:szCs w:val="21"/>
                      <w:lang w:bidi="ar"/>
                    </w:rPr>
                    <w:t>Y</w:t>
                  </w:r>
                </w:p>
              </w:tc>
              <w:tc>
                <w:tcPr>
                  <w:tcW w:w="485" w:type="dxa"/>
                  <w:vAlign w:val="center"/>
                </w:tcPr>
                <w:p>
                  <w:pPr>
                    <w:widowControl/>
                    <w:jc w:val="center"/>
                    <w:textAlignment w:val="center"/>
                    <w:rPr>
                      <w:szCs w:val="21"/>
                    </w:rPr>
                  </w:pPr>
                  <w:r>
                    <w:rPr>
                      <w:kern w:val="0"/>
                      <w:szCs w:val="21"/>
                      <w:lang w:bidi="ar"/>
                    </w:rPr>
                    <w:t>Z</w:t>
                  </w:r>
                </w:p>
              </w:tc>
              <w:tc>
                <w:tcPr>
                  <w:tcW w:w="922" w:type="dxa"/>
                  <w:vMerge w:val="continue"/>
                  <w:vAlign w:val="center"/>
                </w:tcPr>
                <w:p>
                  <w:pPr>
                    <w:jc w:val="center"/>
                    <w:rPr>
                      <w:b/>
                      <w:bCs/>
                      <w:szCs w:val="21"/>
                    </w:rPr>
                  </w:pPr>
                </w:p>
              </w:tc>
              <w:tc>
                <w:tcPr>
                  <w:tcW w:w="1063" w:type="dxa"/>
                  <w:vMerge w:val="continue"/>
                  <w:vAlign w:val="center"/>
                </w:tcPr>
                <w:p>
                  <w:pPr>
                    <w:jc w:val="center"/>
                    <w:rPr>
                      <w:b/>
                      <w:bCs/>
                      <w:szCs w:val="21"/>
                    </w:rPr>
                  </w:pPr>
                </w:p>
              </w:tc>
              <w:tc>
                <w:tcPr>
                  <w:tcW w:w="485" w:type="dxa"/>
                  <w:vMerge w:val="continue"/>
                  <w:vAlign w:val="center"/>
                </w:tcPr>
                <w:p>
                  <w:pPr>
                    <w:jc w:val="center"/>
                    <w:rPr>
                      <w:b/>
                      <w:bCs/>
                      <w:szCs w:val="21"/>
                    </w:rPr>
                  </w:pPr>
                </w:p>
              </w:tc>
              <w:tc>
                <w:tcPr>
                  <w:tcW w:w="875" w:type="dxa"/>
                  <w:vMerge w:val="continue"/>
                  <w:vAlign w:val="center"/>
                </w:tcPr>
                <w:p>
                  <w:pPr>
                    <w:jc w:val="center"/>
                    <w:rPr>
                      <w:b/>
                      <w:bCs/>
                      <w:szCs w:val="21"/>
                    </w:rPr>
                  </w:pPr>
                </w:p>
              </w:tc>
              <w:tc>
                <w:tcPr>
                  <w:tcW w:w="1032" w:type="dxa"/>
                  <w:vAlign w:val="center"/>
                </w:tcPr>
                <w:p>
                  <w:pPr>
                    <w:widowControl/>
                    <w:jc w:val="center"/>
                    <w:textAlignment w:val="center"/>
                    <w:rPr>
                      <w:szCs w:val="21"/>
                    </w:rPr>
                  </w:pPr>
                  <w:r>
                    <w:rPr>
                      <w:kern w:val="0"/>
                      <w:szCs w:val="21"/>
                      <w:lang w:bidi="ar"/>
                    </w:rPr>
                    <w:t>声压级/dB(A)</w:t>
                  </w:r>
                </w:p>
              </w:tc>
              <w:tc>
                <w:tcPr>
                  <w:tcW w:w="883" w:type="dxa"/>
                  <w:vAlign w:val="center"/>
                </w:tcPr>
                <w:p>
                  <w:pPr>
                    <w:widowControl/>
                    <w:jc w:val="center"/>
                    <w:textAlignment w:val="center"/>
                    <w:rPr>
                      <w:szCs w:val="21"/>
                    </w:rPr>
                  </w:pPr>
                  <w:r>
                    <w:rPr>
                      <w:kern w:val="0"/>
                      <w:szCs w:val="21"/>
                      <w:lang w:bidi="ar"/>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85" w:type="dxa"/>
                  <w:vAlign w:val="center"/>
                </w:tcPr>
                <w:p>
                  <w:pPr>
                    <w:widowControl/>
                    <w:jc w:val="center"/>
                    <w:textAlignment w:val="center"/>
                    <w:rPr>
                      <w:szCs w:val="21"/>
                    </w:rPr>
                  </w:pPr>
                  <w:r>
                    <w:rPr>
                      <w:kern w:val="0"/>
                      <w:szCs w:val="21"/>
                      <w:lang w:bidi="ar"/>
                    </w:rPr>
                    <w:t>1</w:t>
                  </w:r>
                </w:p>
              </w:tc>
              <w:tc>
                <w:tcPr>
                  <w:tcW w:w="719" w:type="dxa"/>
                  <w:vMerge w:val="restart"/>
                  <w:vAlign w:val="center"/>
                </w:tcPr>
                <w:p>
                  <w:pPr>
                    <w:jc w:val="center"/>
                    <w:rPr>
                      <w:szCs w:val="21"/>
                    </w:rPr>
                  </w:pPr>
                  <w:r>
                    <w:rPr>
                      <w:rFonts w:hint="eastAsia"/>
                      <w:szCs w:val="21"/>
                    </w:rPr>
                    <w:t>3#厂房</w:t>
                  </w:r>
                </w:p>
              </w:tc>
              <w:tc>
                <w:tcPr>
                  <w:tcW w:w="1985" w:type="dxa"/>
                  <w:vAlign w:val="center"/>
                </w:tcPr>
                <w:p>
                  <w:pPr>
                    <w:jc w:val="center"/>
                  </w:pPr>
                  <w:r>
                    <w:t>数控裁板机</w:t>
                  </w:r>
                </w:p>
              </w:tc>
              <w:tc>
                <w:tcPr>
                  <w:tcW w:w="970" w:type="dxa"/>
                  <w:vAlign w:val="center"/>
                </w:tcPr>
                <w:p>
                  <w:pPr>
                    <w:widowControl/>
                    <w:jc w:val="center"/>
                    <w:textAlignment w:val="center"/>
                    <w:rPr>
                      <w:szCs w:val="21"/>
                    </w:rPr>
                  </w:pPr>
                  <w:r>
                    <w:rPr>
                      <w:kern w:val="0"/>
                      <w:szCs w:val="21"/>
                      <w:lang w:bidi="ar"/>
                    </w:rPr>
                    <w:t>85</w:t>
                  </w:r>
                </w:p>
              </w:tc>
              <w:tc>
                <w:tcPr>
                  <w:tcW w:w="852" w:type="dxa"/>
                  <w:vMerge w:val="restart"/>
                  <w:vAlign w:val="center"/>
                </w:tcPr>
                <w:p>
                  <w:pPr>
                    <w:widowControl/>
                    <w:jc w:val="center"/>
                    <w:textAlignment w:val="center"/>
                    <w:rPr>
                      <w:szCs w:val="21"/>
                    </w:rPr>
                  </w:pPr>
                  <w:r>
                    <w:rPr>
                      <w:kern w:val="0"/>
                      <w:szCs w:val="21"/>
                      <w:lang w:bidi="ar"/>
                    </w:rPr>
                    <w:t>减振、隔声</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485" w:type="dxa"/>
                  <w:vMerge w:val="restart"/>
                  <w:vAlign w:val="center"/>
                </w:tcPr>
                <w:p>
                  <w:pPr>
                    <w:widowControl/>
                    <w:jc w:val="center"/>
                    <w:textAlignment w:val="center"/>
                    <w:rPr>
                      <w:szCs w:val="21"/>
                    </w:rPr>
                  </w:pPr>
                  <w:r>
                    <w:rPr>
                      <w:rFonts w:hint="eastAsia"/>
                      <w:kern w:val="0"/>
                      <w:szCs w:val="21"/>
                      <w:lang w:bidi="ar"/>
                    </w:rPr>
                    <w:t>8</w:t>
                  </w:r>
                  <w:r>
                    <w:rPr>
                      <w:kern w:val="0"/>
                      <w:szCs w:val="21"/>
                      <w:lang w:bidi="ar"/>
                    </w:rPr>
                    <w:t>h</w:t>
                  </w: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5" w:type="dxa"/>
                  <w:vAlign w:val="center"/>
                </w:tcPr>
                <w:p>
                  <w:pPr>
                    <w:widowControl/>
                    <w:jc w:val="center"/>
                    <w:textAlignment w:val="center"/>
                    <w:rPr>
                      <w:szCs w:val="21"/>
                    </w:rPr>
                  </w:pPr>
                  <w:r>
                    <w:rPr>
                      <w:kern w:val="0"/>
                      <w:szCs w:val="21"/>
                      <w:lang w:bidi="ar"/>
                    </w:rPr>
                    <w:t>2</w:t>
                  </w:r>
                </w:p>
              </w:tc>
              <w:tc>
                <w:tcPr>
                  <w:tcW w:w="719" w:type="dxa"/>
                  <w:vMerge w:val="continue"/>
                  <w:vAlign w:val="center"/>
                </w:tcPr>
                <w:p>
                  <w:pPr>
                    <w:jc w:val="center"/>
                    <w:rPr>
                      <w:szCs w:val="21"/>
                    </w:rPr>
                  </w:pPr>
                </w:p>
              </w:tc>
              <w:tc>
                <w:tcPr>
                  <w:tcW w:w="1985" w:type="dxa"/>
                  <w:noWrap/>
                  <w:vAlign w:val="center"/>
                </w:tcPr>
                <w:p>
                  <w:pPr>
                    <w:jc w:val="center"/>
                  </w:pPr>
                  <w:r>
                    <w:rPr>
                      <w:rFonts w:hint="eastAsia"/>
                    </w:rPr>
                    <w:t>封边机</w:t>
                  </w:r>
                </w:p>
              </w:tc>
              <w:tc>
                <w:tcPr>
                  <w:tcW w:w="970" w:type="dxa"/>
                  <w:vAlign w:val="center"/>
                </w:tcPr>
                <w:p>
                  <w:pPr>
                    <w:widowControl/>
                    <w:jc w:val="center"/>
                    <w:textAlignment w:val="center"/>
                    <w:rPr>
                      <w:szCs w:val="21"/>
                    </w:rPr>
                  </w:pPr>
                  <w:r>
                    <w:rPr>
                      <w:kern w:val="0"/>
                      <w:szCs w:val="21"/>
                      <w:lang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5" w:type="dxa"/>
                  <w:vAlign w:val="center"/>
                </w:tcPr>
                <w:p>
                  <w:pPr>
                    <w:widowControl/>
                    <w:jc w:val="center"/>
                    <w:textAlignment w:val="center"/>
                    <w:rPr>
                      <w:szCs w:val="21"/>
                    </w:rPr>
                  </w:pPr>
                  <w:r>
                    <w:rPr>
                      <w:kern w:val="0"/>
                      <w:szCs w:val="21"/>
                      <w:lang w:bidi="ar"/>
                    </w:rPr>
                    <w:t>3</w:t>
                  </w:r>
                </w:p>
              </w:tc>
              <w:tc>
                <w:tcPr>
                  <w:tcW w:w="719" w:type="dxa"/>
                  <w:vMerge w:val="continue"/>
                  <w:vAlign w:val="center"/>
                </w:tcPr>
                <w:p>
                  <w:pPr>
                    <w:jc w:val="center"/>
                    <w:rPr>
                      <w:szCs w:val="21"/>
                    </w:rPr>
                  </w:pPr>
                </w:p>
              </w:tc>
              <w:tc>
                <w:tcPr>
                  <w:tcW w:w="1985" w:type="dxa"/>
                  <w:vAlign w:val="center"/>
                </w:tcPr>
                <w:p>
                  <w:pPr>
                    <w:jc w:val="center"/>
                  </w:pPr>
                  <w:r>
                    <w:t>四边锯</w:t>
                  </w:r>
                </w:p>
              </w:tc>
              <w:tc>
                <w:tcPr>
                  <w:tcW w:w="970" w:type="dxa"/>
                  <w:vAlign w:val="center"/>
                </w:tcPr>
                <w:p>
                  <w:pPr>
                    <w:widowControl/>
                    <w:jc w:val="center"/>
                    <w:textAlignment w:val="center"/>
                    <w:rPr>
                      <w:szCs w:val="21"/>
                    </w:rPr>
                  </w:pPr>
                  <w:r>
                    <w:rPr>
                      <w:kern w:val="0"/>
                      <w:szCs w:val="21"/>
                      <w:lang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55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5" w:type="dxa"/>
                  <w:vAlign w:val="center"/>
                </w:tcPr>
                <w:p>
                  <w:pPr>
                    <w:widowControl/>
                    <w:jc w:val="center"/>
                    <w:textAlignment w:val="center"/>
                    <w:rPr>
                      <w:szCs w:val="21"/>
                    </w:rPr>
                  </w:pPr>
                  <w:r>
                    <w:rPr>
                      <w:kern w:val="0"/>
                      <w:szCs w:val="21"/>
                      <w:lang w:bidi="ar"/>
                    </w:rPr>
                    <w:t>4</w:t>
                  </w:r>
                </w:p>
              </w:tc>
              <w:tc>
                <w:tcPr>
                  <w:tcW w:w="719" w:type="dxa"/>
                  <w:vMerge w:val="continue"/>
                  <w:vAlign w:val="center"/>
                </w:tcPr>
                <w:p>
                  <w:pPr>
                    <w:jc w:val="center"/>
                    <w:rPr>
                      <w:szCs w:val="21"/>
                    </w:rPr>
                  </w:pPr>
                </w:p>
              </w:tc>
              <w:tc>
                <w:tcPr>
                  <w:tcW w:w="1985" w:type="dxa"/>
                  <w:vAlign w:val="center"/>
                </w:tcPr>
                <w:p>
                  <w:pPr>
                    <w:jc w:val="center"/>
                  </w:pPr>
                  <w:r>
                    <w:t>数控门锁合页机</w:t>
                  </w:r>
                </w:p>
              </w:tc>
              <w:tc>
                <w:tcPr>
                  <w:tcW w:w="970" w:type="dxa"/>
                  <w:vAlign w:val="center"/>
                </w:tcPr>
                <w:p>
                  <w:pPr>
                    <w:widowControl/>
                    <w:jc w:val="center"/>
                    <w:textAlignment w:val="center"/>
                    <w:rPr>
                      <w:szCs w:val="21"/>
                    </w:rPr>
                  </w:pPr>
                  <w:r>
                    <w:rPr>
                      <w:kern w:val="0"/>
                      <w:szCs w:val="21"/>
                      <w:lang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55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5" w:type="dxa"/>
                  <w:vAlign w:val="center"/>
                </w:tcPr>
                <w:p>
                  <w:pPr>
                    <w:widowControl/>
                    <w:jc w:val="center"/>
                    <w:textAlignment w:val="center"/>
                    <w:rPr>
                      <w:szCs w:val="21"/>
                    </w:rPr>
                  </w:pPr>
                  <w:r>
                    <w:rPr>
                      <w:kern w:val="0"/>
                      <w:szCs w:val="21"/>
                      <w:lang w:bidi="ar"/>
                    </w:rPr>
                    <w:t>5</w:t>
                  </w:r>
                </w:p>
              </w:tc>
              <w:tc>
                <w:tcPr>
                  <w:tcW w:w="719" w:type="dxa"/>
                  <w:vMerge w:val="continue"/>
                  <w:vAlign w:val="center"/>
                </w:tcPr>
                <w:p>
                  <w:pPr>
                    <w:jc w:val="center"/>
                    <w:rPr>
                      <w:szCs w:val="21"/>
                    </w:rPr>
                  </w:pPr>
                </w:p>
              </w:tc>
              <w:tc>
                <w:tcPr>
                  <w:tcW w:w="1985" w:type="dxa"/>
                  <w:vAlign w:val="center"/>
                </w:tcPr>
                <w:p>
                  <w:pPr>
                    <w:jc w:val="center"/>
                  </w:pPr>
                  <w:r>
                    <w:rPr>
                      <w:rFonts w:hint="eastAsia"/>
                    </w:rPr>
                    <w:t>雕刻机</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65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5" w:type="dxa"/>
                  <w:vAlign w:val="center"/>
                </w:tcPr>
                <w:p>
                  <w:pPr>
                    <w:widowControl/>
                    <w:jc w:val="center"/>
                    <w:textAlignment w:val="center"/>
                    <w:rPr>
                      <w:szCs w:val="21"/>
                    </w:rPr>
                  </w:pPr>
                  <w:r>
                    <w:rPr>
                      <w:kern w:val="0"/>
                      <w:szCs w:val="21"/>
                      <w:lang w:bidi="ar"/>
                    </w:rPr>
                    <w:t>6</w:t>
                  </w:r>
                </w:p>
              </w:tc>
              <w:tc>
                <w:tcPr>
                  <w:tcW w:w="719" w:type="dxa"/>
                  <w:vMerge w:val="continue"/>
                  <w:vAlign w:val="center"/>
                </w:tcPr>
                <w:p>
                  <w:pPr>
                    <w:jc w:val="center"/>
                    <w:rPr>
                      <w:szCs w:val="21"/>
                    </w:rPr>
                  </w:pPr>
                </w:p>
              </w:tc>
              <w:tc>
                <w:tcPr>
                  <w:tcW w:w="1985" w:type="dxa"/>
                  <w:vAlign w:val="center"/>
                </w:tcPr>
                <w:p>
                  <w:pPr>
                    <w:jc w:val="center"/>
                  </w:pPr>
                  <w:r>
                    <w:t>万能摇臂式圆锯机</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62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41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5" w:type="dxa"/>
                  <w:vAlign w:val="center"/>
                </w:tcPr>
                <w:p>
                  <w:pPr>
                    <w:widowControl/>
                    <w:jc w:val="center"/>
                    <w:textAlignment w:val="center"/>
                    <w:rPr>
                      <w:szCs w:val="21"/>
                    </w:rPr>
                  </w:pPr>
                  <w:r>
                    <w:rPr>
                      <w:kern w:val="0"/>
                      <w:szCs w:val="21"/>
                      <w:lang w:bidi="ar"/>
                    </w:rPr>
                    <w:t>7</w:t>
                  </w:r>
                </w:p>
              </w:tc>
              <w:tc>
                <w:tcPr>
                  <w:tcW w:w="719" w:type="dxa"/>
                  <w:vMerge w:val="continue"/>
                  <w:vAlign w:val="center"/>
                </w:tcPr>
                <w:p>
                  <w:pPr>
                    <w:jc w:val="center"/>
                    <w:rPr>
                      <w:szCs w:val="21"/>
                    </w:rPr>
                  </w:pPr>
                </w:p>
              </w:tc>
              <w:tc>
                <w:tcPr>
                  <w:tcW w:w="1985" w:type="dxa"/>
                  <w:vAlign w:val="center"/>
                </w:tcPr>
                <w:p>
                  <w:pPr>
                    <w:jc w:val="center"/>
                  </w:pPr>
                  <w:r>
                    <w:rPr>
                      <w:rFonts w:hint="eastAsia"/>
                    </w:rPr>
                    <w:t>推台锯</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65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5" w:type="dxa"/>
                  <w:vAlign w:val="center"/>
                </w:tcPr>
                <w:p>
                  <w:pPr>
                    <w:widowControl/>
                    <w:jc w:val="center"/>
                    <w:textAlignment w:val="center"/>
                    <w:rPr>
                      <w:szCs w:val="21"/>
                    </w:rPr>
                  </w:pPr>
                  <w:r>
                    <w:rPr>
                      <w:kern w:val="0"/>
                      <w:szCs w:val="21"/>
                      <w:lang w:bidi="ar"/>
                    </w:rPr>
                    <w:t>8</w:t>
                  </w:r>
                </w:p>
              </w:tc>
              <w:tc>
                <w:tcPr>
                  <w:tcW w:w="719" w:type="dxa"/>
                  <w:vMerge w:val="continue"/>
                  <w:vAlign w:val="center"/>
                </w:tcPr>
                <w:p>
                  <w:pPr>
                    <w:jc w:val="center"/>
                    <w:rPr>
                      <w:szCs w:val="21"/>
                    </w:rPr>
                  </w:pPr>
                </w:p>
              </w:tc>
              <w:tc>
                <w:tcPr>
                  <w:tcW w:w="1985" w:type="dxa"/>
                  <w:vAlign w:val="center"/>
                </w:tcPr>
                <w:p>
                  <w:pPr>
                    <w:jc w:val="center"/>
                  </w:pPr>
                  <w:r>
                    <w:rPr>
                      <w:rFonts w:hint="eastAsia"/>
                    </w:rPr>
                    <w:t>冷压机</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62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41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85" w:type="dxa"/>
                  <w:vAlign w:val="center"/>
                </w:tcPr>
                <w:p>
                  <w:pPr>
                    <w:widowControl/>
                    <w:jc w:val="center"/>
                    <w:textAlignment w:val="center"/>
                    <w:rPr>
                      <w:szCs w:val="21"/>
                    </w:rPr>
                  </w:pPr>
                  <w:r>
                    <w:rPr>
                      <w:kern w:val="0"/>
                      <w:szCs w:val="21"/>
                      <w:lang w:bidi="ar"/>
                    </w:rPr>
                    <w:t>9</w:t>
                  </w:r>
                </w:p>
              </w:tc>
              <w:tc>
                <w:tcPr>
                  <w:tcW w:w="719" w:type="dxa"/>
                  <w:vMerge w:val="continue"/>
                  <w:vAlign w:val="center"/>
                </w:tcPr>
                <w:p>
                  <w:pPr>
                    <w:jc w:val="center"/>
                    <w:rPr>
                      <w:szCs w:val="21"/>
                    </w:rPr>
                  </w:pPr>
                </w:p>
              </w:tc>
              <w:tc>
                <w:tcPr>
                  <w:tcW w:w="1985" w:type="dxa"/>
                  <w:vAlign w:val="center"/>
                </w:tcPr>
                <w:p>
                  <w:pPr>
                    <w:jc w:val="center"/>
                  </w:pPr>
                  <w:r>
                    <w:rPr>
                      <w:rFonts w:hint="eastAsia"/>
                    </w:rPr>
                    <w:t>热压机</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62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41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5" w:type="dxa"/>
                  <w:vAlign w:val="center"/>
                </w:tcPr>
                <w:p>
                  <w:pPr>
                    <w:widowControl/>
                    <w:jc w:val="center"/>
                    <w:textAlignment w:val="center"/>
                    <w:rPr>
                      <w:szCs w:val="21"/>
                    </w:rPr>
                  </w:pPr>
                  <w:r>
                    <w:rPr>
                      <w:kern w:val="0"/>
                      <w:szCs w:val="21"/>
                      <w:lang w:bidi="ar"/>
                    </w:rPr>
                    <w:t>10</w:t>
                  </w:r>
                </w:p>
              </w:tc>
              <w:tc>
                <w:tcPr>
                  <w:tcW w:w="719" w:type="dxa"/>
                  <w:vMerge w:val="continue"/>
                  <w:vAlign w:val="center"/>
                </w:tcPr>
                <w:p>
                  <w:pPr>
                    <w:jc w:val="center"/>
                    <w:rPr>
                      <w:szCs w:val="21"/>
                    </w:rPr>
                  </w:pPr>
                </w:p>
              </w:tc>
              <w:tc>
                <w:tcPr>
                  <w:tcW w:w="1985" w:type="dxa"/>
                  <w:vAlign w:val="center"/>
                </w:tcPr>
                <w:p>
                  <w:pPr>
                    <w:jc w:val="center"/>
                  </w:pPr>
                  <w:r>
                    <w:rPr>
                      <w:rFonts w:hint="eastAsia"/>
                    </w:rPr>
                    <w:t>双头铣</w:t>
                  </w:r>
                </w:p>
              </w:tc>
              <w:tc>
                <w:tcPr>
                  <w:tcW w:w="970" w:type="dxa"/>
                  <w:vAlign w:val="center"/>
                </w:tcPr>
                <w:p>
                  <w:pPr>
                    <w:widowControl/>
                    <w:jc w:val="center"/>
                    <w:textAlignment w:val="center"/>
                    <w:rPr>
                      <w:szCs w:val="21"/>
                    </w:rPr>
                  </w:pPr>
                  <w:r>
                    <w:rPr>
                      <w:kern w:val="0"/>
                      <w:szCs w:val="21"/>
                      <w:lang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65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5" w:type="dxa"/>
                  <w:vAlign w:val="center"/>
                </w:tcPr>
                <w:p>
                  <w:pPr>
                    <w:widowControl/>
                    <w:jc w:val="center"/>
                    <w:textAlignment w:val="center"/>
                    <w:rPr>
                      <w:szCs w:val="21"/>
                    </w:rPr>
                  </w:pPr>
                  <w:r>
                    <w:rPr>
                      <w:kern w:val="0"/>
                      <w:szCs w:val="21"/>
                      <w:lang w:bidi="ar"/>
                    </w:rPr>
                    <w:t>11</w:t>
                  </w:r>
                </w:p>
              </w:tc>
              <w:tc>
                <w:tcPr>
                  <w:tcW w:w="719" w:type="dxa"/>
                  <w:vMerge w:val="continue"/>
                  <w:vAlign w:val="center"/>
                </w:tcPr>
                <w:p>
                  <w:pPr>
                    <w:jc w:val="center"/>
                    <w:rPr>
                      <w:szCs w:val="21"/>
                    </w:rPr>
                  </w:pPr>
                </w:p>
              </w:tc>
              <w:tc>
                <w:tcPr>
                  <w:tcW w:w="1985" w:type="dxa"/>
                  <w:noWrap/>
                  <w:vAlign w:val="center"/>
                </w:tcPr>
                <w:p>
                  <w:pPr>
                    <w:jc w:val="center"/>
                  </w:pPr>
                  <w:r>
                    <w:rPr>
                      <w:rFonts w:hint="eastAsia"/>
                    </w:rPr>
                    <w:t>四面刨</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65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5" w:type="dxa"/>
                  <w:vAlign w:val="center"/>
                </w:tcPr>
                <w:p>
                  <w:pPr>
                    <w:widowControl/>
                    <w:jc w:val="center"/>
                    <w:textAlignment w:val="center"/>
                    <w:rPr>
                      <w:szCs w:val="21"/>
                    </w:rPr>
                  </w:pPr>
                  <w:r>
                    <w:rPr>
                      <w:kern w:val="0"/>
                      <w:szCs w:val="21"/>
                      <w:lang w:bidi="ar"/>
                    </w:rPr>
                    <w:t>12</w:t>
                  </w:r>
                </w:p>
              </w:tc>
              <w:tc>
                <w:tcPr>
                  <w:tcW w:w="719" w:type="dxa"/>
                  <w:vMerge w:val="continue"/>
                  <w:vAlign w:val="center"/>
                </w:tcPr>
                <w:p>
                  <w:pPr>
                    <w:jc w:val="center"/>
                    <w:rPr>
                      <w:szCs w:val="21"/>
                    </w:rPr>
                  </w:pPr>
                </w:p>
              </w:tc>
              <w:tc>
                <w:tcPr>
                  <w:tcW w:w="1985" w:type="dxa"/>
                  <w:noWrap/>
                  <w:vAlign w:val="center"/>
                </w:tcPr>
                <w:p>
                  <w:pPr>
                    <w:jc w:val="center"/>
                  </w:pPr>
                  <w:r>
                    <w:rPr>
                      <w:rFonts w:hint="eastAsia"/>
                    </w:rPr>
                    <w:t>砂光机</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5" w:type="dxa"/>
                  <w:vAlign w:val="center"/>
                </w:tcPr>
                <w:p>
                  <w:pPr>
                    <w:widowControl/>
                    <w:jc w:val="center"/>
                    <w:textAlignment w:val="center"/>
                    <w:rPr>
                      <w:szCs w:val="21"/>
                    </w:rPr>
                  </w:pPr>
                  <w:r>
                    <w:rPr>
                      <w:kern w:val="0"/>
                      <w:szCs w:val="21"/>
                      <w:lang w:bidi="ar"/>
                    </w:rPr>
                    <w:t>13</w:t>
                  </w:r>
                </w:p>
              </w:tc>
              <w:tc>
                <w:tcPr>
                  <w:tcW w:w="719" w:type="dxa"/>
                  <w:vMerge w:val="continue"/>
                  <w:vAlign w:val="center"/>
                </w:tcPr>
                <w:p>
                  <w:pPr>
                    <w:jc w:val="center"/>
                    <w:rPr>
                      <w:szCs w:val="21"/>
                    </w:rPr>
                  </w:pPr>
                </w:p>
              </w:tc>
              <w:tc>
                <w:tcPr>
                  <w:tcW w:w="1985" w:type="dxa"/>
                  <w:noWrap/>
                  <w:vAlign w:val="center"/>
                </w:tcPr>
                <w:p>
                  <w:pPr>
                    <w:jc w:val="center"/>
                  </w:pPr>
                  <w:r>
                    <w:rPr>
                      <w:rFonts w:hint="eastAsia"/>
                    </w:rPr>
                    <w:t>门框五金机</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68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47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85" w:type="dxa"/>
                  <w:vAlign w:val="center"/>
                </w:tcPr>
                <w:p>
                  <w:pPr>
                    <w:widowControl/>
                    <w:jc w:val="center"/>
                    <w:textAlignment w:val="center"/>
                    <w:rPr>
                      <w:szCs w:val="21"/>
                    </w:rPr>
                  </w:pPr>
                  <w:r>
                    <w:rPr>
                      <w:kern w:val="0"/>
                      <w:szCs w:val="21"/>
                      <w:lang w:bidi="ar"/>
                    </w:rPr>
                    <w:t>14</w:t>
                  </w:r>
                </w:p>
              </w:tc>
              <w:tc>
                <w:tcPr>
                  <w:tcW w:w="719" w:type="dxa"/>
                  <w:vMerge w:val="restart"/>
                  <w:vAlign w:val="center"/>
                </w:tcPr>
                <w:p>
                  <w:pPr>
                    <w:jc w:val="center"/>
                    <w:rPr>
                      <w:szCs w:val="21"/>
                    </w:rPr>
                  </w:pPr>
                  <w:r>
                    <w:rPr>
                      <w:rFonts w:hint="eastAsia"/>
                      <w:szCs w:val="21"/>
                    </w:rPr>
                    <w:t>5#厂房</w:t>
                  </w:r>
                </w:p>
              </w:tc>
              <w:tc>
                <w:tcPr>
                  <w:tcW w:w="1985" w:type="dxa"/>
                  <w:noWrap/>
                  <w:vAlign w:val="center"/>
                </w:tcPr>
                <w:p>
                  <w:pPr>
                    <w:jc w:val="center"/>
                    <w:rPr>
                      <w:rFonts w:asciiTheme="minorHAnsi" w:hAnsiTheme="minorHAnsi" w:eastAsiaTheme="minorEastAsia" w:cstheme="minorBidi"/>
                    </w:rPr>
                  </w:pPr>
                  <w:r>
                    <w:rPr>
                      <w:rFonts w:hint="eastAsia"/>
                    </w:rPr>
                    <w:t>打磨房</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85</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eastAsia" w:eastAsia="宋体"/>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5" w:type="dxa"/>
                  <w:vAlign w:val="center"/>
                </w:tcPr>
                <w:p>
                  <w:pPr>
                    <w:widowControl/>
                    <w:jc w:val="center"/>
                    <w:textAlignment w:val="center"/>
                    <w:rPr>
                      <w:szCs w:val="21"/>
                    </w:rPr>
                  </w:pPr>
                  <w:r>
                    <w:rPr>
                      <w:kern w:val="0"/>
                      <w:szCs w:val="21"/>
                      <w:lang w:bidi="ar"/>
                    </w:rPr>
                    <w:t>15</w:t>
                  </w:r>
                </w:p>
              </w:tc>
              <w:tc>
                <w:tcPr>
                  <w:tcW w:w="719" w:type="dxa"/>
                  <w:vMerge w:val="continue"/>
                  <w:vAlign w:val="center"/>
                </w:tcPr>
                <w:p>
                  <w:pPr>
                    <w:jc w:val="center"/>
                    <w:rPr>
                      <w:szCs w:val="21"/>
                    </w:rPr>
                  </w:pPr>
                </w:p>
              </w:tc>
              <w:tc>
                <w:tcPr>
                  <w:tcW w:w="1985" w:type="dxa"/>
                  <w:noWrap/>
                  <w:vAlign w:val="center"/>
                </w:tcPr>
                <w:p>
                  <w:pPr>
                    <w:jc w:val="center"/>
                    <w:rPr>
                      <w:rFonts w:asciiTheme="minorHAnsi" w:hAnsiTheme="minorHAnsi" w:eastAsiaTheme="minorEastAsia" w:cstheme="minorBidi"/>
                    </w:rPr>
                  </w:pPr>
                  <w:r>
                    <w:rPr>
                      <w:rFonts w:hint="eastAsia"/>
                    </w:rPr>
                    <w:t>底油漆喷涂房</w:t>
                  </w:r>
                </w:p>
              </w:tc>
              <w:tc>
                <w:tcPr>
                  <w:tcW w:w="970" w:type="dxa"/>
                  <w:vAlign w:val="center"/>
                </w:tcPr>
                <w:p>
                  <w:pPr>
                    <w:widowControl/>
                    <w:jc w:val="center"/>
                    <w:textAlignment w:val="center"/>
                    <w:rPr>
                      <w:rFonts w:hint="default" w:eastAsia="宋体"/>
                      <w:szCs w:val="21"/>
                      <w:lang w:val="en-US" w:eastAsia="zh-CN"/>
                    </w:rPr>
                  </w:pPr>
                  <w:r>
                    <w:rPr>
                      <w:rFonts w:hint="eastAsia"/>
                      <w:szCs w:val="21"/>
                      <w:lang w:val="en-US" w:eastAsia="zh-CN"/>
                    </w:rPr>
                    <w:t>80</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48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68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47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5" w:type="dxa"/>
                  <w:vAlign w:val="center"/>
                </w:tcPr>
                <w:p>
                  <w:pPr>
                    <w:widowControl/>
                    <w:jc w:val="center"/>
                    <w:textAlignment w:val="center"/>
                    <w:rPr>
                      <w:szCs w:val="21"/>
                    </w:rPr>
                  </w:pPr>
                  <w:r>
                    <w:rPr>
                      <w:kern w:val="0"/>
                      <w:szCs w:val="21"/>
                      <w:lang w:bidi="ar"/>
                    </w:rPr>
                    <w:t>16</w:t>
                  </w:r>
                </w:p>
              </w:tc>
              <w:tc>
                <w:tcPr>
                  <w:tcW w:w="719" w:type="dxa"/>
                  <w:vMerge w:val="continue"/>
                  <w:vAlign w:val="center"/>
                </w:tcPr>
                <w:p>
                  <w:pPr>
                    <w:jc w:val="center"/>
                    <w:rPr>
                      <w:szCs w:val="21"/>
                    </w:rPr>
                  </w:pPr>
                </w:p>
              </w:tc>
              <w:tc>
                <w:tcPr>
                  <w:tcW w:w="1985" w:type="dxa"/>
                  <w:noWrap/>
                  <w:vAlign w:val="center"/>
                </w:tcPr>
                <w:p>
                  <w:pPr>
                    <w:jc w:val="center"/>
                    <w:rPr>
                      <w:rFonts w:asciiTheme="minorHAnsi" w:hAnsiTheme="minorHAnsi" w:eastAsiaTheme="minorEastAsia" w:cstheme="minorBidi"/>
                    </w:rPr>
                  </w:pPr>
                  <w:r>
                    <w:rPr>
                      <w:rFonts w:hint="eastAsia"/>
                    </w:rPr>
                    <w:t>面油漆喷涂房</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80</w:t>
                  </w:r>
                </w:p>
              </w:tc>
              <w:tc>
                <w:tcPr>
                  <w:tcW w:w="852" w:type="dxa"/>
                  <w:vMerge w:val="continue"/>
                  <w:vAlign w:val="center"/>
                </w:tcPr>
                <w:p>
                  <w:pPr>
                    <w:jc w:val="cente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485" w:type="dxa"/>
                  <w:vAlign w:val="top"/>
                </w:tcPr>
                <w:p>
                  <w:pPr>
                    <w:keepNext w:val="0"/>
                    <w:keepLines w:val="0"/>
                    <w:widowControl/>
                    <w:suppressLineNumbers w:val="0"/>
                    <w:jc w:val="center"/>
                    <w:textAlignment w:val="top"/>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485" w:type="dxa"/>
                  <w:vMerge w:val="continue"/>
                  <w:vAlign w:val="center"/>
                </w:tcPr>
                <w:p>
                  <w:pPr>
                    <w:jc w:val="cente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883" w:type="dxa"/>
                  <w:vAlign w:val="top"/>
                </w:tcPr>
                <w:p>
                  <w:pPr>
                    <w:keepNext w:val="0"/>
                    <w:keepLines w:val="0"/>
                    <w:widowControl/>
                    <w:suppressLineNumbers w:val="0"/>
                    <w:jc w:val="center"/>
                    <w:textAlignment w:val="top"/>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5" w:type="dxa"/>
                  <w:vAlign w:val="center"/>
                </w:tcPr>
                <w:p>
                  <w:pPr>
                    <w:widowControl/>
                    <w:jc w:val="center"/>
                    <w:textAlignment w:val="center"/>
                    <w:rPr>
                      <w:szCs w:val="21"/>
                    </w:rPr>
                  </w:pPr>
                  <w:r>
                    <w:rPr>
                      <w:kern w:val="0"/>
                      <w:szCs w:val="21"/>
                      <w:lang w:bidi="ar"/>
                    </w:rPr>
                    <w:t>17</w:t>
                  </w:r>
                </w:p>
              </w:tc>
              <w:tc>
                <w:tcPr>
                  <w:tcW w:w="719" w:type="dxa"/>
                  <w:vMerge w:val="continue"/>
                  <w:noWrap/>
                  <w:vAlign w:val="center"/>
                </w:tcPr>
                <w:p>
                  <w:pPr>
                    <w:rPr>
                      <w:szCs w:val="21"/>
                    </w:rPr>
                  </w:pPr>
                </w:p>
              </w:tc>
              <w:tc>
                <w:tcPr>
                  <w:tcW w:w="1985" w:type="dxa"/>
                  <w:noWrap/>
                  <w:vAlign w:val="center"/>
                </w:tcPr>
                <w:p>
                  <w:pPr>
                    <w:jc w:val="center"/>
                    <w:rPr>
                      <w:rFonts w:asciiTheme="minorHAnsi" w:hAnsiTheme="minorHAnsi" w:eastAsiaTheme="minorEastAsia" w:cstheme="minorBidi"/>
                    </w:rPr>
                  </w:pPr>
                  <w:r>
                    <w:rPr>
                      <w:rFonts w:hint="eastAsia"/>
                    </w:rPr>
                    <w:t>面油漆喷涂房</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80</w:t>
                  </w:r>
                </w:p>
              </w:tc>
              <w:tc>
                <w:tcPr>
                  <w:tcW w:w="852" w:type="dxa"/>
                  <w:vMerge w:val="continue"/>
                  <w:noWrap/>
                  <w:vAlign w:val="center"/>
                </w:tcPr>
                <w:p>
                  <w:pPr>
                    <w:rPr>
                      <w:szCs w:val="21"/>
                    </w:rPr>
                  </w:pP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485" w:type="dxa"/>
                  <w:vAlign w:val="center"/>
                </w:tcPr>
                <w:p>
                  <w:pPr>
                    <w:keepNext w:val="0"/>
                    <w:keepLines w:val="0"/>
                    <w:widowControl/>
                    <w:suppressLineNumbers w:val="0"/>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485" w:type="dxa"/>
                  <w:vMerge w:val="continue"/>
                  <w:noWrap/>
                  <w:vAlign w:val="center"/>
                </w:tcPr>
                <w:p>
                  <w:pP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5" w:type="dxa"/>
                  <w:vAlign w:val="center"/>
                </w:tcPr>
                <w:p>
                  <w:pPr>
                    <w:widowControl/>
                    <w:jc w:val="center"/>
                    <w:textAlignment w:val="center"/>
                    <w:rPr>
                      <w:szCs w:val="21"/>
                    </w:rPr>
                  </w:pPr>
                  <w:r>
                    <w:rPr>
                      <w:kern w:val="0"/>
                      <w:szCs w:val="21"/>
                      <w:lang w:bidi="ar"/>
                    </w:rPr>
                    <w:t>18</w:t>
                  </w:r>
                </w:p>
              </w:tc>
              <w:tc>
                <w:tcPr>
                  <w:tcW w:w="719" w:type="dxa"/>
                  <w:vMerge w:val="continue"/>
                  <w:noWrap/>
                  <w:vAlign w:val="center"/>
                </w:tcPr>
                <w:p>
                  <w:pPr>
                    <w:rPr>
                      <w:szCs w:val="21"/>
                    </w:rPr>
                  </w:pPr>
                </w:p>
              </w:tc>
              <w:tc>
                <w:tcPr>
                  <w:tcW w:w="1985" w:type="dxa"/>
                  <w:noWrap/>
                  <w:vAlign w:val="center"/>
                </w:tcPr>
                <w:p>
                  <w:pPr>
                    <w:jc w:val="center"/>
                    <w:rPr>
                      <w:rFonts w:asciiTheme="minorHAnsi" w:hAnsiTheme="minorHAnsi" w:eastAsiaTheme="minorEastAsia" w:cstheme="minorBidi"/>
                    </w:rPr>
                  </w:pPr>
                  <w:r>
                    <w:rPr>
                      <w:rFonts w:hint="eastAsia"/>
                    </w:rPr>
                    <w:t>底油漆喷涂晾干房</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80</w:t>
                  </w:r>
                </w:p>
              </w:tc>
              <w:tc>
                <w:tcPr>
                  <w:tcW w:w="852" w:type="dxa"/>
                  <w:vMerge w:val="continue"/>
                  <w:noWrap/>
                  <w:vAlign w:val="center"/>
                </w:tcPr>
                <w:p>
                  <w:pPr>
                    <w:rPr>
                      <w:szCs w:val="21"/>
                    </w:rPr>
                  </w:pPr>
                </w:p>
              </w:tc>
              <w:tc>
                <w:tcPr>
                  <w:tcW w:w="73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35"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485" w:type="dxa"/>
                  <w:vAlign w:val="center"/>
                </w:tcPr>
                <w:p>
                  <w:pPr>
                    <w:keepNext w:val="0"/>
                    <w:keepLines w:val="0"/>
                    <w:widowControl/>
                    <w:suppressLineNumbers w:val="0"/>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485" w:type="dxa"/>
                  <w:vMerge w:val="continue"/>
                  <w:noWrap/>
                  <w:vAlign w:val="center"/>
                </w:tcPr>
                <w:p>
                  <w:pP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883" w:type="dxa"/>
                  <w:vAlign w:val="top"/>
                </w:tcPr>
                <w:p>
                  <w:pPr>
                    <w:keepNext w:val="0"/>
                    <w:keepLines w:val="0"/>
                    <w:widowControl/>
                    <w:suppressLineNumbers w:val="0"/>
                    <w:jc w:val="center"/>
                    <w:textAlignment w:val="top"/>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5" w:type="dxa"/>
                  <w:vAlign w:val="center"/>
                </w:tcPr>
                <w:p>
                  <w:pPr>
                    <w:widowControl/>
                    <w:jc w:val="center"/>
                    <w:textAlignment w:val="center"/>
                    <w:rPr>
                      <w:szCs w:val="21"/>
                    </w:rPr>
                  </w:pPr>
                  <w:r>
                    <w:rPr>
                      <w:kern w:val="0"/>
                      <w:szCs w:val="21"/>
                      <w:lang w:bidi="ar"/>
                    </w:rPr>
                    <w:t>19</w:t>
                  </w:r>
                </w:p>
              </w:tc>
              <w:tc>
                <w:tcPr>
                  <w:tcW w:w="719" w:type="dxa"/>
                  <w:vMerge w:val="continue"/>
                  <w:noWrap/>
                  <w:vAlign w:val="center"/>
                </w:tcPr>
                <w:p>
                  <w:pPr>
                    <w:rPr>
                      <w:szCs w:val="21"/>
                    </w:rPr>
                  </w:pPr>
                </w:p>
              </w:tc>
              <w:tc>
                <w:tcPr>
                  <w:tcW w:w="1985" w:type="dxa"/>
                  <w:noWrap/>
                  <w:vAlign w:val="center"/>
                </w:tcPr>
                <w:p>
                  <w:pPr>
                    <w:jc w:val="center"/>
                    <w:rPr>
                      <w:rFonts w:asciiTheme="minorHAnsi" w:hAnsiTheme="minorHAnsi" w:eastAsiaTheme="minorEastAsia" w:cstheme="minorBidi"/>
                    </w:rPr>
                  </w:pPr>
                  <w:r>
                    <w:rPr>
                      <w:rFonts w:hint="eastAsia"/>
                    </w:rPr>
                    <w:t>面油漆喷涂晾干房</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80</w:t>
                  </w:r>
                </w:p>
              </w:tc>
              <w:tc>
                <w:tcPr>
                  <w:tcW w:w="852" w:type="dxa"/>
                  <w:vMerge w:val="continue"/>
                  <w:noWrap/>
                  <w:vAlign w:val="center"/>
                </w:tcPr>
                <w:p>
                  <w:pPr>
                    <w:rPr>
                      <w:szCs w:val="21"/>
                    </w:rPr>
                  </w:pPr>
                </w:p>
              </w:tc>
              <w:tc>
                <w:tcPr>
                  <w:tcW w:w="73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3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485" w:type="dxa"/>
                  <w:vAlign w:val="center"/>
                </w:tcPr>
                <w:p>
                  <w:pPr>
                    <w:keepNext w:val="0"/>
                    <w:keepLines w:val="0"/>
                    <w:widowControl/>
                    <w:suppressLineNumbers w:val="0"/>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485" w:type="dxa"/>
                  <w:vMerge w:val="continue"/>
                  <w:noWrap/>
                  <w:vAlign w:val="center"/>
                </w:tcPr>
                <w:p>
                  <w:pP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88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5" w:type="dxa"/>
                  <w:vAlign w:val="center"/>
                </w:tcPr>
                <w:p>
                  <w:pPr>
                    <w:widowControl/>
                    <w:jc w:val="center"/>
                    <w:textAlignment w:val="center"/>
                    <w:rPr>
                      <w:szCs w:val="21"/>
                    </w:rPr>
                  </w:pPr>
                  <w:r>
                    <w:rPr>
                      <w:kern w:val="0"/>
                      <w:szCs w:val="21"/>
                      <w:lang w:bidi="ar"/>
                    </w:rPr>
                    <w:t>20</w:t>
                  </w:r>
                </w:p>
              </w:tc>
              <w:tc>
                <w:tcPr>
                  <w:tcW w:w="719" w:type="dxa"/>
                  <w:vMerge w:val="continue"/>
                  <w:noWrap/>
                  <w:vAlign w:val="center"/>
                </w:tcPr>
                <w:p>
                  <w:pPr>
                    <w:rPr>
                      <w:szCs w:val="21"/>
                    </w:rPr>
                  </w:pPr>
                </w:p>
              </w:tc>
              <w:tc>
                <w:tcPr>
                  <w:tcW w:w="1985" w:type="dxa"/>
                  <w:noWrap/>
                  <w:vAlign w:val="center"/>
                </w:tcPr>
                <w:p>
                  <w:pPr>
                    <w:jc w:val="center"/>
                    <w:rPr>
                      <w:rFonts w:asciiTheme="minorHAnsi" w:hAnsiTheme="minorHAnsi" w:eastAsiaTheme="minorEastAsia" w:cstheme="minorBidi"/>
                    </w:rPr>
                  </w:pPr>
                  <w:r>
                    <w:rPr>
                      <w:rFonts w:hint="eastAsia"/>
                    </w:rPr>
                    <w:t>面油漆喷涂晾干房</w:t>
                  </w:r>
                </w:p>
              </w:tc>
              <w:tc>
                <w:tcPr>
                  <w:tcW w:w="970" w:type="dxa"/>
                  <w:vAlign w:val="center"/>
                </w:tcPr>
                <w:p>
                  <w:pPr>
                    <w:widowControl/>
                    <w:jc w:val="center"/>
                    <w:textAlignment w:val="center"/>
                    <w:rPr>
                      <w:rFonts w:hint="default" w:eastAsia="宋体"/>
                      <w:szCs w:val="21"/>
                      <w:lang w:val="en-US" w:eastAsia="zh-CN"/>
                    </w:rPr>
                  </w:pPr>
                  <w:r>
                    <w:rPr>
                      <w:rFonts w:hint="eastAsia"/>
                      <w:kern w:val="0"/>
                      <w:szCs w:val="21"/>
                      <w:lang w:val="en-US" w:eastAsia="zh-CN" w:bidi="ar"/>
                    </w:rPr>
                    <w:t>80</w:t>
                  </w:r>
                </w:p>
              </w:tc>
              <w:tc>
                <w:tcPr>
                  <w:tcW w:w="852" w:type="dxa"/>
                  <w:vMerge w:val="continue"/>
                  <w:noWrap/>
                  <w:vAlign w:val="center"/>
                </w:tcPr>
                <w:p>
                  <w:pPr>
                    <w:rPr>
                      <w:szCs w:val="21"/>
                    </w:rPr>
                  </w:pPr>
                </w:p>
              </w:tc>
              <w:tc>
                <w:tcPr>
                  <w:tcW w:w="73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73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485" w:type="dxa"/>
                  <w:vAlign w:val="center"/>
                </w:tcPr>
                <w:p>
                  <w:pPr>
                    <w:keepNext w:val="0"/>
                    <w:keepLines w:val="0"/>
                    <w:widowControl/>
                    <w:suppressLineNumbers w:val="0"/>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1</w:t>
                  </w:r>
                </w:p>
              </w:tc>
              <w:tc>
                <w:tcPr>
                  <w:tcW w:w="92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63"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485" w:type="dxa"/>
                  <w:vMerge w:val="continue"/>
                  <w:noWrap/>
                  <w:vAlign w:val="center"/>
                </w:tcPr>
                <w:p>
                  <w:pPr>
                    <w:rPr>
                      <w:szCs w:val="21"/>
                    </w:rPr>
                  </w:pPr>
                </w:p>
              </w:tc>
              <w:tc>
                <w:tcPr>
                  <w:tcW w:w="875"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2"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883" w:type="dxa"/>
                  <w:vAlign w:val="top"/>
                </w:tcPr>
                <w:p>
                  <w:pPr>
                    <w:keepNext w:val="0"/>
                    <w:keepLines w:val="0"/>
                    <w:widowControl/>
                    <w:suppressLineNumbers w:val="0"/>
                    <w:jc w:val="center"/>
                    <w:textAlignment w:val="top"/>
                    <w:rPr>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bl>
          <w:p/>
        </w:tc>
      </w:tr>
    </w:tbl>
    <w:p>
      <w:pPr>
        <w:sectPr>
          <w:pgSz w:w="16840" w:h="11907" w:orient="landscape"/>
          <w:pgMar w:top="1531" w:right="1701" w:bottom="1531" w:left="2127" w:header="851" w:footer="851" w:gutter="0"/>
          <w:cols w:space="720" w:num="1"/>
          <w:docGrid w:linePitch="312" w:charSpace="0"/>
        </w:sectPr>
      </w:pPr>
    </w:p>
    <w:p/>
    <w:p/>
    <w:tbl>
      <w:tblPr>
        <w:tblStyle w:val="32"/>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6" w:hRule="atLeast"/>
          <w:jc w:val="center"/>
        </w:trPr>
        <w:tc>
          <w:tcPr>
            <w:tcW w:w="429" w:type="dxa"/>
            <w:vAlign w:val="center"/>
          </w:tcPr>
          <w:p>
            <w:pPr>
              <w:rPr>
                <w:sz w:val="24"/>
                <w:u w:val="single"/>
              </w:rPr>
            </w:pPr>
            <w:r>
              <w:rPr>
                <w:bCs/>
                <w:sz w:val="24"/>
              </w:rPr>
              <w:t>运营期环境影响和保护措施</w:t>
            </w:r>
          </w:p>
        </w:tc>
        <w:tc>
          <w:tcPr>
            <w:tcW w:w="8479" w:type="dxa"/>
          </w:tcPr>
          <w:p>
            <w:pPr>
              <w:spacing w:line="360" w:lineRule="auto"/>
              <w:rPr>
                <w:b/>
                <w:bCs/>
                <w:sz w:val="24"/>
              </w:rPr>
            </w:pPr>
            <w:r>
              <w:rPr>
                <w:b/>
                <w:bCs/>
                <w:sz w:val="24"/>
              </w:rPr>
              <w:t>3.2、</w:t>
            </w:r>
            <w:r>
              <w:rPr>
                <w:rFonts w:hint="eastAsia"/>
                <w:b/>
                <w:bCs/>
                <w:sz w:val="24"/>
              </w:rPr>
              <w:t>预测</w:t>
            </w:r>
            <w:r>
              <w:rPr>
                <w:b/>
                <w:bCs/>
                <w:sz w:val="24"/>
              </w:rPr>
              <w:t>情况</w:t>
            </w:r>
          </w:p>
          <w:p>
            <w:pPr>
              <w:spacing w:line="360" w:lineRule="auto"/>
              <w:ind w:firstLine="480" w:firstLineChars="200"/>
              <w:rPr>
                <w:bCs/>
                <w:snapToGrid w:val="0"/>
                <w:kern w:val="0"/>
                <w:sz w:val="24"/>
              </w:rPr>
            </w:pPr>
            <w:r>
              <w:rPr>
                <w:bCs/>
                <w:snapToGrid w:val="0"/>
                <w:kern w:val="0"/>
                <w:sz w:val="24"/>
              </w:rPr>
              <w:t>（1）预测方法</w:t>
            </w:r>
          </w:p>
          <w:p>
            <w:pPr>
              <w:spacing w:line="360" w:lineRule="auto"/>
              <w:ind w:firstLine="480" w:firstLineChars="200"/>
              <w:rPr>
                <w:bCs/>
                <w:snapToGrid w:val="0"/>
                <w:kern w:val="0"/>
                <w:sz w:val="24"/>
              </w:rPr>
            </w:pPr>
            <w:r>
              <w:rPr>
                <w:rFonts w:hint="eastAsia"/>
                <w:bCs/>
                <w:snapToGrid w:val="0"/>
                <w:kern w:val="0"/>
                <w:sz w:val="24"/>
              </w:rPr>
              <w:t>根据项目建设内容及《环境影响评价技术导则—声环境》（HJ2.4-2021）的要求，项目环评采用的模型为《环境影响评价技术导则 声环境》(HJ2.4.2021)附录A（规范性附录）户外声传播的衰减和附录B（规范性附录）中“B.1工业噪声预测计算模型”。</w:t>
            </w:r>
          </w:p>
          <w:p>
            <w:pPr>
              <w:widowControl/>
              <w:spacing w:line="360" w:lineRule="auto"/>
              <w:ind w:firstLine="480" w:firstLineChars="200"/>
              <w:rPr>
                <w:sz w:val="24"/>
              </w:rPr>
            </w:pPr>
            <w:r>
              <w:rPr>
                <w:sz w:val="24"/>
              </w:rPr>
              <w:t>（1）噪声预测模式</w:t>
            </w:r>
          </w:p>
          <w:p>
            <w:pPr>
              <w:pStyle w:val="153"/>
              <w:widowControl/>
              <w:spacing w:line="360" w:lineRule="auto"/>
              <w:ind w:firstLine="480"/>
            </w:pPr>
            <w:r>
              <w:t>根据声环境评价导则的规定，选取预测模式，应用过程中将根据具体情况</w:t>
            </w:r>
            <w:r>
              <w:rPr>
                <w:rFonts w:hint="eastAsia"/>
              </w:rPr>
              <w:t>做</w:t>
            </w:r>
            <w:r>
              <w:t>必要简化。</w:t>
            </w:r>
          </w:p>
          <w:p>
            <w:pPr>
              <w:pStyle w:val="153"/>
              <w:spacing w:line="360" w:lineRule="auto"/>
              <w:ind w:firstLine="480"/>
            </w:pPr>
            <w:r>
              <w:rPr>
                <w:rFonts w:hint="eastAsia"/>
              </w:rPr>
              <w:t>①</w:t>
            </w:r>
            <w:r>
              <w:t>室内点声源的预测</w:t>
            </w:r>
          </w:p>
          <w:p>
            <w:pPr>
              <w:pStyle w:val="153"/>
              <w:spacing w:line="360" w:lineRule="auto"/>
              <w:ind w:firstLine="480"/>
            </w:pPr>
            <w:r>
              <w:t>a.室内靠近围护结构处的倍频带声压级：</w:t>
            </w:r>
          </w:p>
          <w:p>
            <w:pPr>
              <w:pStyle w:val="7"/>
              <w:adjustRightInd/>
              <w:spacing w:line="360" w:lineRule="auto"/>
              <w:ind w:firstLine="560"/>
              <w:jc w:val="center"/>
              <w:textAlignment w:val="auto"/>
              <w:rPr>
                <w:rFonts w:ascii="Times New Roman" w:hAnsi="Times New Roman"/>
                <w:sz w:val="24"/>
                <w:szCs w:val="24"/>
              </w:rPr>
            </w:pPr>
            <w:r>
              <w:rPr>
                <w:rFonts w:ascii="Times New Roman" w:hAnsi="Times New Roman"/>
                <w:position w:val="-32"/>
                <w:sz w:val="24"/>
                <w:szCs w:val="24"/>
              </w:rPr>
              <w:object>
                <v:shape id="_x0000_i1026" o:spt="75" type="#_x0000_t75" style="height:38.1pt;width:132.9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pPr>
              <w:pStyle w:val="153"/>
              <w:spacing w:line="360" w:lineRule="auto"/>
              <w:ind w:firstLine="480"/>
            </w:pPr>
            <w:r>
              <w:t>式中：</w:t>
            </w:r>
          </w:p>
          <w:p>
            <w:pPr>
              <w:pStyle w:val="153"/>
              <w:spacing w:line="360" w:lineRule="auto"/>
              <w:ind w:firstLine="480"/>
            </w:pPr>
            <w:r>
              <w:t>r1为室内某源距离围护结构的距离；</w:t>
            </w:r>
          </w:p>
          <w:p>
            <w:pPr>
              <w:pStyle w:val="153"/>
              <w:spacing w:line="360" w:lineRule="auto"/>
              <w:ind w:firstLine="480"/>
            </w:pPr>
            <w:r>
              <w:t>R为房间常数；</w:t>
            </w:r>
          </w:p>
          <w:p>
            <w:pPr>
              <w:pStyle w:val="153"/>
              <w:spacing w:line="360" w:lineRule="auto"/>
              <w:ind w:firstLine="480"/>
            </w:pPr>
            <w:r>
              <w:t>Q为方向性因子。</w:t>
            </w:r>
          </w:p>
          <w:p>
            <w:pPr>
              <w:pStyle w:val="153"/>
              <w:spacing w:line="360" w:lineRule="auto"/>
              <w:ind w:firstLine="480"/>
            </w:pPr>
            <w:r>
              <w:t>b.室内声源在靠近围护结构处产生的总倍频带声压级：</w:t>
            </w:r>
          </w:p>
          <w:p>
            <w:pPr>
              <w:pStyle w:val="7"/>
              <w:adjustRightInd/>
              <w:spacing w:line="360" w:lineRule="auto"/>
              <w:ind w:firstLine="560"/>
              <w:jc w:val="center"/>
              <w:textAlignment w:val="auto"/>
              <w:rPr>
                <w:rFonts w:ascii="Times New Roman" w:hAnsi="Times New Roman"/>
                <w:sz w:val="24"/>
                <w:szCs w:val="24"/>
              </w:rPr>
            </w:pPr>
            <w:r>
              <w:rPr>
                <w:rFonts w:ascii="Times New Roman" w:hAnsi="Times New Roman"/>
                <w:position w:val="-30"/>
                <w:sz w:val="24"/>
                <w:szCs w:val="24"/>
              </w:rPr>
              <w:object>
                <v:shape id="_x0000_i1027" o:spt="75" type="#_x0000_t75" style="height:36.2pt;width:130.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p>
          <w:p>
            <w:pPr>
              <w:pStyle w:val="153"/>
              <w:spacing w:line="360" w:lineRule="auto"/>
              <w:ind w:firstLine="480"/>
            </w:pPr>
            <w:r>
              <w:t>c.室外靠近围护结构处的总的声压级：</w:t>
            </w:r>
          </w:p>
          <w:p>
            <w:pPr>
              <w:pStyle w:val="7"/>
              <w:adjustRightInd/>
              <w:spacing w:line="360" w:lineRule="auto"/>
              <w:ind w:firstLine="560"/>
              <w:jc w:val="center"/>
              <w:textAlignment w:val="auto"/>
              <w:rPr>
                <w:rFonts w:ascii="Times New Roman" w:hAnsi="Times New Roman"/>
                <w:sz w:val="24"/>
                <w:szCs w:val="24"/>
                <w:lang w:val="fr-FR"/>
              </w:rPr>
            </w:pPr>
            <w:bookmarkStart w:id="10" w:name="_Toc396117300"/>
            <w:r>
              <w:rPr>
                <w:rFonts w:ascii="Times New Roman" w:hAnsi="Times New Roman"/>
                <w:sz w:val="24"/>
                <w:szCs w:val="24"/>
                <w:lang w:val="fr-FR"/>
              </w:rPr>
              <w:t>L</w:t>
            </w:r>
            <w:r>
              <w:rPr>
                <w:rFonts w:hint="eastAsia" w:ascii="Times New Roman" w:hAnsi="Times New Roman"/>
                <w:sz w:val="24"/>
                <w:szCs w:val="24"/>
                <w:vertAlign w:val="subscript"/>
              </w:rPr>
              <w:t>p2i</w:t>
            </w:r>
            <w:r>
              <w:rPr>
                <w:rFonts w:ascii="Times New Roman" w:hAnsi="Times New Roman"/>
                <w:sz w:val="24"/>
                <w:szCs w:val="24"/>
                <w:lang w:val="fr-FR"/>
              </w:rPr>
              <w:t>(T)=L</w:t>
            </w:r>
            <w:r>
              <w:rPr>
                <w:rFonts w:hint="eastAsia" w:ascii="Times New Roman" w:hAnsi="Times New Roman"/>
                <w:sz w:val="24"/>
                <w:szCs w:val="24"/>
                <w:vertAlign w:val="subscript"/>
              </w:rPr>
              <w:t>pli</w:t>
            </w:r>
            <w:r>
              <w:rPr>
                <w:rFonts w:ascii="Times New Roman" w:hAnsi="Times New Roman"/>
                <w:sz w:val="24"/>
                <w:szCs w:val="24"/>
                <w:lang w:val="fr-FR"/>
              </w:rPr>
              <w:t>(T)-(</w:t>
            </w:r>
            <w:r>
              <w:rPr>
                <w:rFonts w:hint="eastAsia" w:ascii="Times New Roman" w:hAnsi="Times New Roman"/>
                <w:sz w:val="24"/>
                <w:szCs w:val="24"/>
              </w:rPr>
              <w:t>TLi</w:t>
            </w:r>
            <w:r>
              <w:rPr>
                <w:rFonts w:ascii="Times New Roman" w:hAnsi="Times New Roman"/>
                <w:sz w:val="24"/>
                <w:szCs w:val="24"/>
                <w:lang w:val="fr-FR"/>
              </w:rPr>
              <w:t>+6)</w:t>
            </w:r>
            <w:bookmarkEnd w:id="10"/>
          </w:p>
          <w:p>
            <w:pPr>
              <w:pStyle w:val="153"/>
              <w:spacing w:line="360" w:lineRule="auto"/>
              <w:ind w:firstLine="480"/>
            </w:pPr>
            <w:r>
              <w:t>d.室外声压级换算成等效的室外声源：</w:t>
            </w:r>
          </w:p>
          <w:p>
            <w:pPr>
              <w:pStyle w:val="7"/>
              <w:adjustRightInd/>
              <w:spacing w:line="360" w:lineRule="auto"/>
              <w:ind w:firstLine="560"/>
              <w:jc w:val="center"/>
              <w:textAlignment w:val="auto"/>
              <w:rPr>
                <w:rFonts w:ascii="Times New Roman" w:hAnsi="Times New Roman"/>
                <w:sz w:val="24"/>
                <w:szCs w:val="24"/>
              </w:rPr>
            </w:pPr>
            <w:bookmarkStart w:id="11" w:name="_Toc396117301"/>
            <w:r>
              <w:rPr>
                <w:rFonts w:ascii="Times New Roman" w:hAnsi="Times New Roman"/>
                <w:sz w:val="24"/>
                <w:szCs w:val="24"/>
              </w:rPr>
              <w:t>Lw=L</w:t>
            </w:r>
            <w:r>
              <w:rPr>
                <w:rFonts w:hint="eastAsia" w:ascii="Times New Roman" w:hAnsi="Times New Roman"/>
                <w:sz w:val="24"/>
                <w:szCs w:val="24"/>
                <w:vertAlign w:val="subscript"/>
              </w:rPr>
              <w:t>p</w:t>
            </w:r>
            <w:r>
              <w:rPr>
                <w:rFonts w:ascii="Times New Roman" w:hAnsi="Times New Roman"/>
                <w:sz w:val="24"/>
                <w:szCs w:val="24"/>
                <w:vertAlign w:val="subscript"/>
              </w:rPr>
              <w:t>2</w:t>
            </w:r>
            <w:r>
              <w:rPr>
                <w:rFonts w:ascii="Times New Roman" w:hAnsi="Times New Roman"/>
                <w:sz w:val="24"/>
                <w:szCs w:val="24"/>
              </w:rPr>
              <w:t>(T)+10lgS</w:t>
            </w:r>
            <w:bookmarkEnd w:id="11"/>
          </w:p>
          <w:p>
            <w:pPr>
              <w:pStyle w:val="153"/>
              <w:spacing w:line="360" w:lineRule="auto"/>
              <w:ind w:firstLine="480"/>
            </w:pPr>
            <w:r>
              <w:t>式中：S为透声面积。</w:t>
            </w:r>
          </w:p>
          <w:p>
            <w:pPr>
              <w:pStyle w:val="153"/>
              <w:spacing w:line="360" w:lineRule="auto"/>
              <w:ind w:firstLine="480"/>
            </w:pPr>
            <w:r>
              <w:t>e.等效室外声源的位置为围护结构的位置，其倍频带声功率级为Lw，由此按室外声源方法计算等效室外声源在预测点产生的声级。</w:t>
            </w:r>
          </w:p>
          <w:p>
            <w:pPr>
              <w:pStyle w:val="153"/>
              <w:widowControl/>
              <w:spacing w:line="360" w:lineRule="auto"/>
              <w:ind w:firstLine="480"/>
            </w:pPr>
            <w:r>
              <w:rPr>
                <w:rFonts w:hint="eastAsia"/>
              </w:rPr>
              <w:t>②</w:t>
            </w:r>
            <w:r>
              <w:t>室外点声源在预测点的倍频带声压级</w:t>
            </w:r>
          </w:p>
          <w:p>
            <w:pPr>
              <w:pStyle w:val="153"/>
              <w:widowControl/>
              <w:spacing w:line="360" w:lineRule="auto"/>
              <w:ind w:firstLine="480"/>
            </w:pPr>
            <w:r>
              <w:rPr>
                <w:rFonts w:hint="eastAsia"/>
              </w:rPr>
              <w:t>a应根据声源声功率级或参考位置处的声压级、户外声传播衰减，计算预测点的声级，按以下公式计算。</w:t>
            </w:r>
          </w:p>
          <w:p>
            <w:pPr>
              <w:pStyle w:val="153"/>
              <w:widowControl/>
              <w:spacing w:line="360" w:lineRule="auto"/>
              <w:ind w:firstLine="480"/>
            </w:pPr>
          </w:p>
          <w:p>
            <w:pPr>
              <w:pStyle w:val="153"/>
              <w:widowControl/>
              <w:spacing w:line="360" w:lineRule="auto"/>
              <w:ind w:firstLine="480"/>
              <w:jc w:val="center"/>
            </w:pPr>
            <w:r>
              <w:drawing>
                <wp:inline distT="0" distB="0" distL="114300" distR="114300">
                  <wp:extent cx="3115945" cy="215900"/>
                  <wp:effectExtent l="0" t="0" r="8255"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rcRect l="264" t="10574" b="11264"/>
                          <a:stretch>
                            <a:fillRect/>
                          </a:stretch>
                        </pic:blipFill>
                        <pic:spPr>
                          <a:xfrm>
                            <a:off x="0" y="0"/>
                            <a:ext cx="3115945" cy="215900"/>
                          </a:xfrm>
                          <a:prstGeom prst="rect">
                            <a:avLst/>
                          </a:prstGeom>
                          <a:noFill/>
                          <a:ln>
                            <a:noFill/>
                          </a:ln>
                        </pic:spPr>
                      </pic:pic>
                    </a:graphicData>
                  </a:graphic>
                </wp:inline>
              </w:drawing>
            </w:r>
          </w:p>
          <w:p>
            <w:pPr>
              <w:pStyle w:val="153"/>
              <w:widowControl/>
              <w:spacing w:line="360" w:lineRule="auto"/>
              <w:ind w:firstLine="480"/>
            </w:pPr>
            <w:r>
              <w:rPr>
                <w:rFonts w:hint="eastAsia"/>
              </w:rPr>
              <w:t>式中：</w:t>
            </w:r>
            <w:r>
              <w:t>Lp(r) ——</w:t>
            </w:r>
            <w:r>
              <w:rPr>
                <w:rFonts w:hint="eastAsia"/>
              </w:rPr>
              <w:t>预测点处声压级，</w:t>
            </w:r>
            <w:r>
              <w:t>dB</w:t>
            </w:r>
            <w:r>
              <w:rPr>
                <w:rFonts w:hint="eastAsia"/>
              </w:rPr>
              <w:t>；</w:t>
            </w:r>
          </w:p>
          <w:p>
            <w:pPr>
              <w:pStyle w:val="153"/>
              <w:widowControl/>
              <w:spacing w:line="360" w:lineRule="auto"/>
              <w:ind w:firstLine="1200" w:firstLineChars="500"/>
            </w:pPr>
            <w:r>
              <w:t>Lw ——</w:t>
            </w:r>
            <w:r>
              <w:rPr>
                <w:rFonts w:hint="eastAsia"/>
              </w:rPr>
              <w:t>由点声源产生的声功率级（</w:t>
            </w:r>
            <w:r>
              <w:t>A</w:t>
            </w:r>
            <w:r>
              <w:rPr>
                <w:rFonts w:hint="eastAsia"/>
              </w:rPr>
              <w:t>计权或倍频带），</w:t>
            </w:r>
            <w:r>
              <w:t>dB</w:t>
            </w:r>
            <w:r>
              <w:rPr>
                <w:rFonts w:hint="eastAsia"/>
              </w:rPr>
              <w:t xml:space="preserve">； </w:t>
            </w:r>
          </w:p>
          <w:p>
            <w:pPr>
              <w:pStyle w:val="153"/>
              <w:widowControl/>
              <w:spacing w:line="360" w:lineRule="auto"/>
              <w:ind w:firstLine="1200" w:firstLineChars="500"/>
            </w:pPr>
            <w:r>
              <w:t>DC ——</w:t>
            </w:r>
            <w:r>
              <w:rPr>
                <w:rFonts w:hint="eastAsia"/>
              </w:rPr>
              <w:t>指向性校正，它描述点声源的等效连续声压级与产生声功率级</w:t>
            </w:r>
            <w:r>
              <w:t>Lw</w:t>
            </w:r>
            <w:r>
              <w:rPr>
                <w:rFonts w:hint="eastAsia"/>
              </w:rPr>
              <w:t>的全向点声源在规定方向的声级的偏差程度，</w:t>
            </w:r>
            <w:r>
              <w:t>dB</w:t>
            </w:r>
            <w:r>
              <w:rPr>
                <w:rFonts w:hint="eastAsia"/>
              </w:rPr>
              <w:t xml:space="preserve">； </w:t>
            </w:r>
          </w:p>
          <w:p>
            <w:pPr>
              <w:pStyle w:val="153"/>
              <w:widowControl/>
              <w:spacing w:line="360" w:lineRule="auto"/>
              <w:ind w:firstLine="1200" w:firstLineChars="500"/>
            </w:pPr>
            <w:r>
              <w:t>Adiv ——</w:t>
            </w:r>
            <w:r>
              <w:rPr>
                <w:rFonts w:hint="eastAsia"/>
              </w:rPr>
              <w:t>几何发散引起的衰减，</w:t>
            </w:r>
            <w:r>
              <w:t>dB</w:t>
            </w:r>
            <w:r>
              <w:rPr>
                <w:rFonts w:hint="eastAsia"/>
              </w:rPr>
              <w:t xml:space="preserve">； </w:t>
            </w:r>
          </w:p>
          <w:p>
            <w:pPr>
              <w:pStyle w:val="153"/>
              <w:widowControl/>
              <w:spacing w:line="360" w:lineRule="auto"/>
              <w:ind w:firstLine="1200" w:firstLineChars="500"/>
            </w:pPr>
            <w:r>
              <w:t>Aatm ——</w:t>
            </w:r>
            <w:r>
              <w:rPr>
                <w:rFonts w:hint="eastAsia"/>
              </w:rPr>
              <w:t>大气吸收引起的衰减，</w:t>
            </w:r>
            <w:r>
              <w:t>dB</w:t>
            </w:r>
            <w:r>
              <w:rPr>
                <w:rFonts w:hint="eastAsia"/>
              </w:rPr>
              <w:t xml:space="preserve">； </w:t>
            </w:r>
          </w:p>
          <w:p>
            <w:pPr>
              <w:pStyle w:val="153"/>
              <w:widowControl/>
              <w:spacing w:line="360" w:lineRule="auto"/>
              <w:ind w:firstLine="1200" w:firstLineChars="500"/>
            </w:pPr>
            <w:r>
              <w:t>Agr ——</w:t>
            </w:r>
            <w:r>
              <w:rPr>
                <w:rFonts w:hint="eastAsia"/>
              </w:rPr>
              <w:t>地面效应引起的衰减，</w:t>
            </w:r>
            <w:r>
              <w:t>dB</w:t>
            </w:r>
            <w:r>
              <w:rPr>
                <w:rFonts w:hint="eastAsia"/>
              </w:rPr>
              <w:t xml:space="preserve">； </w:t>
            </w:r>
          </w:p>
          <w:p>
            <w:pPr>
              <w:pStyle w:val="153"/>
              <w:widowControl/>
              <w:spacing w:line="360" w:lineRule="auto"/>
              <w:ind w:firstLine="1200" w:firstLineChars="500"/>
            </w:pPr>
            <w:r>
              <w:t>Abar ——</w:t>
            </w:r>
            <w:r>
              <w:rPr>
                <w:rFonts w:hint="eastAsia"/>
              </w:rPr>
              <w:t>障碍物屏蔽引起的衰减，</w:t>
            </w:r>
            <w:r>
              <w:t>dB</w:t>
            </w:r>
            <w:r>
              <w:rPr>
                <w:rFonts w:hint="eastAsia"/>
              </w:rPr>
              <w:t xml:space="preserve">； </w:t>
            </w:r>
          </w:p>
          <w:p>
            <w:pPr>
              <w:pStyle w:val="153"/>
              <w:widowControl/>
              <w:spacing w:line="360" w:lineRule="auto"/>
              <w:ind w:firstLine="1200" w:firstLineChars="500"/>
            </w:pPr>
            <w:r>
              <w:t>Amisc ——</w:t>
            </w:r>
            <w:r>
              <w:rPr>
                <w:rFonts w:hint="eastAsia"/>
              </w:rPr>
              <w:t>其他多方面效应引起的衰减，</w:t>
            </w:r>
            <w:r>
              <w:t>dB</w:t>
            </w:r>
            <w:r>
              <w:rPr>
                <w:rFonts w:hint="eastAsia"/>
              </w:rPr>
              <w:t>。</w:t>
            </w:r>
          </w:p>
          <w:p>
            <w:pPr>
              <w:pStyle w:val="153"/>
              <w:widowControl/>
              <w:spacing w:line="360" w:lineRule="auto"/>
              <w:ind w:firstLine="480"/>
            </w:pPr>
            <w:r>
              <w:rPr>
                <w:rFonts w:hint="eastAsia"/>
              </w:rPr>
              <w:t>b预测点的</w:t>
            </w:r>
            <w:r>
              <w:t>A</w:t>
            </w:r>
            <w:r>
              <w:rPr>
                <w:rFonts w:hint="eastAsia"/>
              </w:rPr>
              <w:t xml:space="preserve">声级 </w:t>
            </w:r>
            <w:r>
              <w:t>LA(r)</w:t>
            </w:r>
            <w:r>
              <w:rPr>
                <w:rFonts w:hint="eastAsia"/>
              </w:rPr>
              <w:t>可按以下公式计算，即将</w:t>
            </w:r>
            <w:r>
              <w:t>8</w:t>
            </w:r>
            <w:r>
              <w:rPr>
                <w:rFonts w:hint="eastAsia"/>
              </w:rPr>
              <w:t>个倍频带声压级合成，计算出预测点的</w:t>
            </w:r>
            <w:r>
              <w:t>A</w:t>
            </w:r>
            <w:r>
              <w:rPr>
                <w:rFonts w:hint="eastAsia"/>
              </w:rPr>
              <w:t>声级</w:t>
            </w:r>
            <w:r>
              <w:t>[LA(r)]</w:t>
            </w:r>
            <w:r>
              <w:rPr>
                <w:rFonts w:hint="eastAsia"/>
              </w:rPr>
              <w:t xml:space="preserve">。 </w:t>
            </w:r>
          </w:p>
          <w:p>
            <w:pPr>
              <w:pStyle w:val="153"/>
              <w:widowControl/>
              <w:spacing w:line="360" w:lineRule="auto"/>
              <w:ind w:firstLine="480"/>
              <w:jc w:val="center"/>
            </w:pPr>
            <w:r>
              <w:drawing>
                <wp:inline distT="0" distB="0" distL="114300" distR="114300">
                  <wp:extent cx="2000250" cy="51435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2000250" cy="514350"/>
                          </a:xfrm>
                          <a:prstGeom prst="rect">
                            <a:avLst/>
                          </a:prstGeom>
                          <a:noFill/>
                          <a:ln>
                            <a:noFill/>
                          </a:ln>
                        </pic:spPr>
                      </pic:pic>
                    </a:graphicData>
                  </a:graphic>
                </wp:inline>
              </w:drawing>
            </w:r>
          </w:p>
          <w:p>
            <w:pPr>
              <w:pStyle w:val="153"/>
              <w:widowControl/>
              <w:spacing w:line="360" w:lineRule="auto"/>
              <w:ind w:firstLine="480"/>
            </w:pPr>
            <w:r>
              <w:rPr>
                <w:rFonts w:hint="eastAsia"/>
              </w:rPr>
              <w:t>式中：</w:t>
            </w:r>
            <w:r>
              <w:t>LA(r) ——</w:t>
            </w:r>
            <w:r>
              <w:rPr>
                <w:rFonts w:hint="eastAsia"/>
              </w:rPr>
              <w:t>距声源</w:t>
            </w:r>
            <w:r>
              <w:t>r</w:t>
            </w:r>
            <w:r>
              <w:rPr>
                <w:rFonts w:hint="eastAsia"/>
              </w:rPr>
              <w:t>处的</w:t>
            </w:r>
            <w:r>
              <w:t>A</w:t>
            </w:r>
            <w:r>
              <w:rPr>
                <w:rFonts w:hint="eastAsia"/>
              </w:rPr>
              <w:t>声级，</w:t>
            </w:r>
            <w:r>
              <w:t>dB(A)</w:t>
            </w:r>
            <w:r>
              <w:rPr>
                <w:rFonts w:hint="eastAsia"/>
              </w:rPr>
              <w:t xml:space="preserve">； </w:t>
            </w:r>
          </w:p>
          <w:p>
            <w:pPr>
              <w:pStyle w:val="153"/>
              <w:widowControl/>
              <w:spacing w:line="360" w:lineRule="auto"/>
              <w:ind w:firstLine="1200" w:firstLineChars="500"/>
            </w:pPr>
            <w:r>
              <w:t>Lpi(r) ——</w:t>
            </w:r>
            <w:r>
              <w:rPr>
                <w:rFonts w:hint="eastAsia"/>
              </w:rPr>
              <w:t>预测点（</w:t>
            </w:r>
            <w:r>
              <w:t>r</w:t>
            </w:r>
            <w:r>
              <w:rPr>
                <w:rFonts w:hint="eastAsia"/>
              </w:rPr>
              <w:t>）处，第</w:t>
            </w:r>
            <w:r>
              <w:t>i</w:t>
            </w:r>
            <w:r>
              <w:rPr>
                <w:rFonts w:hint="eastAsia"/>
              </w:rPr>
              <w:t>倍频带声压级，</w:t>
            </w:r>
            <w:r>
              <w:t>dB</w:t>
            </w:r>
            <w:r>
              <w:rPr>
                <w:rFonts w:hint="eastAsia"/>
              </w:rPr>
              <w:t xml:space="preserve">； </w:t>
            </w:r>
          </w:p>
          <w:p>
            <w:pPr>
              <w:pStyle w:val="153"/>
              <w:widowControl/>
              <w:spacing w:line="360" w:lineRule="auto"/>
              <w:ind w:firstLine="1200" w:firstLineChars="500"/>
            </w:pPr>
            <w:r>
              <w:t>ΔLi ——</w:t>
            </w:r>
            <w:r>
              <w:rPr>
                <w:rFonts w:hint="eastAsia"/>
              </w:rPr>
              <w:t>第</w:t>
            </w:r>
            <w:r>
              <w:t>i</w:t>
            </w:r>
            <w:r>
              <w:rPr>
                <w:rFonts w:hint="eastAsia"/>
              </w:rPr>
              <w:t>倍频带的</w:t>
            </w:r>
            <w:r>
              <w:t>A</w:t>
            </w:r>
            <w:r>
              <w:rPr>
                <w:rFonts w:hint="eastAsia"/>
              </w:rPr>
              <w:t>计权网络修正值，</w:t>
            </w:r>
            <w:r>
              <w:t>dB</w:t>
            </w:r>
            <w:r>
              <w:rPr>
                <w:rFonts w:hint="eastAsia"/>
              </w:rPr>
              <w:t xml:space="preserve">。 </w:t>
            </w:r>
          </w:p>
          <w:p>
            <w:pPr>
              <w:pStyle w:val="153"/>
              <w:widowControl/>
              <w:spacing w:line="360" w:lineRule="auto"/>
              <w:ind w:firstLine="1200" w:firstLineChars="500"/>
            </w:pPr>
            <w:r>
              <w:rPr>
                <w:rFonts w:hint="eastAsia"/>
              </w:rPr>
              <w:t>b声源处于半自由声场</w:t>
            </w:r>
          </w:p>
          <w:p>
            <w:pPr>
              <w:pStyle w:val="153"/>
              <w:widowControl/>
              <w:spacing w:line="360" w:lineRule="auto"/>
              <w:ind w:firstLine="1200" w:firstLineChars="500"/>
              <w:jc w:val="center"/>
            </w:pPr>
            <w:r>
              <w:drawing>
                <wp:inline distT="0" distB="0" distL="114300" distR="114300">
                  <wp:extent cx="1685925" cy="27622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1685925" cy="276225"/>
                          </a:xfrm>
                          <a:prstGeom prst="rect">
                            <a:avLst/>
                          </a:prstGeom>
                          <a:noFill/>
                          <a:ln>
                            <a:noFill/>
                          </a:ln>
                        </pic:spPr>
                      </pic:pic>
                    </a:graphicData>
                  </a:graphic>
                </wp:inline>
              </w:drawing>
            </w:r>
          </w:p>
          <w:p>
            <w:pPr>
              <w:pStyle w:val="153"/>
              <w:widowControl/>
              <w:spacing w:line="360" w:lineRule="auto"/>
              <w:ind w:firstLine="480"/>
            </w:pPr>
            <w:r>
              <w:rPr>
                <w:rFonts w:hint="eastAsia"/>
              </w:rPr>
              <w:t>式中：</w:t>
            </w:r>
            <w:r>
              <w:t>Lp(r) ——</w:t>
            </w:r>
            <w:r>
              <w:rPr>
                <w:rFonts w:hint="eastAsia"/>
              </w:rPr>
              <w:t>预测点处声压级，</w:t>
            </w:r>
            <w:r>
              <w:t>dB</w:t>
            </w:r>
            <w:r>
              <w:rPr>
                <w:rFonts w:hint="eastAsia"/>
              </w:rPr>
              <w:t xml:space="preserve">； </w:t>
            </w:r>
          </w:p>
          <w:p>
            <w:pPr>
              <w:pStyle w:val="153"/>
              <w:widowControl/>
              <w:spacing w:line="360" w:lineRule="auto"/>
              <w:ind w:firstLine="1200" w:firstLineChars="500"/>
            </w:pPr>
            <w:r>
              <w:t>Lw ——</w:t>
            </w:r>
            <w:r>
              <w:rPr>
                <w:rFonts w:hint="eastAsia"/>
              </w:rPr>
              <w:t>由点声源产生的倍频带声功率级，</w:t>
            </w:r>
            <w:r>
              <w:t>dB</w:t>
            </w:r>
            <w:r>
              <w:rPr>
                <w:rFonts w:hint="eastAsia"/>
              </w:rPr>
              <w:t xml:space="preserve">； </w:t>
            </w:r>
          </w:p>
          <w:p>
            <w:pPr>
              <w:pStyle w:val="153"/>
              <w:widowControl/>
              <w:spacing w:line="360" w:lineRule="auto"/>
              <w:ind w:firstLine="1200" w:firstLineChars="500"/>
            </w:pPr>
            <w:r>
              <w:t>r ——</w:t>
            </w:r>
            <w:r>
              <w:rPr>
                <w:rFonts w:hint="eastAsia"/>
              </w:rPr>
              <w:t xml:space="preserve">预测点距声源的距离。 </w:t>
            </w:r>
          </w:p>
          <w:p>
            <w:pPr>
              <w:pStyle w:val="153"/>
              <w:widowControl/>
              <w:spacing w:line="360" w:lineRule="auto"/>
              <w:ind w:firstLine="480"/>
            </w:pPr>
            <w:r>
              <w:rPr>
                <w:rFonts w:hint="eastAsia"/>
              </w:rPr>
              <w:t>c大气吸收引起的衰减按式（</w:t>
            </w:r>
            <w:r>
              <w:t>A.19</w:t>
            </w:r>
            <w:r>
              <w:rPr>
                <w:rFonts w:hint="eastAsia"/>
              </w:rPr>
              <w:t>）计算：</w:t>
            </w:r>
          </w:p>
          <w:p>
            <w:pPr>
              <w:pStyle w:val="153"/>
              <w:widowControl/>
              <w:spacing w:line="360" w:lineRule="auto"/>
              <w:ind w:firstLine="0" w:firstLineChars="0"/>
              <w:jc w:val="center"/>
            </w:pPr>
            <w:r>
              <w:rPr>
                <w:rFonts w:hint="eastAsia"/>
              </w:rPr>
              <w:drawing>
                <wp:inline distT="0" distB="0" distL="114300" distR="114300">
                  <wp:extent cx="1019175" cy="409575"/>
                  <wp:effectExtent l="0" t="0" r="952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2"/>
                          <a:stretch>
                            <a:fillRect/>
                          </a:stretch>
                        </pic:blipFill>
                        <pic:spPr>
                          <a:xfrm>
                            <a:off x="0" y="0"/>
                            <a:ext cx="1019175" cy="409575"/>
                          </a:xfrm>
                          <a:prstGeom prst="rect">
                            <a:avLst/>
                          </a:prstGeom>
                          <a:noFill/>
                          <a:ln>
                            <a:noFill/>
                          </a:ln>
                        </pic:spPr>
                      </pic:pic>
                    </a:graphicData>
                  </a:graphic>
                </wp:inline>
              </w:drawing>
            </w:r>
          </w:p>
          <w:p>
            <w:pPr>
              <w:pStyle w:val="153"/>
              <w:widowControl/>
              <w:spacing w:line="360" w:lineRule="auto"/>
              <w:ind w:firstLine="480"/>
            </w:pPr>
            <w:r>
              <w:rPr>
                <w:rFonts w:hint="eastAsia"/>
              </w:rPr>
              <w:t>式中：</w:t>
            </w:r>
            <w:r>
              <w:t>Aatm ——</w:t>
            </w:r>
            <w:r>
              <w:rPr>
                <w:rFonts w:hint="eastAsia"/>
              </w:rPr>
              <w:t>大气吸收引起的衰减，</w:t>
            </w:r>
            <w:r>
              <w:t>dB</w:t>
            </w:r>
            <w:r>
              <w:rPr>
                <w:rFonts w:hint="eastAsia"/>
              </w:rPr>
              <w:t xml:space="preserve">； </w:t>
            </w:r>
          </w:p>
          <w:p>
            <w:pPr>
              <w:pStyle w:val="153"/>
              <w:widowControl/>
              <w:spacing w:line="360" w:lineRule="auto"/>
              <w:ind w:firstLine="1200" w:firstLineChars="500"/>
            </w:pPr>
            <w:r>
              <w:t>α——</w:t>
            </w:r>
            <w:r>
              <w:rPr>
                <w:rFonts w:hint="eastAsia"/>
              </w:rPr>
              <w:t>与温度、湿度和声波频率有关的大气吸收衰减系数，预测计算中一般根据建设项目所处区域常年平均气温和湿度选择相应的大气吸收衰减系数（见《环境影响评价技术导则  声环境》（HJ 2.4—</w:t>
            </w:r>
            <w:r>
              <w:t>2021</w:t>
            </w:r>
            <w:r>
              <w:rPr>
                <w:rFonts w:hint="eastAsia"/>
              </w:rPr>
              <w:t xml:space="preserve">）中的表 </w:t>
            </w:r>
            <w:r>
              <w:t>A.2</w:t>
            </w:r>
            <w:r>
              <w:rPr>
                <w:rFonts w:hint="eastAsia"/>
              </w:rPr>
              <w:t xml:space="preserve">）； </w:t>
            </w:r>
          </w:p>
          <w:p>
            <w:pPr>
              <w:pStyle w:val="153"/>
              <w:widowControl/>
              <w:spacing w:line="360" w:lineRule="auto"/>
              <w:ind w:firstLine="1200" w:firstLineChars="500"/>
            </w:pPr>
            <w:r>
              <w:t>r ——</w:t>
            </w:r>
            <w:r>
              <w:rPr>
                <w:rFonts w:hint="eastAsia"/>
              </w:rPr>
              <w:t xml:space="preserve">预测点距声源的距离； </w:t>
            </w:r>
          </w:p>
          <w:p>
            <w:pPr>
              <w:pStyle w:val="153"/>
              <w:widowControl/>
              <w:spacing w:line="360" w:lineRule="auto"/>
              <w:ind w:firstLine="1200" w:firstLineChars="500"/>
            </w:pPr>
            <w:r>
              <w:t>r0——</w:t>
            </w:r>
            <w:r>
              <w:rPr>
                <w:rFonts w:hint="eastAsia"/>
              </w:rPr>
              <w:t xml:space="preserve">参考位置距声源的距离。 </w:t>
            </w:r>
          </w:p>
          <w:p>
            <w:pPr>
              <w:pStyle w:val="153"/>
              <w:widowControl/>
              <w:spacing w:line="360" w:lineRule="auto"/>
              <w:ind w:firstLine="1200" w:firstLineChars="500"/>
            </w:pPr>
            <w:r>
              <w:rPr>
                <w:rFonts w:hint="eastAsia"/>
              </w:rPr>
              <w:t>d地面效应引起的衰减</w:t>
            </w:r>
          </w:p>
          <w:p>
            <w:pPr>
              <w:pStyle w:val="153"/>
              <w:widowControl/>
              <w:spacing w:line="360" w:lineRule="auto"/>
              <w:ind w:firstLine="480"/>
            </w:pPr>
            <w:r>
              <w:rPr>
                <w:rFonts w:hint="eastAsia"/>
              </w:rPr>
              <w:t>参照《</w:t>
            </w:r>
            <w:r>
              <w:t>声学户外声传播的衰减 第2部分：一般计算方法</w:t>
            </w:r>
            <w:r>
              <w:rPr>
                <w:rFonts w:hint="eastAsia"/>
              </w:rPr>
              <w:t>》（</w:t>
            </w:r>
            <w:r>
              <w:t>GB_T 17247.2-1998</w:t>
            </w:r>
            <w:r>
              <w:rPr>
                <w:rFonts w:hint="eastAsia"/>
              </w:rPr>
              <w:t>），每一种地面区域的声学性质由地面因子G计算。</w:t>
            </w:r>
          </w:p>
          <w:p>
            <w:pPr>
              <w:pStyle w:val="153"/>
              <w:widowControl/>
              <w:spacing w:line="360" w:lineRule="auto"/>
              <w:ind w:firstLine="0" w:firstLineChars="0"/>
              <w:jc w:val="center"/>
            </w:pPr>
            <w:r>
              <w:rPr>
                <w:rFonts w:hint="eastAsia"/>
              </w:rPr>
              <w:t>Agr=As+Ar+Am</w:t>
            </w:r>
          </w:p>
          <w:p>
            <w:pPr>
              <w:pStyle w:val="153"/>
              <w:widowControl/>
              <w:spacing w:line="360" w:lineRule="auto"/>
              <w:ind w:firstLine="480"/>
            </w:pPr>
            <w:r>
              <w:rPr>
                <w:rFonts w:hint="eastAsia"/>
              </w:rPr>
              <w:t>坚实地面G=0；疏松地面G=1，混合地面G取0-1之间，本项目厂区外至厂界处，均为硬质坚实路面，根据</w:t>
            </w:r>
            <w:r>
              <w:t>GB_T</w:t>
            </w:r>
            <w:r>
              <w:rPr>
                <w:rFonts w:hint="eastAsia"/>
              </w:rPr>
              <w:t xml:space="preserve"> </w:t>
            </w:r>
            <w:r>
              <w:t>17247.2-1998</w:t>
            </w:r>
            <w:r>
              <w:rPr>
                <w:rFonts w:hint="eastAsia"/>
              </w:rPr>
              <w:t>中表3用于计算地面分衰减As，Ar和Am(倍频带)的表达式计算结果，Agr=-1.5，取0计算。</w:t>
            </w:r>
          </w:p>
          <w:p>
            <w:pPr>
              <w:pStyle w:val="153"/>
              <w:widowControl/>
              <w:spacing w:line="360" w:lineRule="auto"/>
              <w:ind w:firstLine="480"/>
            </w:pPr>
            <w:r>
              <w:rPr>
                <w:rFonts w:hint="eastAsia"/>
              </w:rPr>
              <w:t>d声屏障引起的衰减按式计算：</w:t>
            </w:r>
          </w:p>
          <w:p>
            <w:pPr>
              <w:pStyle w:val="153"/>
              <w:widowControl/>
              <w:spacing w:line="360" w:lineRule="auto"/>
              <w:ind w:firstLine="480"/>
              <w:jc w:val="center"/>
            </w:pPr>
            <w:r>
              <w:rPr>
                <w:rFonts w:hint="eastAsia"/>
              </w:rPr>
              <w:drawing>
                <wp:inline distT="0" distB="0" distL="114300" distR="114300">
                  <wp:extent cx="3133725" cy="476250"/>
                  <wp:effectExtent l="0" t="0" r="952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3"/>
                          <a:stretch>
                            <a:fillRect/>
                          </a:stretch>
                        </pic:blipFill>
                        <pic:spPr>
                          <a:xfrm>
                            <a:off x="0" y="0"/>
                            <a:ext cx="3133725" cy="476250"/>
                          </a:xfrm>
                          <a:prstGeom prst="rect">
                            <a:avLst/>
                          </a:prstGeom>
                          <a:noFill/>
                          <a:ln>
                            <a:noFill/>
                          </a:ln>
                        </pic:spPr>
                      </pic:pic>
                    </a:graphicData>
                  </a:graphic>
                </wp:inline>
              </w:drawing>
            </w:r>
          </w:p>
          <w:p>
            <w:pPr>
              <w:pStyle w:val="153"/>
              <w:widowControl/>
              <w:spacing w:line="360" w:lineRule="auto"/>
              <w:ind w:firstLine="480"/>
            </w:pPr>
            <w:r>
              <w:t>N1</w:t>
            </w:r>
            <w:r>
              <w:rPr>
                <w:rFonts w:hint="eastAsia"/>
              </w:rPr>
              <w:t>、</w:t>
            </w:r>
            <w:r>
              <w:t>N2</w:t>
            </w:r>
            <w:r>
              <w:rPr>
                <w:rFonts w:hint="eastAsia"/>
              </w:rPr>
              <w:t>、</w:t>
            </w:r>
            <w:r>
              <w:t>N3</w:t>
            </w:r>
            <w:r>
              <w:rPr>
                <w:rFonts w:hint="eastAsia"/>
              </w:rPr>
              <w:t xml:space="preserve">——图 </w:t>
            </w:r>
            <w:r>
              <w:t xml:space="preserve">A.6 </w:t>
            </w:r>
            <w:r>
              <w:rPr>
                <w:rFonts w:hint="eastAsia"/>
              </w:rPr>
              <w:t xml:space="preserve">所示三个传播途径的声程差 </w:t>
            </w:r>
            <w:r>
              <w:t>δ1</w:t>
            </w:r>
            <w:r>
              <w:rPr>
                <w:rFonts w:hint="eastAsia"/>
              </w:rPr>
              <w:t>，</w:t>
            </w:r>
            <w:r>
              <w:t>δ2</w:t>
            </w:r>
            <w:r>
              <w:rPr>
                <w:rFonts w:hint="eastAsia"/>
              </w:rPr>
              <w:t>，</w:t>
            </w:r>
            <w:r>
              <w:t xml:space="preserve">δ3 </w:t>
            </w:r>
            <w:r>
              <w:rPr>
                <w:rFonts w:hint="eastAsia"/>
              </w:rPr>
              <w:t xml:space="preserve">相应的菲涅尔数。 </w:t>
            </w:r>
          </w:p>
          <w:p>
            <w:pPr>
              <w:pStyle w:val="153"/>
              <w:widowControl/>
              <w:spacing w:line="360" w:lineRule="auto"/>
              <w:ind w:firstLine="480"/>
            </w:pPr>
            <w:r>
              <w:rPr>
                <w:rFonts w:hint="eastAsia"/>
              </w:rPr>
              <w:t>当屏障很长（作无限长处理）时，仅可考虑顶端绕射衰减，按式（</w:t>
            </w:r>
            <w:r>
              <w:t>A.22</w:t>
            </w:r>
            <w:r>
              <w:rPr>
                <w:rFonts w:hint="eastAsia"/>
              </w:rPr>
              <w:t>）进行计算。</w:t>
            </w:r>
          </w:p>
          <w:p>
            <w:pPr>
              <w:pStyle w:val="153"/>
              <w:widowControl/>
              <w:spacing w:line="360" w:lineRule="auto"/>
              <w:ind w:firstLine="480"/>
              <w:jc w:val="center"/>
            </w:pPr>
            <w:r>
              <w:rPr>
                <w:rFonts w:hint="eastAsia"/>
              </w:rPr>
              <w:drawing>
                <wp:inline distT="0" distB="0" distL="114300" distR="114300">
                  <wp:extent cx="1619250" cy="504825"/>
                  <wp:effectExtent l="0" t="0" r="0"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4"/>
                          <a:stretch>
                            <a:fillRect/>
                          </a:stretch>
                        </pic:blipFill>
                        <pic:spPr>
                          <a:xfrm>
                            <a:off x="0" y="0"/>
                            <a:ext cx="1619250" cy="504825"/>
                          </a:xfrm>
                          <a:prstGeom prst="rect">
                            <a:avLst/>
                          </a:prstGeom>
                          <a:noFill/>
                          <a:ln>
                            <a:noFill/>
                          </a:ln>
                        </pic:spPr>
                      </pic:pic>
                    </a:graphicData>
                  </a:graphic>
                </wp:inline>
              </w:drawing>
            </w:r>
          </w:p>
          <w:p>
            <w:pPr>
              <w:pStyle w:val="153"/>
              <w:widowControl/>
              <w:spacing w:line="360" w:lineRule="auto"/>
              <w:ind w:firstLine="480"/>
            </w:pPr>
            <w:r>
              <w:rPr>
                <w:rFonts w:hint="eastAsia"/>
              </w:rPr>
              <w:t>式中：</w:t>
            </w:r>
            <w:r>
              <w:t>Abar ——</w:t>
            </w:r>
            <w:r>
              <w:rPr>
                <w:rFonts w:hint="eastAsia"/>
              </w:rPr>
              <w:t>障碍物屏蔽引起的衰减，</w:t>
            </w:r>
            <w:r>
              <w:t>dB</w:t>
            </w:r>
            <w:r>
              <w:rPr>
                <w:rFonts w:hint="eastAsia"/>
              </w:rPr>
              <w:t xml:space="preserve">； </w:t>
            </w:r>
          </w:p>
          <w:p>
            <w:pPr>
              <w:pStyle w:val="153"/>
              <w:widowControl/>
              <w:spacing w:line="360" w:lineRule="auto"/>
              <w:ind w:firstLine="480"/>
            </w:pPr>
            <w:r>
              <w:t>N1——</w:t>
            </w:r>
            <w:r>
              <w:rPr>
                <w:rFonts w:hint="eastAsia"/>
              </w:rPr>
              <w:t xml:space="preserve">顶端绕射的声程差 </w:t>
            </w:r>
            <w:r>
              <w:t xml:space="preserve">δ1 </w:t>
            </w:r>
            <w:r>
              <w:rPr>
                <w:rFonts w:hint="eastAsia"/>
              </w:rPr>
              <w:t>相应的菲涅尔数。</w:t>
            </w:r>
          </w:p>
          <w:p>
            <w:pPr>
              <w:pStyle w:val="153"/>
              <w:widowControl/>
              <w:spacing w:line="360" w:lineRule="auto"/>
              <w:ind w:firstLine="480"/>
            </w:pPr>
            <w:r>
              <w:rPr>
                <w:rFonts w:hint="eastAsia"/>
              </w:rPr>
              <w:t>本项目围绕厂界处建设2.5m高围墙。</w:t>
            </w:r>
          </w:p>
          <w:p>
            <w:pPr>
              <w:spacing w:line="360" w:lineRule="auto"/>
              <w:ind w:firstLine="480" w:firstLineChars="200"/>
              <w:rPr>
                <w:bCs/>
                <w:sz w:val="24"/>
              </w:rPr>
            </w:pPr>
            <w:r>
              <w:rPr>
                <w:rFonts w:hint="eastAsia"/>
                <w:bCs/>
                <w:sz w:val="24"/>
              </w:rPr>
              <w:t>预测结果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4"/>
              </w:rPr>
            </w:pPr>
            <w:r>
              <w:drawing>
                <wp:inline distT="0" distB="0" distL="114300" distR="114300">
                  <wp:extent cx="5241925" cy="3162935"/>
                  <wp:effectExtent l="0" t="0" r="15875" b="1841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5"/>
                          <a:stretch>
                            <a:fillRect/>
                          </a:stretch>
                        </pic:blipFill>
                        <pic:spPr>
                          <a:xfrm>
                            <a:off x="0" y="0"/>
                            <a:ext cx="5241925" cy="3162935"/>
                          </a:xfrm>
                          <a:prstGeom prst="rect">
                            <a:avLst/>
                          </a:prstGeom>
                          <a:noFill/>
                          <a:ln>
                            <a:noFill/>
                          </a:ln>
                        </pic:spPr>
                      </pic:pic>
                    </a:graphicData>
                  </a:graphic>
                </wp:inline>
              </w:drawing>
            </w:r>
          </w:p>
          <w:p>
            <w:pPr>
              <w:jc w:val="center"/>
              <w:rPr>
                <w:rFonts w:hint="default" w:ascii="Times New Roman" w:hAnsi="Times New Roman" w:eastAsia="宋体" w:cs="Times New Roman"/>
                <w:b/>
                <w:szCs w:val="21"/>
                <w:lang w:val="en-US" w:eastAsia="zh-CN"/>
              </w:rPr>
            </w:pPr>
            <w:r>
              <w:rPr>
                <w:rFonts w:hint="eastAsia" w:ascii="Times New Roman" w:hAnsi="Times New Roman" w:eastAsia="宋体" w:cs="Times New Roman"/>
                <w:b/>
                <w:szCs w:val="21"/>
                <w:lang w:val="en-US" w:eastAsia="zh-CN"/>
              </w:rPr>
              <w:t>图4-1    噪声预测结果图</w:t>
            </w:r>
          </w:p>
          <w:p>
            <w:pPr>
              <w:spacing w:line="360" w:lineRule="auto"/>
              <w:ind w:firstLine="480"/>
              <w:rPr>
                <w:sz w:val="24"/>
              </w:rPr>
            </w:pPr>
            <w:r>
              <w:rPr>
                <w:rFonts w:hint="eastAsia"/>
                <w:sz w:val="24"/>
              </w:rPr>
              <w:t xml:space="preserve">通过计算设备噪声的衰减范围和程度，预测项目运营期噪声源对厂界噪声的贡献值，并结合噪声标准限值来说明项目运营期噪声对周围环境的影响。 </w:t>
            </w:r>
          </w:p>
          <w:p>
            <w:pPr>
              <w:spacing w:line="360" w:lineRule="auto"/>
              <w:ind w:firstLine="480"/>
              <w:rPr>
                <w:sz w:val="24"/>
              </w:rPr>
            </w:pPr>
            <w:r>
              <w:rPr>
                <w:rFonts w:hint="eastAsia"/>
                <w:sz w:val="24"/>
              </w:rPr>
              <w:t>本项目夜间不生产，因此仅预测昼间。</w:t>
            </w:r>
          </w:p>
          <w:p>
            <w:pPr>
              <w:jc w:val="center"/>
              <w:rPr>
                <w:rFonts w:hint="default" w:eastAsia="宋体"/>
                <w:b/>
                <w:szCs w:val="21"/>
                <w:lang w:val="en-US" w:eastAsia="zh-CN"/>
              </w:rPr>
            </w:pPr>
            <w:r>
              <w:rPr>
                <w:rFonts w:hint="eastAsia"/>
                <w:b/>
                <w:szCs w:val="21"/>
              </w:rPr>
              <w:t>表4-27   噪声预测结果</w:t>
            </w:r>
            <w:r>
              <w:rPr>
                <w:rFonts w:hint="eastAsia"/>
                <w:b/>
                <w:szCs w:val="21"/>
                <w:lang w:val="en-US" w:eastAsia="zh-CN"/>
              </w:rPr>
              <w:t>最大值</w:t>
            </w:r>
          </w:p>
          <w:tbl>
            <w:tblPr>
              <w:tblStyle w:val="33"/>
              <w:tblW w:w="82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2066"/>
              <w:gridCol w:w="2066"/>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pPr>
                    <w:jc w:val="center"/>
                    <w:rPr>
                      <w:bCs/>
                      <w:szCs w:val="21"/>
                    </w:rPr>
                  </w:pPr>
                  <w:r>
                    <w:rPr>
                      <w:rFonts w:hint="eastAsia"/>
                      <w:bCs/>
                      <w:szCs w:val="21"/>
                    </w:rPr>
                    <w:t>方位</w:t>
                  </w:r>
                </w:p>
              </w:tc>
              <w:tc>
                <w:tcPr>
                  <w:tcW w:w="2066" w:type="dxa"/>
                  <w:vAlign w:val="center"/>
                </w:tcPr>
                <w:p>
                  <w:pPr>
                    <w:jc w:val="center"/>
                    <w:rPr>
                      <w:bCs/>
                      <w:szCs w:val="21"/>
                    </w:rPr>
                  </w:pPr>
                  <w:r>
                    <w:rPr>
                      <w:rFonts w:hint="eastAsia"/>
                      <w:bCs/>
                      <w:szCs w:val="21"/>
                    </w:rPr>
                    <w:t>预测结果db（A）</w:t>
                  </w:r>
                </w:p>
              </w:tc>
              <w:tc>
                <w:tcPr>
                  <w:tcW w:w="2066" w:type="dxa"/>
                  <w:vAlign w:val="center"/>
                </w:tcPr>
                <w:p>
                  <w:pPr>
                    <w:jc w:val="center"/>
                    <w:rPr>
                      <w:bCs/>
                      <w:szCs w:val="21"/>
                    </w:rPr>
                  </w:pPr>
                  <w:r>
                    <w:rPr>
                      <w:rFonts w:hint="eastAsia"/>
                      <w:bCs/>
                      <w:szCs w:val="21"/>
                    </w:rPr>
                    <w:t>标准db（A）</w:t>
                  </w:r>
                </w:p>
              </w:tc>
              <w:tc>
                <w:tcPr>
                  <w:tcW w:w="2066" w:type="dxa"/>
                  <w:vAlign w:val="center"/>
                </w:tcPr>
                <w:p>
                  <w:pPr>
                    <w:jc w:val="center"/>
                    <w:rPr>
                      <w:bCs/>
                      <w:szCs w:val="21"/>
                    </w:rPr>
                  </w:pPr>
                  <w:r>
                    <w:rPr>
                      <w:rFonts w:hint="eastAsia"/>
                      <w:bCs/>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pPr>
                    <w:jc w:val="center"/>
                    <w:rPr>
                      <w:bCs/>
                      <w:szCs w:val="21"/>
                    </w:rPr>
                  </w:pPr>
                  <w:r>
                    <w:rPr>
                      <w:rFonts w:hint="eastAsia"/>
                      <w:bCs/>
                      <w:szCs w:val="21"/>
                    </w:rPr>
                    <w:t>厂界（东侧）</w:t>
                  </w:r>
                </w:p>
              </w:tc>
              <w:tc>
                <w:tcPr>
                  <w:tcW w:w="2066" w:type="dxa"/>
                  <w:vAlign w:val="center"/>
                </w:tcPr>
                <w:p>
                  <w:pPr>
                    <w:jc w:val="center"/>
                    <w:rPr>
                      <w:rFonts w:hint="default" w:eastAsia="宋体"/>
                      <w:bCs/>
                      <w:szCs w:val="21"/>
                      <w:lang w:val="en-US" w:eastAsia="zh-CN"/>
                    </w:rPr>
                  </w:pPr>
                  <w:r>
                    <w:rPr>
                      <w:rFonts w:hint="eastAsia"/>
                      <w:bCs/>
                      <w:szCs w:val="21"/>
                      <w:lang w:val="en-US" w:eastAsia="zh-CN"/>
                    </w:rPr>
                    <w:t>45</w:t>
                  </w:r>
                </w:p>
              </w:tc>
              <w:tc>
                <w:tcPr>
                  <w:tcW w:w="2066" w:type="dxa"/>
                  <w:vAlign w:val="center"/>
                </w:tcPr>
                <w:p>
                  <w:pPr>
                    <w:jc w:val="center"/>
                    <w:rPr>
                      <w:bCs/>
                      <w:szCs w:val="21"/>
                    </w:rPr>
                  </w:pPr>
                  <w:r>
                    <w:rPr>
                      <w:rFonts w:hint="eastAsia"/>
                      <w:bCs/>
                      <w:szCs w:val="21"/>
                    </w:rPr>
                    <w:t>65</w:t>
                  </w:r>
                </w:p>
              </w:tc>
              <w:tc>
                <w:tcPr>
                  <w:tcW w:w="2066" w:type="dxa"/>
                  <w:vAlign w:val="center"/>
                </w:tcPr>
                <w:p>
                  <w:pPr>
                    <w:jc w:val="center"/>
                    <w:rPr>
                      <w:bCs/>
                      <w:szCs w:val="21"/>
                    </w:rPr>
                  </w:pPr>
                  <w:r>
                    <w:rPr>
                      <w:rFonts w:hint="eastAsia"/>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pPr>
                    <w:jc w:val="center"/>
                    <w:rPr>
                      <w:bCs/>
                      <w:szCs w:val="21"/>
                    </w:rPr>
                  </w:pPr>
                  <w:r>
                    <w:rPr>
                      <w:rFonts w:hint="eastAsia"/>
                      <w:bCs/>
                      <w:szCs w:val="21"/>
                    </w:rPr>
                    <w:t>厂界（南侧）</w:t>
                  </w:r>
                </w:p>
              </w:tc>
              <w:tc>
                <w:tcPr>
                  <w:tcW w:w="2066" w:type="dxa"/>
                  <w:vAlign w:val="center"/>
                </w:tcPr>
                <w:p>
                  <w:pPr>
                    <w:jc w:val="center"/>
                    <w:rPr>
                      <w:rFonts w:hint="default" w:eastAsia="宋体"/>
                      <w:bCs/>
                      <w:szCs w:val="21"/>
                      <w:lang w:val="en-US" w:eastAsia="zh-CN"/>
                    </w:rPr>
                  </w:pPr>
                  <w:r>
                    <w:rPr>
                      <w:rFonts w:hint="eastAsia"/>
                      <w:bCs/>
                      <w:szCs w:val="21"/>
                      <w:lang w:val="en-US" w:eastAsia="zh-CN"/>
                    </w:rPr>
                    <w:t>50</w:t>
                  </w:r>
                </w:p>
              </w:tc>
              <w:tc>
                <w:tcPr>
                  <w:tcW w:w="2066" w:type="dxa"/>
                  <w:vAlign w:val="center"/>
                </w:tcPr>
                <w:p>
                  <w:pPr>
                    <w:jc w:val="center"/>
                    <w:rPr>
                      <w:bCs/>
                      <w:szCs w:val="21"/>
                    </w:rPr>
                  </w:pPr>
                  <w:r>
                    <w:rPr>
                      <w:rFonts w:hint="eastAsia"/>
                      <w:bCs/>
                      <w:szCs w:val="21"/>
                    </w:rPr>
                    <w:t>65</w:t>
                  </w:r>
                </w:p>
              </w:tc>
              <w:tc>
                <w:tcPr>
                  <w:tcW w:w="2066" w:type="dxa"/>
                  <w:vAlign w:val="center"/>
                </w:tcPr>
                <w:p>
                  <w:pPr>
                    <w:jc w:val="center"/>
                    <w:rPr>
                      <w:bCs/>
                      <w:szCs w:val="21"/>
                    </w:rPr>
                  </w:pPr>
                  <w:r>
                    <w:rPr>
                      <w:rFonts w:hint="eastAsia"/>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pPr>
                    <w:jc w:val="center"/>
                    <w:rPr>
                      <w:bCs/>
                      <w:szCs w:val="21"/>
                    </w:rPr>
                  </w:pPr>
                  <w:r>
                    <w:rPr>
                      <w:rFonts w:hint="eastAsia"/>
                      <w:bCs/>
                      <w:szCs w:val="21"/>
                    </w:rPr>
                    <w:t>厂界（西侧）</w:t>
                  </w:r>
                </w:p>
              </w:tc>
              <w:tc>
                <w:tcPr>
                  <w:tcW w:w="2066" w:type="dxa"/>
                  <w:vAlign w:val="center"/>
                </w:tcPr>
                <w:p>
                  <w:pPr>
                    <w:jc w:val="center"/>
                    <w:rPr>
                      <w:rFonts w:hint="default" w:eastAsia="宋体"/>
                      <w:bCs/>
                      <w:szCs w:val="21"/>
                      <w:lang w:val="en-US" w:eastAsia="zh-CN"/>
                    </w:rPr>
                  </w:pPr>
                  <w:r>
                    <w:rPr>
                      <w:rFonts w:hint="eastAsia"/>
                      <w:bCs/>
                      <w:szCs w:val="21"/>
                      <w:lang w:val="en-US" w:eastAsia="zh-CN"/>
                    </w:rPr>
                    <w:t>50</w:t>
                  </w:r>
                </w:p>
              </w:tc>
              <w:tc>
                <w:tcPr>
                  <w:tcW w:w="2066" w:type="dxa"/>
                  <w:vAlign w:val="center"/>
                </w:tcPr>
                <w:p>
                  <w:pPr>
                    <w:jc w:val="center"/>
                    <w:rPr>
                      <w:bCs/>
                      <w:szCs w:val="21"/>
                    </w:rPr>
                  </w:pPr>
                  <w:r>
                    <w:rPr>
                      <w:rFonts w:hint="eastAsia"/>
                      <w:bCs/>
                      <w:szCs w:val="21"/>
                    </w:rPr>
                    <w:t>65</w:t>
                  </w:r>
                </w:p>
              </w:tc>
              <w:tc>
                <w:tcPr>
                  <w:tcW w:w="2066" w:type="dxa"/>
                  <w:vAlign w:val="center"/>
                </w:tcPr>
                <w:p>
                  <w:pPr>
                    <w:jc w:val="center"/>
                    <w:rPr>
                      <w:bCs/>
                      <w:szCs w:val="21"/>
                    </w:rPr>
                  </w:pPr>
                  <w:r>
                    <w:rPr>
                      <w:rFonts w:hint="eastAsia"/>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vAlign w:val="center"/>
                </w:tcPr>
                <w:p>
                  <w:pPr>
                    <w:jc w:val="center"/>
                    <w:rPr>
                      <w:bCs/>
                      <w:szCs w:val="21"/>
                    </w:rPr>
                  </w:pPr>
                  <w:r>
                    <w:rPr>
                      <w:rFonts w:hint="eastAsia"/>
                      <w:bCs/>
                      <w:szCs w:val="21"/>
                    </w:rPr>
                    <w:t>厂界（北侧）</w:t>
                  </w:r>
                </w:p>
              </w:tc>
              <w:tc>
                <w:tcPr>
                  <w:tcW w:w="2066" w:type="dxa"/>
                  <w:vAlign w:val="center"/>
                </w:tcPr>
                <w:p>
                  <w:pPr>
                    <w:jc w:val="center"/>
                    <w:rPr>
                      <w:rFonts w:hint="default" w:eastAsia="宋体"/>
                      <w:bCs/>
                      <w:szCs w:val="21"/>
                      <w:lang w:val="en-US" w:eastAsia="zh-CN"/>
                    </w:rPr>
                  </w:pPr>
                  <w:r>
                    <w:rPr>
                      <w:rFonts w:hint="eastAsia"/>
                      <w:bCs/>
                      <w:szCs w:val="21"/>
                      <w:lang w:val="en-US" w:eastAsia="zh-CN"/>
                    </w:rPr>
                    <w:t>50</w:t>
                  </w:r>
                </w:p>
              </w:tc>
              <w:tc>
                <w:tcPr>
                  <w:tcW w:w="2066" w:type="dxa"/>
                  <w:vAlign w:val="center"/>
                </w:tcPr>
                <w:p>
                  <w:pPr>
                    <w:jc w:val="center"/>
                    <w:rPr>
                      <w:bCs/>
                      <w:szCs w:val="21"/>
                    </w:rPr>
                  </w:pPr>
                  <w:r>
                    <w:rPr>
                      <w:rFonts w:hint="eastAsia"/>
                      <w:bCs/>
                      <w:szCs w:val="21"/>
                    </w:rPr>
                    <w:t>65</w:t>
                  </w:r>
                </w:p>
              </w:tc>
              <w:tc>
                <w:tcPr>
                  <w:tcW w:w="2066" w:type="dxa"/>
                  <w:vAlign w:val="center"/>
                </w:tcPr>
                <w:p>
                  <w:pPr>
                    <w:jc w:val="center"/>
                    <w:rPr>
                      <w:bCs/>
                      <w:szCs w:val="21"/>
                    </w:rPr>
                  </w:pPr>
                  <w:r>
                    <w:rPr>
                      <w:rFonts w:hint="eastAsia"/>
                      <w:bCs/>
                      <w:szCs w:val="21"/>
                    </w:rPr>
                    <w:t>是</w:t>
                  </w:r>
                </w:p>
              </w:tc>
            </w:tr>
          </w:tbl>
          <w:p>
            <w:pPr>
              <w:spacing w:line="360" w:lineRule="auto"/>
              <w:ind w:firstLine="480" w:firstLineChars="200"/>
              <w:rPr>
                <w:bCs/>
                <w:sz w:val="24"/>
              </w:rPr>
            </w:pPr>
            <w:r>
              <w:rPr>
                <w:bCs/>
                <w:sz w:val="24"/>
              </w:rPr>
              <w:t>根据上</w:t>
            </w:r>
            <w:r>
              <w:rPr>
                <w:rFonts w:hint="eastAsia"/>
                <w:bCs/>
                <w:sz w:val="24"/>
              </w:rPr>
              <w:t>表</w:t>
            </w:r>
            <w:r>
              <w:rPr>
                <w:bCs/>
                <w:sz w:val="24"/>
              </w:rPr>
              <w:t>分析可知：项目完成后，各厂界</w:t>
            </w:r>
            <w:r>
              <w:rPr>
                <w:rFonts w:hint="eastAsia"/>
                <w:bCs/>
                <w:sz w:val="24"/>
              </w:rPr>
              <w:t>昼间</w:t>
            </w:r>
            <w:r>
              <w:rPr>
                <w:bCs/>
                <w:sz w:val="24"/>
              </w:rPr>
              <w:t>噪声</w:t>
            </w:r>
            <w:r>
              <w:rPr>
                <w:rFonts w:hint="eastAsia"/>
                <w:bCs/>
                <w:sz w:val="24"/>
              </w:rPr>
              <w:t>贡献值</w:t>
            </w:r>
            <w:r>
              <w:rPr>
                <w:bCs/>
                <w:sz w:val="24"/>
              </w:rPr>
              <w:t>均可达到《工业企业</w:t>
            </w:r>
            <w:r>
              <w:rPr>
                <w:sz w:val="24"/>
              </w:rPr>
              <w:t>厂</w:t>
            </w:r>
            <w:r>
              <w:rPr>
                <w:bCs/>
                <w:sz w:val="24"/>
              </w:rPr>
              <w:t>界环境噪声排放标准》（GB12348-2008）中</w:t>
            </w:r>
            <w:r>
              <w:rPr>
                <w:rFonts w:hint="eastAsia"/>
                <w:bCs/>
                <w:sz w:val="24"/>
              </w:rPr>
              <w:t>3</w:t>
            </w:r>
            <w:r>
              <w:rPr>
                <w:bCs/>
                <w:sz w:val="24"/>
              </w:rPr>
              <w:t>类标准限值要求。</w:t>
            </w:r>
          </w:p>
          <w:p>
            <w:pPr>
              <w:spacing w:line="360" w:lineRule="auto"/>
              <w:ind w:firstLine="480" w:firstLineChars="200"/>
              <w:rPr>
                <w:bCs/>
                <w:sz w:val="24"/>
              </w:rPr>
            </w:pPr>
            <w:r>
              <w:rPr>
                <w:bCs/>
                <w:sz w:val="24"/>
              </w:rPr>
              <w:t>因此，项目完成后对周边声环境的影响较小。</w:t>
            </w:r>
          </w:p>
          <w:p>
            <w:pPr>
              <w:pStyle w:val="91"/>
              <w:spacing w:line="360" w:lineRule="auto"/>
              <w:ind w:firstLine="480" w:firstLineChars="200"/>
              <w:rPr>
                <w:sz w:val="24"/>
              </w:rPr>
            </w:pPr>
            <w:r>
              <w:rPr>
                <w:sz w:val="24"/>
              </w:rPr>
              <w:t>针对本项目噪声源，建议建设单位采取以下措施减少噪声环境影响：</w:t>
            </w:r>
          </w:p>
          <w:p>
            <w:pPr>
              <w:pStyle w:val="91"/>
              <w:spacing w:line="360" w:lineRule="auto"/>
              <w:ind w:firstLine="480" w:firstLineChars="200"/>
              <w:rPr>
                <w:sz w:val="24"/>
              </w:rPr>
            </w:pPr>
            <w:r>
              <w:rPr>
                <w:sz w:val="24"/>
              </w:rPr>
              <w:t>①合理调整车间内设备布置，尽量将产噪设备布置于项目中心位置，针对高噪声设备，在底部设置减震垫；</w:t>
            </w:r>
          </w:p>
          <w:p>
            <w:pPr>
              <w:pStyle w:val="91"/>
              <w:spacing w:line="360" w:lineRule="auto"/>
              <w:ind w:firstLine="480" w:firstLineChars="200"/>
              <w:rPr>
                <w:sz w:val="24"/>
              </w:rPr>
            </w:pPr>
            <w:r>
              <w:rPr>
                <w:sz w:val="24"/>
              </w:rPr>
              <w:t>②定期对设备进行维修保养，确保设备处于良好的运转状态，杜绝因设备确保不正常运转时产生的高噪声现象；</w:t>
            </w:r>
          </w:p>
          <w:p>
            <w:pPr>
              <w:spacing w:line="360" w:lineRule="auto"/>
              <w:ind w:firstLine="480" w:firstLineChars="200"/>
              <w:jc w:val="left"/>
              <w:rPr>
                <w:sz w:val="24"/>
              </w:rPr>
            </w:pPr>
            <w:r>
              <w:rPr>
                <w:sz w:val="24"/>
              </w:rPr>
              <w:t>综上所述，项目所产生的设备噪声通过采取以上治理措施后，对周边声环境影响较小</w:t>
            </w:r>
            <w:r>
              <w:rPr>
                <w:rFonts w:hint="eastAsia"/>
                <w:sz w:val="24"/>
              </w:rPr>
              <w:t>。</w:t>
            </w:r>
          </w:p>
          <w:p>
            <w:pPr>
              <w:pStyle w:val="3"/>
              <w:spacing w:before="0" w:after="0"/>
              <w:ind w:left="0" w:firstLine="0" w:firstLineChars="0"/>
              <w:rPr>
                <w:rFonts w:eastAsia="宋体"/>
                <w:bCs w:val="0"/>
                <w:color w:val="auto"/>
                <w:kern w:val="2"/>
                <w:szCs w:val="24"/>
              </w:rPr>
            </w:pPr>
            <w:r>
              <w:rPr>
                <w:rFonts w:eastAsia="宋体"/>
                <w:bCs w:val="0"/>
                <w:color w:val="auto"/>
                <w:kern w:val="2"/>
                <w:szCs w:val="24"/>
              </w:rPr>
              <w:t>3.3、监测要求</w:t>
            </w:r>
          </w:p>
          <w:p>
            <w:pPr>
              <w:spacing w:line="360" w:lineRule="auto"/>
              <w:ind w:firstLine="480" w:firstLineChars="200"/>
              <w:jc w:val="left"/>
              <w:rPr>
                <w:bCs/>
                <w:sz w:val="24"/>
              </w:rPr>
            </w:pPr>
            <w:r>
              <w:rPr>
                <w:bCs/>
                <w:sz w:val="24"/>
              </w:rPr>
              <w:t>项目运营期噪声监测计划详见下表：</w:t>
            </w:r>
          </w:p>
          <w:p>
            <w:pPr>
              <w:jc w:val="center"/>
              <w:rPr>
                <w:b/>
                <w:szCs w:val="21"/>
              </w:rPr>
            </w:pPr>
            <w:r>
              <w:rPr>
                <w:b/>
                <w:szCs w:val="21"/>
              </w:rPr>
              <w:t>表4-</w:t>
            </w:r>
            <w:r>
              <w:rPr>
                <w:rFonts w:hint="eastAsia"/>
                <w:b/>
                <w:szCs w:val="21"/>
              </w:rPr>
              <w:t xml:space="preserve">28 </w:t>
            </w:r>
            <w:r>
              <w:rPr>
                <w:b/>
                <w:szCs w:val="21"/>
              </w:rPr>
              <w:t xml:space="preserve">  噪声监测计划一览表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2481"/>
              <w:gridCol w:w="3342"/>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Align w:val="center"/>
                </w:tcPr>
                <w:p>
                  <w:pPr>
                    <w:jc w:val="center"/>
                    <w:rPr>
                      <w:b/>
                      <w:szCs w:val="21"/>
                    </w:rPr>
                  </w:pPr>
                  <w:r>
                    <w:rPr>
                      <w:b/>
                      <w:szCs w:val="21"/>
                    </w:rPr>
                    <w:t>类别</w:t>
                  </w:r>
                </w:p>
              </w:tc>
              <w:tc>
                <w:tcPr>
                  <w:tcW w:w="1502" w:type="pct"/>
                  <w:vAlign w:val="center"/>
                </w:tcPr>
                <w:p>
                  <w:pPr>
                    <w:jc w:val="center"/>
                    <w:rPr>
                      <w:b/>
                      <w:szCs w:val="21"/>
                    </w:rPr>
                  </w:pPr>
                  <w:r>
                    <w:rPr>
                      <w:b/>
                      <w:szCs w:val="21"/>
                    </w:rPr>
                    <w:t>监测点位</w:t>
                  </w:r>
                </w:p>
              </w:tc>
              <w:tc>
                <w:tcPr>
                  <w:tcW w:w="2024" w:type="pct"/>
                  <w:vAlign w:val="center"/>
                </w:tcPr>
                <w:p>
                  <w:pPr>
                    <w:jc w:val="center"/>
                    <w:rPr>
                      <w:b/>
                      <w:szCs w:val="21"/>
                    </w:rPr>
                  </w:pPr>
                  <w:r>
                    <w:rPr>
                      <w:b/>
                      <w:szCs w:val="21"/>
                    </w:rPr>
                    <w:t>监测因子</w:t>
                  </w:r>
                </w:p>
              </w:tc>
              <w:tc>
                <w:tcPr>
                  <w:tcW w:w="843" w:type="pct"/>
                  <w:vAlign w:val="center"/>
                </w:tcPr>
                <w:p>
                  <w:pPr>
                    <w:jc w:val="center"/>
                    <w:rPr>
                      <w:b/>
                      <w:szCs w:val="21"/>
                    </w:rPr>
                  </w:pPr>
                  <w:r>
                    <w:rPr>
                      <w:b/>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Align w:val="center"/>
                </w:tcPr>
                <w:p>
                  <w:pPr>
                    <w:jc w:val="center"/>
                    <w:rPr>
                      <w:bCs/>
                      <w:szCs w:val="21"/>
                    </w:rPr>
                  </w:pPr>
                  <w:r>
                    <w:rPr>
                      <w:bCs/>
                      <w:szCs w:val="21"/>
                    </w:rPr>
                    <w:t>噪声</w:t>
                  </w:r>
                </w:p>
              </w:tc>
              <w:tc>
                <w:tcPr>
                  <w:tcW w:w="1502" w:type="pct"/>
                  <w:vAlign w:val="center"/>
                </w:tcPr>
                <w:p>
                  <w:pPr>
                    <w:jc w:val="center"/>
                    <w:rPr>
                      <w:bCs/>
                      <w:szCs w:val="21"/>
                    </w:rPr>
                  </w:pPr>
                  <w:r>
                    <w:rPr>
                      <w:bCs/>
                      <w:szCs w:val="21"/>
                    </w:rPr>
                    <w:t>四周厂界</w:t>
                  </w:r>
                </w:p>
              </w:tc>
              <w:tc>
                <w:tcPr>
                  <w:tcW w:w="2024" w:type="pct"/>
                  <w:vAlign w:val="center"/>
                </w:tcPr>
                <w:p>
                  <w:pPr>
                    <w:jc w:val="center"/>
                    <w:rPr>
                      <w:bCs/>
                      <w:szCs w:val="21"/>
                    </w:rPr>
                  </w:pPr>
                  <w:r>
                    <w:rPr>
                      <w:bCs/>
                      <w:szCs w:val="21"/>
                    </w:rPr>
                    <w:t>等效连续A声级（昼间）</w:t>
                  </w:r>
                </w:p>
              </w:tc>
              <w:tc>
                <w:tcPr>
                  <w:tcW w:w="843" w:type="pct"/>
                  <w:vAlign w:val="center"/>
                </w:tcPr>
                <w:p>
                  <w:pPr>
                    <w:jc w:val="center"/>
                    <w:rPr>
                      <w:bCs/>
                      <w:szCs w:val="21"/>
                    </w:rPr>
                  </w:pPr>
                  <w:r>
                    <w:rPr>
                      <w:bCs/>
                      <w:szCs w:val="21"/>
                    </w:rPr>
                    <w:t>1次/季度</w:t>
                  </w:r>
                </w:p>
              </w:tc>
            </w:tr>
          </w:tbl>
          <w:p>
            <w:pPr>
              <w:spacing w:line="360" w:lineRule="auto"/>
              <w:rPr>
                <w:b/>
                <w:bCs/>
                <w:sz w:val="24"/>
              </w:rPr>
            </w:pPr>
            <w:r>
              <w:rPr>
                <w:b/>
                <w:bCs/>
                <w:sz w:val="24"/>
              </w:rPr>
              <w:t>4、固体废物</w:t>
            </w:r>
          </w:p>
          <w:p>
            <w:pPr>
              <w:spacing w:line="360" w:lineRule="auto"/>
              <w:ind w:firstLine="480" w:firstLineChars="200"/>
              <w:jc w:val="left"/>
              <w:rPr>
                <w:bCs/>
                <w:sz w:val="24"/>
              </w:rPr>
            </w:pPr>
            <w:r>
              <w:rPr>
                <w:rFonts w:hint="eastAsia"/>
                <w:bCs/>
                <w:sz w:val="24"/>
              </w:rPr>
              <w:t>项目主要固体废物有员工办公产生的生活垃圾，一般固废有机加工产生的废边角料、废包装，危险固废有废润滑油、废润滑油桶、含油抹布等</w:t>
            </w:r>
          </w:p>
          <w:p>
            <w:pPr>
              <w:spacing w:line="360" w:lineRule="auto"/>
              <w:rPr>
                <w:b/>
                <w:snapToGrid w:val="0"/>
                <w:kern w:val="0"/>
                <w:sz w:val="24"/>
              </w:rPr>
            </w:pPr>
            <w:r>
              <w:rPr>
                <w:rFonts w:hint="eastAsia"/>
                <w:b/>
                <w:snapToGrid w:val="0"/>
                <w:kern w:val="0"/>
                <w:sz w:val="24"/>
              </w:rPr>
              <w:t>4.1固体废物源强核算</w:t>
            </w:r>
          </w:p>
          <w:p>
            <w:pPr>
              <w:spacing w:line="360" w:lineRule="auto"/>
              <w:rPr>
                <w:b/>
                <w:snapToGrid w:val="0"/>
                <w:kern w:val="0"/>
                <w:sz w:val="24"/>
              </w:rPr>
            </w:pPr>
            <w:r>
              <w:rPr>
                <w:rFonts w:hint="eastAsia"/>
                <w:b/>
                <w:snapToGrid w:val="0"/>
                <w:kern w:val="0"/>
                <w:sz w:val="24"/>
              </w:rPr>
              <w:t>（1）生活垃圾</w:t>
            </w:r>
          </w:p>
          <w:p>
            <w:pPr>
              <w:spacing w:line="360" w:lineRule="auto"/>
              <w:ind w:firstLine="480" w:firstLineChars="200"/>
              <w:rPr>
                <w:bCs/>
                <w:snapToGrid w:val="0"/>
                <w:kern w:val="0"/>
                <w:sz w:val="24"/>
              </w:rPr>
            </w:pPr>
            <w:r>
              <w:rPr>
                <w:rFonts w:hint="eastAsia"/>
                <w:bCs/>
                <w:snapToGrid w:val="0"/>
                <w:kern w:val="0"/>
                <w:sz w:val="24"/>
              </w:rPr>
              <w:t>本项目劳动定员400名员工，生活垃圾产生量按0.5kg/人•d计算，则生活垃圾产生量为200kg/d，60t/a。生活垃圾主要为一些瓜皮纸屑，收集后交由环卫部门处理。</w:t>
            </w:r>
          </w:p>
          <w:p>
            <w:pPr>
              <w:spacing w:line="360" w:lineRule="auto"/>
              <w:rPr>
                <w:b/>
                <w:snapToGrid w:val="0"/>
                <w:kern w:val="0"/>
                <w:sz w:val="24"/>
              </w:rPr>
            </w:pPr>
            <w:r>
              <w:rPr>
                <w:rFonts w:hint="eastAsia"/>
                <w:b/>
                <w:snapToGrid w:val="0"/>
                <w:kern w:val="0"/>
                <w:sz w:val="24"/>
              </w:rPr>
              <w:t>（2）一般工业固废</w:t>
            </w:r>
          </w:p>
          <w:p>
            <w:pPr>
              <w:adjustRightInd w:val="0"/>
              <w:snapToGrid w:val="0"/>
              <w:spacing w:line="360" w:lineRule="auto"/>
              <w:ind w:firstLine="480" w:firstLineChars="200"/>
              <w:rPr>
                <w:sz w:val="24"/>
              </w:rPr>
            </w:pPr>
            <w:r>
              <w:rPr>
                <w:rFonts w:hint="eastAsia"/>
                <w:sz w:val="24"/>
              </w:rPr>
              <w:t>①</w:t>
            </w:r>
            <w:r>
              <w:rPr>
                <w:rFonts w:hint="eastAsia"/>
                <w:sz w:val="24"/>
                <w:lang w:val="zh-CN"/>
              </w:rPr>
              <w:t>废包装</w:t>
            </w:r>
            <w:r>
              <w:rPr>
                <w:rFonts w:hint="eastAsia"/>
                <w:sz w:val="24"/>
              </w:rPr>
              <w:t>材料</w:t>
            </w:r>
          </w:p>
          <w:p>
            <w:pPr>
              <w:adjustRightInd w:val="0"/>
              <w:snapToGrid w:val="0"/>
              <w:spacing w:line="360" w:lineRule="auto"/>
              <w:ind w:firstLine="480" w:firstLineChars="200"/>
              <w:rPr>
                <w:sz w:val="24"/>
                <w:lang w:val="zh-CN"/>
              </w:rPr>
            </w:pPr>
            <w:r>
              <w:rPr>
                <w:rFonts w:hint="eastAsia"/>
                <w:sz w:val="24"/>
              </w:rPr>
              <w:t>项目会产生废包装材料，主要为废纸等，</w:t>
            </w:r>
            <w:r>
              <w:rPr>
                <w:rFonts w:hint="eastAsia"/>
                <w:sz w:val="24"/>
                <w:lang w:val="zh-CN"/>
              </w:rPr>
              <w:t>产生量为</w:t>
            </w:r>
            <w:r>
              <w:rPr>
                <w:rFonts w:hint="eastAsia"/>
                <w:sz w:val="24"/>
              </w:rPr>
              <w:t>5</w:t>
            </w:r>
            <w:r>
              <w:rPr>
                <w:rFonts w:hint="eastAsia"/>
                <w:sz w:val="24"/>
                <w:lang w:val="zh-CN"/>
              </w:rPr>
              <w:t>t/a。暂存一般固废暂存间后交物资回收单位处理。</w:t>
            </w:r>
          </w:p>
          <w:p>
            <w:pPr>
              <w:adjustRightInd w:val="0"/>
              <w:snapToGrid w:val="0"/>
              <w:spacing w:line="360" w:lineRule="auto"/>
              <w:ind w:firstLine="480" w:firstLineChars="200"/>
              <w:rPr>
                <w:sz w:val="24"/>
              </w:rPr>
            </w:pPr>
            <w:r>
              <w:rPr>
                <w:rFonts w:hint="eastAsia"/>
                <w:sz w:val="24"/>
              </w:rPr>
              <w:t>②</w:t>
            </w:r>
            <w:r>
              <w:rPr>
                <w:rFonts w:hint="eastAsia"/>
                <w:sz w:val="24"/>
                <w:lang w:val="zh-CN"/>
              </w:rPr>
              <w:t>废</w:t>
            </w:r>
            <w:r>
              <w:rPr>
                <w:rFonts w:hint="eastAsia"/>
                <w:sz w:val="24"/>
              </w:rPr>
              <w:t>木屑</w:t>
            </w:r>
          </w:p>
          <w:p>
            <w:pPr>
              <w:adjustRightInd w:val="0"/>
              <w:snapToGrid w:val="0"/>
              <w:spacing w:line="360" w:lineRule="auto"/>
              <w:ind w:firstLine="480" w:firstLineChars="200"/>
              <w:rPr>
                <w:sz w:val="24"/>
              </w:rPr>
            </w:pPr>
            <w:r>
              <w:rPr>
                <w:rFonts w:hint="eastAsia"/>
                <w:sz w:val="24"/>
              </w:rPr>
              <w:t>项目在下料、机加工等工序会产生少量的废木屑，根据建设单位介绍，产生量约为20t/a，收集后送相关回收单位。</w:t>
            </w:r>
          </w:p>
          <w:p>
            <w:pPr>
              <w:adjustRightInd w:val="0"/>
              <w:snapToGrid w:val="0"/>
              <w:spacing w:line="360" w:lineRule="auto"/>
              <w:ind w:firstLine="480" w:firstLineChars="200"/>
              <w:rPr>
                <w:sz w:val="24"/>
              </w:rPr>
            </w:pPr>
            <w:r>
              <w:rPr>
                <w:rFonts w:hint="eastAsia"/>
                <w:sz w:val="24"/>
              </w:rPr>
              <w:t>③收集尘</w:t>
            </w:r>
          </w:p>
          <w:p>
            <w:pPr>
              <w:adjustRightInd w:val="0"/>
              <w:snapToGrid w:val="0"/>
              <w:spacing w:line="360" w:lineRule="auto"/>
              <w:ind w:firstLine="480" w:firstLineChars="200"/>
              <w:rPr>
                <w:sz w:val="24"/>
              </w:rPr>
            </w:pPr>
            <w:r>
              <w:rPr>
                <w:rFonts w:hint="eastAsia"/>
                <w:sz w:val="24"/>
              </w:rPr>
              <w:t>项目下料、机加工、砂光、腻子粉打磨等工序收集的集尘灰，年收集量约为5.5t/a，收集后送相关回收单位。</w:t>
            </w:r>
          </w:p>
          <w:p>
            <w:pPr>
              <w:adjustRightInd w:val="0"/>
              <w:snapToGrid w:val="0"/>
              <w:spacing w:line="360" w:lineRule="auto"/>
              <w:ind w:firstLine="480" w:firstLineChars="200"/>
              <w:rPr>
                <w:sz w:val="24"/>
              </w:rPr>
            </w:pPr>
            <w:r>
              <w:rPr>
                <w:rFonts w:hint="eastAsia"/>
                <w:sz w:val="24"/>
              </w:rPr>
              <w:t>④废砂纸</w:t>
            </w:r>
          </w:p>
          <w:p>
            <w:pPr>
              <w:adjustRightInd w:val="0"/>
              <w:snapToGrid w:val="0"/>
              <w:spacing w:line="360" w:lineRule="auto"/>
              <w:ind w:firstLine="480" w:firstLineChars="200"/>
              <w:rPr>
                <w:sz w:val="24"/>
              </w:rPr>
            </w:pPr>
            <w:r>
              <w:rPr>
                <w:rFonts w:hint="eastAsia"/>
                <w:sz w:val="24"/>
              </w:rPr>
              <w:t>腻子粉打磨工序会产生废砂纸，产生量约为0.5t/a，收集后送相关回收单位。</w:t>
            </w:r>
          </w:p>
          <w:p>
            <w:pPr>
              <w:spacing w:line="360" w:lineRule="auto"/>
              <w:rPr>
                <w:b/>
                <w:snapToGrid w:val="0"/>
                <w:kern w:val="0"/>
                <w:sz w:val="24"/>
              </w:rPr>
            </w:pPr>
            <w:r>
              <w:rPr>
                <w:rFonts w:hint="eastAsia"/>
                <w:b/>
                <w:snapToGrid w:val="0"/>
                <w:kern w:val="0"/>
                <w:sz w:val="24"/>
              </w:rPr>
              <w:t>（3）危险废物</w:t>
            </w:r>
          </w:p>
          <w:p>
            <w:pPr>
              <w:spacing w:line="360" w:lineRule="auto"/>
              <w:ind w:firstLine="480" w:firstLineChars="200"/>
              <w:rPr>
                <w:kern w:val="1"/>
                <w:sz w:val="24"/>
              </w:rPr>
            </w:pPr>
            <w:r>
              <w:rPr>
                <w:rFonts w:hint="eastAsia"/>
                <w:sz w:val="24"/>
              </w:rPr>
              <w:t>①</w:t>
            </w:r>
            <w:r>
              <w:rPr>
                <w:kern w:val="1"/>
                <w:sz w:val="24"/>
              </w:rPr>
              <w:t>废润滑油</w:t>
            </w:r>
          </w:p>
          <w:p>
            <w:pPr>
              <w:spacing w:line="360" w:lineRule="auto"/>
              <w:ind w:firstLine="480" w:firstLineChars="200"/>
              <w:rPr>
                <w:kern w:val="1"/>
                <w:sz w:val="24"/>
              </w:rPr>
            </w:pPr>
            <w:r>
              <w:rPr>
                <w:rFonts w:hint="eastAsia"/>
                <w:kern w:val="1"/>
                <w:sz w:val="24"/>
              </w:rPr>
              <w:t>拟建项目机械设备等需要进行维护保养，将会产生废润滑油，根据建设单位介绍，润滑油使用量</w:t>
            </w:r>
            <w:r>
              <w:rPr>
                <w:kern w:val="1"/>
                <w:sz w:val="24"/>
              </w:rPr>
              <w:t>为</w:t>
            </w:r>
            <w:r>
              <w:rPr>
                <w:rFonts w:hint="eastAsia"/>
                <w:kern w:val="1"/>
                <w:sz w:val="24"/>
              </w:rPr>
              <w:t>0.2</w:t>
            </w:r>
            <w:r>
              <w:rPr>
                <w:kern w:val="1"/>
                <w:sz w:val="24"/>
              </w:rPr>
              <w:t>t/a，</w:t>
            </w:r>
            <w:r>
              <w:rPr>
                <w:rFonts w:hint="eastAsia"/>
                <w:kern w:val="1"/>
                <w:sz w:val="24"/>
              </w:rPr>
              <w:t>因此废润滑油产生量为0.2</w:t>
            </w:r>
            <w:r>
              <w:rPr>
                <w:kern w:val="1"/>
                <w:sz w:val="24"/>
              </w:rPr>
              <w:t>t/a。</w:t>
            </w:r>
            <w:r>
              <w:rPr>
                <w:rFonts w:hint="eastAsia"/>
                <w:kern w:val="1"/>
                <w:sz w:val="24"/>
              </w:rPr>
              <w:t>根据</w:t>
            </w:r>
            <w:r>
              <w:rPr>
                <w:kern w:val="1"/>
                <w:sz w:val="24"/>
              </w:rPr>
              <w:t>《国家危险废物名录》（202</w:t>
            </w:r>
            <w:r>
              <w:rPr>
                <w:rFonts w:hint="eastAsia"/>
                <w:kern w:val="1"/>
                <w:sz w:val="24"/>
              </w:rPr>
              <w:t>5</w:t>
            </w:r>
            <w:r>
              <w:rPr>
                <w:kern w:val="1"/>
                <w:sz w:val="24"/>
              </w:rPr>
              <w:t>版）</w:t>
            </w:r>
            <w:r>
              <w:rPr>
                <w:rFonts w:hint="eastAsia"/>
                <w:kern w:val="1"/>
                <w:sz w:val="24"/>
              </w:rPr>
              <w:t>的规定，废润滑油属于名录</w:t>
            </w:r>
            <w:r>
              <w:rPr>
                <w:kern w:val="1"/>
                <w:sz w:val="24"/>
              </w:rPr>
              <w:t>中的HW08</w:t>
            </w:r>
            <w:r>
              <w:rPr>
                <w:rFonts w:hint="eastAsia"/>
                <w:kern w:val="1"/>
                <w:sz w:val="24"/>
              </w:rPr>
              <w:t>类别</w:t>
            </w:r>
            <w:r>
              <w:rPr>
                <w:kern w:val="1"/>
                <w:sz w:val="24"/>
              </w:rPr>
              <w:t>，</w:t>
            </w:r>
            <w:r>
              <w:rPr>
                <w:rFonts w:hint="eastAsia"/>
                <w:kern w:val="1"/>
                <w:sz w:val="24"/>
              </w:rPr>
              <w:t>代码900-249-08，收集后</w:t>
            </w:r>
            <w:r>
              <w:rPr>
                <w:kern w:val="1"/>
                <w:sz w:val="24"/>
              </w:rPr>
              <w:t>依据国家相关环保规定，设置专用收集桶回收废润滑油，放置于密闭容器中，再置于托盘上，暂存于危废暂存间内，避免泄漏，最后交由有资质的单位处理。</w:t>
            </w:r>
          </w:p>
          <w:p>
            <w:pPr>
              <w:spacing w:line="360" w:lineRule="auto"/>
              <w:ind w:firstLine="480" w:firstLineChars="200"/>
              <w:rPr>
                <w:kern w:val="1"/>
                <w:sz w:val="24"/>
              </w:rPr>
            </w:pPr>
            <w:r>
              <w:rPr>
                <w:rFonts w:hint="eastAsia"/>
                <w:kern w:val="1"/>
                <w:sz w:val="24"/>
              </w:rPr>
              <w:t>②</w:t>
            </w:r>
            <w:r>
              <w:rPr>
                <w:kern w:val="1"/>
                <w:sz w:val="24"/>
              </w:rPr>
              <w:t>含油抹布、手套</w:t>
            </w:r>
          </w:p>
          <w:p>
            <w:pPr>
              <w:spacing w:line="360" w:lineRule="auto"/>
              <w:ind w:firstLine="480" w:firstLineChars="200"/>
              <w:rPr>
                <w:kern w:val="1"/>
                <w:sz w:val="24"/>
              </w:rPr>
            </w:pPr>
            <w:r>
              <w:rPr>
                <w:kern w:val="1"/>
                <w:sz w:val="24"/>
              </w:rPr>
              <w:t>含油抹布、手套为设备定期维护时更换产生，为危险废物，产生量约为0.</w:t>
            </w:r>
            <w:r>
              <w:rPr>
                <w:rFonts w:hint="eastAsia"/>
                <w:kern w:val="1"/>
                <w:sz w:val="24"/>
              </w:rPr>
              <w:t>02</w:t>
            </w:r>
            <w:r>
              <w:rPr>
                <w:kern w:val="1"/>
                <w:sz w:val="24"/>
              </w:rPr>
              <w:t>t/a，</w:t>
            </w:r>
            <w:r>
              <w:rPr>
                <w:rFonts w:hint="eastAsia"/>
                <w:kern w:val="1"/>
                <w:sz w:val="24"/>
              </w:rPr>
              <w:t>根据</w:t>
            </w:r>
            <w:r>
              <w:rPr>
                <w:kern w:val="1"/>
                <w:sz w:val="24"/>
              </w:rPr>
              <w:t>《国家危险废物名录》（202</w:t>
            </w:r>
            <w:r>
              <w:rPr>
                <w:rFonts w:hint="eastAsia"/>
                <w:kern w:val="1"/>
                <w:sz w:val="24"/>
              </w:rPr>
              <w:t>5</w:t>
            </w:r>
            <w:r>
              <w:rPr>
                <w:kern w:val="1"/>
                <w:sz w:val="24"/>
              </w:rPr>
              <w:t>版）的</w:t>
            </w:r>
            <w:r>
              <w:rPr>
                <w:rFonts w:hint="eastAsia"/>
                <w:kern w:val="1"/>
                <w:sz w:val="24"/>
              </w:rPr>
              <w:t>规定，</w:t>
            </w:r>
            <w:r>
              <w:rPr>
                <w:kern w:val="1"/>
                <w:sz w:val="24"/>
              </w:rPr>
              <w:t>含油抹布、手套</w:t>
            </w:r>
            <w:r>
              <w:rPr>
                <w:rFonts w:hint="eastAsia"/>
                <w:kern w:val="1"/>
                <w:sz w:val="24"/>
              </w:rPr>
              <w:t>属于</w:t>
            </w:r>
            <w:r>
              <w:rPr>
                <w:kern w:val="1"/>
                <w:sz w:val="24"/>
              </w:rPr>
              <w:t>HW49</w:t>
            </w:r>
            <w:r>
              <w:rPr>
                <w:rFonts w:hint="eastAsia"/>
                <w:kern w:val="1"/>
                <w:sz w:val="24"/>
              </w:rPr>
              <w:t>类别，代码900-041-49</w:t>
            </w:r>
            <w:r>
              <w:rPr>
                <w:kern w:val="1"/>
                <w:sz w:val="24"/>
              </w:rPr>
              <w:t>，</w:t>
            </w:r>
            <w:r>
              <w:rPr>
                <w:rFonts w:hint="eastAsia"/>
                <w:kern w:val="1"/>
                <w:sz w:val="24"/>
              </w:rPr>
              <w:t>收集后</w:t>
            </w:r>
            <w:r>
              <w:rPr>
                <w:kern w:val="1"/>
                <w:sz w:val="24"/>
              </w:rPr>
              <w:t>暂存于危废暂存间内，交由有资质的单位处理。</w:t>
            </w:r>
          </w:p>
          <w:p>
            <w:pPr>
              <w:adjustRightInd w:val="0"/>
              <w:snapToGrid w:val="0"/>
              <w:spacing w:line="360" w:lineRule="auto"/>
              <w:ind w:firstLine="480" w:firstLineChars="200"/>
              <w:jc w:val="left"/>
              <w:rPr>
                <w:bCs/>
                <w:sz w:val="24"/>
              </w:rPr>
            </w:pPr>
            <w:r>
              <w:rPr>
                <w:rFonts w:hint="eastAsia"/>
                <w:bCs/>
                <w:snapToGrid w:val="0"/>
                <w:kern w:val="0"/>
                <w:sz w:val="24"/>
              </w:rPr>
              <w:t>③</w:t>
            </w:r>
            <w:r>
              <w:rPr>
                <w:rFonts w:hint="eastAsia"/>
                <w:bCs/>
                <w:sz w:val="24"/>
              </w:rPr>
              <w:t>废润滑油桶</w:t>
            </w:r>
          </w:p>
          <w:p>
            <w:pPr>
              <w:widowControl/>
              <w:spacing w:line="360" w:lineRule="auto"/>
              <w:ind w:firstLine="480" w:firstLineChars="200"/>
              <w:rPr>
                <w:kern w:val="0"/>
                <w:sz w:val="24"/>
                <w:lang w:bidi="ar"/>
              </w:rPr>
            </w:pPr>
            <w:r>
              <w:rPr>
                <w:rFonts w:hint="eastAsia" w:ascii="宋体" w:hAnsi="宋体" w:cs="宋体"/>
                <w:kern w:val="0"/>
                <w:sz w:val="24"/>
                <w:lang w:bidi="ar"/>
              </w:rPr>
              <w:t>本项目使用的润滑油等均会产生废桶，</w:t>
            </w:r>
            <w:r>
              <w:rPr>
                <w:kern w:val="0"/>
                <w:sz w:val="24"/>
                <w:lang w:bidi="ar"/>
              </w:rPr>
              <w:t>产生量约为</w:t>
            </w:r>
            <w:r>
              <w:rPr>
                <w:rFonts w:hint="eastAsia"/>
                <w:kern w:val="0"/>
                <w:sz w:val="24"/>
                <w:lang w:bidi="ar"/>
              </w:rPr>
              <w:t>0.02</w:t>
            </w:r>
            <w:r>
              <w:rPr>
                <w:kern w:val="0"/>
                <w:sz w:val="24"/>
                <w:lang w:bidi="ar"/>
              </w:rPr>
              <w:t>t/a。</w:t>
            </w:r>
            <w:r>
              <w:rPr>
                <w:rFonts w:hint="eastAsia"/>
                <w:kern w:val="0"/>
                <w:sz w:val="24"/>
                <w:lang w:bidi="ar"/>
              </w:rPr>
              <w:t>根据</w:t>
            </w:r>
            <w:r>
              <w:rPr>
                <w:kern w:val="0"/>
                <w:sz w:val="24"/>
                <w:lang w:bidi="ar"/>
              </w:rPr>
              <w:t>《国家危险废物名录》（202</w:t>
            </w:r>
            <w:r>
              <w:rPr>
                <w:rFonts w:hint="eastAsia"/>
                <w:kern w:val="0"/>
                <w:sz w:val="24"/>
                <w:lang w:bidi="ar"/>
              </w:rPr>
              <w:t>5</w:t>
            </w:r>
            <w:r>
              <w:rPr>
                <w:kern w:val="0"/>
                <w:sz w:val="24"/>
                <w:lang w:bidi="ar"/>
              </w:rPr>
              <w:t>年版）可知，</w:t>
            </w:r>
            <w:r>
              <w:rPr>
                <w:rFonts w:hint="eastAsia"/>
                <w:kern w:val="0"/>
                <w:sz w:val="24"/>
                <w:lang w:bidi="ar"/>
              </w:rPr>
              <w:t>废润滑油桶</w:t>
            </w:r>
            <w:r>
              <w:rPr>
                <w:kern w:val="0"/>
                <w:sz w:val="24"/>
                <w:lang w:bidi="ar"/>
              </w:rPr>
              <w:t>危废类别为HW49其他废物（900-041-49），分类收集后暂存在危废间，定期交有资质单位处置。</w:t>
            </w:r>
          </w:p>
          <w:p>
            <w:pPr>
              <w:spacing w:line="360" w:lineRule="auto"/>
              <w:ind w:firstLine="480" w:firstLineChars="200"/>
              <w:rPr>
                <w:bCs/>
                <w:snapToGrid w:val="0"/>
                <w:kern w:val="0"/>
                <w:sz w:val="24"/>
              </w:rPr>
            </w:pPr>
            <w:r>
              <w:rPr>
                <w:rFonts w:hint="eastAsia"/>
                <w:bCs/>
                <w:snapToGrid w:val="0"/>
                <w:kern w:val="0"/>
                <w:sz w:val="24"/>
              </w:rPr>
              <w:t>④废漆渣</w:t>
            </w:r>
          </w:p>
          <w:p>
            <w:pPr>
              <w:spacing w:line="360" w:lineRule="auto"/>
              <w:ind w:firstLine="480" w:firstLineChars="200"/>
              <w:rPr>
                <w:kern w:val="1"/>
                <w:sz w:val="24"/>
                <w:u w:val="single"/>
              </w:rPr>
            </w:pPr>
            <w:r>
              <w:rPr>
                <w:kern w:val="1"/>
                <w:sz w:val="24"/>
              </w:rPr>
              <w:t>项目使用</w:t>
            </w:r>
            <w:r>
              <w:rPr>
                <w:rFonts w:hint="eastAsia"/>
                <w:kern w:val="1"/>
                <w:sz w:val="24"/>
              </w:rPr>
              <w:t>水性漆、油性漆进行喷涂</w:t>
            </w:r>
            <w:r>
              <w:rPr>
                <w:kern w:val="1"/>
                <w:sz w:val="24"/>
              </w:rPr>
              <w:t>。废水</w:t>
            </w:r>
            <w:r>
              <w:rPr>
                <w:rFonts w:hint="eastAsia"/>
                <w:kern w:val="1"/>
                <w:sz w:val="24"/>
              </w:rPr>
              <w:t>性、油性</w:t>
            </w:r>
            <w:r>
              <w:rPr>
                <w:kern w:val="1"/>
                <w:sz w:val="24"/>
              </w:rPr>
              <w:t>漆渣产生量</w:t>
            </w:r>
            <w:r>
              <w:rPr>
                <w:rFonts w:hint="eastAsia"/>
                <w:kern w:val="1"/>
                <w:sz w:val="24"/>
              </w:rPr>
              <w:t>约</w:t>
            </w:r>
            <w:r>
              <w:rPr>
                <w:kern w:val="1"/>
                <w:sz w:val="24"/>
              </w:rPr>
              <w:t>为</w:t>
            </w:r>
            <w:r>
              <w:rPr>
                <w:rFonts w:hint="eastAsia"/>
                <w:kern w:val="1"/>
                <w:sz w:val="24"/>
              </w:rPr>
              <w:t>1.0</w:t>
            </w:r>
            <w:r>
              <w:rPr>
                <w:kern w:val="1"/>
                <w:sz w:val="24"/>
              </w:rPr>
              <w:t>t/a</w:t>
            </w:r>
            <w:r>
              <w:rPr>
                <w:rFonts w:hint="eastAsia"/>
                <w:kern w:val="1"/>
                <w:sz w:val="24"/>
              </w:rPr>
              <w:t>。</w:t>
            </w:r>
            <w:r>
              <w:rPr>
                <w:rFonts w:hint="eastAsia"/>
                <w:kern w:val="1"/>
                <w:sz w:val="24"/>
                <w:lang w:val="en-US" w:eastAsia="zh-CN"/>
              </w:rPr>
              <w:t>水性漆和油性漆混合在一个喷漆房内喷涂，无法分开，因此漆渣都作为</w:t>
            </w:r>
            <w:r>
              <w:rPr>
                <w:rFonts w:hint="eastAsia"/>
                <w:kern w:val="1"/>
                <w:sz w:val="24"/>
              </w:rPr>
              <w:t>危险废物，</w:t>
            </w:r>
            <w:r>
              <w:rPr>
                <w:kern w:val="1"/>
                <w:sz w:val="24"/>
              </w:rPr>
              <w:t>废水</w:t>
            </w:r>
            <w:r>
              <w:rPr>
                <w:rFonts w:hint="eastAsia"/>
                <w:kern w:val="1"/>
                <w:sz w:val="24"/>
              </w:rPr>
              <w:t>性、油性</w:t>
            </w:r>
            <w:r>
              <w:rPr>
                <w:kern w:val="1"/>
                <w:sz w:val="24"/>
              </w:rPr>
              <w:t>漆渣经收集后暂存于危险废物暂存间，定期委托有资质单位处置。</w:t>
            </w:r>
            <w:r>
              <w:rPr>
                <w:rFonts w:hint="eastAsia"/>
                <w:kern w:val="0"/>
                <w:sz w:val="24"/>
                <w:u w:val="single"/>
                <w:lang w:bidi="ar"/>
              </w:rPr>
              <w:t>根据</w:t>
            </w:r>
            <w:r>
              <w:rPr>
                <w:rFonts w:hint="eastAsia"/>
                <w:kern w:val="1"/>
                <w:sz w:val="24"/>
                <w:u w:val="single"/>
              </w:rPr>
              <w:t>《国家危险废物名录》（2025年版）可知，危废类别为</w:t>
            </w:r>
            <w:r>
              <w:rPr>
                <w:kern w:val="0"/>
                <w:sz w:val="24"/>
                <w:u w:val="single"/>
                <w:lang w:bidi="ar"/>
              </w:rPr>
              <w:t>HW</w:t>
            </w:r>
            <w:r>
              <w:rPr>
                <w:rFonts w:hint="eastAsia"/>
                <w:kern w:val="0"/>
                <w:sz w:val="24"/>
                <w:u w:val="single"/>
                <w:lang w:val="en-US" w:eastAsia="zh-CN" w:bidi="ar"/>
              </w:rPr>
              <w:t>12染料、涂料</w:t>
            </w:r>
            <w:r>
              <w:rPr>
                <w:kern w:val="0"/>
                <w:sz w:val="24"/>
                <w:u w:val="single"/>
                <w:lang w:bidi="ar"/>
              </w:rPr>
              <w:t>废物（900-</w:t>
            </w:r>
            <w:r>
              <w:rPr>
                <w:rFonts w:hint="eastAsia"/>
                <w:kern w:val="0"/>
                <w:sz w:val="24"/>
                <w:u w:val="single"/>
                <w:lang w:val="en-US" w:eastAsia="zh-CN" w:bidi="ar"/>
              </w:rPr>
              <w:t>252</w:t>
            </w:r>
            <w:r>
              <w:rPr>
                <w:kern w:val="0"/>
                <w:sz w:val="24"/>
                <w:u w:val="single"/>
                <w:lang w:bidi="ar"/>
              </w:rPr>
              <w:t>-</w:t>
            </w:r>
            <w:r>
              <w:rPr>
                <w:rFonts w:hint="eastAsia"/>
                <w:kern w:val="0"/>
                <w:sz w:val="24"/>
                <w:u w:val="single"/>
                <w:lang w:val="en-US" w:eastAsia="zh-CN" w:bidi="ar"/>
              </w:rPr>
              <w:t>12</w:t>
            </w:r>
            <w:r>
              <w:rPr>
                <w:kern w:val="0"/>
                <w:sz w:val="24"/>
                <w:u w:val="single"/>
                <w:lang w:bidi="ar"/>
              </w:rPr>
              <w:t>）</w:t>
            </w:r>
            <w:r>
              <w:rPr>
                <w:rFonts w:hint="eastAsia"/>
                <w:kern w:val="1"/>
                <w:sz w:val="24"/>
                <w:u w:val="single"/>
              </w:rPr>
              <w:t>，收集后暂存在危废间，定期交有资质单位处置。</w:t>
            </w:r>
          </w:p>
          <w:p>
            <w:pPr>
              <w:pStyle w:val="39"/>
              <w:ind w:firstLine="480"/>
              <w:rPr>
                <w:rFonts w:hint="default" w:eastAsia="宋体"/>
              </w:rPr>
            </w:pPr>
            <w:r>
              <w:rPr>
                <w:rFonts w:eastAsia="宋体"/>
              </w:rPr>
              <w:t>⑤废油漆桶</w:t>
            </w:r>
          </w:p>
          <w:p>
            <w:pPr>
              <w:widowControl/>
              <w:spacing w:line="360" w:lineRule="auto"/>
              <w:ind w:firstLine="480" w:firstLineChars="200"/>
            </w:pPr>
            <w:r>
              <w:rPr>
                <w:rFonts w:hint="eastAsia" w:ascii="宋体" w:hAnsi="宋体" w:cs="宋体"/>
                <w:kern w:val="0"/>
                <w:sz w:val="24"/>
                <w:lang w:bidi="ar"/>
              </w:rPr>
              <w:t>本项目使用的油漆等均会产生废桶，</w:t>
            </w:r>
            <w:r>
              <w:rPr>
                <w:kern w:val="0"/>
                <w:sz w:val="24"/>
                <w:lang w:bidi="ar"/>
              </w:rPr>
              <w:t>产生量约为</w:t>
            </w:r>
            <w:r>
              <w:rPr>
                <w:rFonts w:hint="eastAsia"/>
                <w:kern w:val="0"/>
                <w:sz w:val="24"/>
                <w:lang w:bidi="ar"/>
              </w:rPr>
              <w:t>0.1</w:t>
            </w:r>
            <w:r>
              <w:rPr>
                <w:kern w:val="0"/>
                <w:sz w:val="24"/>
                <w:lang w:bidi="ar"/>
              </w:rPr>
              <w:t>t/a。</w:t>
            </w:r>
            <w:r>
              <w:rPr>
                <w:rFonts w:hint="eastAsia"/>
                <w:kern w:val="0"/>
                <w:sz w:val="24"/>
                <w:lang w:bidi="ar"/>
              </w:rPr>
              <w:t>根据</w:t>
            </w:r>
            <w:r>
              <w:rPr>
                <w:kern w:val="0"/>
                <w:sz w:val="24"/>
                <w:lang w:bidi="ar"/>
              </w:rPr>
              <w:t>《国家危险废物名录》（202</w:t>
            </w:r>
            <w:r>
              <w:rPr>
                <w:rFonts w:hint="eastAsia"/>
                <w:kern w:val="0"/>
                <w:sz w:val="24"/>
                <w:lang w:bidi="ar"/>
              </w:rPr>
              <w:t>5</w:t>
            </w:r>
            <w:r>
              <w:rPr>
                <w:kern w:val="0"/>
                <w:sz w:val="24"/>
                <w:lang w:bidi="ar"/>
              </w:rPr>
              <w:t>年版）可知，</w:t>
            </w:r>
            <w:r>
              <w:rPr>
                <w:rFonts w:hint="eastAsia"/>
                <w:kern w:val="0"/>
                <w:sz w:val="24"/>
                <w:lang w:bidi="ar"/>
              </w:rPr>
              <w:t>废油漆桶</w:t>
            </w:r>
            <w:r>
              <w:rPr>
                <w:kern w:val="0"/>
                <w:sz w:val="24"/>
                <w:lang w:bidi="ar"/>
              </w:rPr>
              <w:t>危废类别为HW49其他废物（900-041-49），分类收集后暂存在危废间，定期交有资质单位处置。</w:t>
            </w:r>
          </w:p>
          <w:p>
            <w:pPr>
              <w:pStyle w:val="39"/>
              <w:ind w:firstLine="480"/>
              <w:rPr>
                <w:rFonts w:hint="default" w:eastAsia="宋体"/>
                <w:color w:val="auto"/>
                <w:kern w:val="0"/>
                <w:lang w:bidi="ar"/>
              </w:rPr>
            </w:pPr>
            <w:r>
              <w:rPr>
                <w:rFonts w:eastAsia="宋体"/>
                <w:color w:val="auto"/>
                <w:kern w:val="0"/>
                <w:lang w:bidi="ar"/>
              </w:rPr>
              <w:t xml:space="preserve"> ⑥废过滤棉</w:t>
            </w:r>
          </w:p>
          <w:p>
            <w:pPr>
              <w:pStyle w:val="39"/>
              <w:ind w:firstLine="480"/>
              <w:rPr>
                <w:rFonts w:eastAsia="宋体"/>
                <w:color w:val="auto"/>
                <w:kern w:val="0"/>
                <w:lang w:bidi="ar"/>
              </w:rPr>
            </w:pPr>
            <w:r>
              <w:t>项目去除漆雾第二级处理为过滤棉，产生量约为0.2t/a，</w:t>
            </w:r>
            <w:r>
              <w:rPr>
                <w:rFonts w:eastAsia="宋体"/>
                <w:color w:val="auto"/>
                <w:kern w:val="0"/>
                <w:lang w:bidi="ar"/>
              </w:rPr>
              <w:t>根据</w:t>
            </w:r>
            <w:r>
              <w:rPr>
                <w:rFonts w:hint="default" w:eastAsia="宋体"/>
                <w:color w:val="auto"/>
                <w:kern w:val="0"/>
                <w:lang w:bidi="ar"/>
              </w:rPr>
              <w:t>《国家危险废物名录》（202</w:t>
            </w:r>
            <w:r>
              <w:rPr>
                <w:rFonts w:eastAsia="宋体"/>
                <w:color w:val="auto"/>
                <w:kern w:val="0"/>
                <w:lang w:bidi="ar"/>
              </w:rPr>
              <w:t>5</w:t>
            </w:r>
            <w:r>
              <w:rPr>
                <w:rFonts w:hint="default" w:eastAsia="宋体"/>
                <w:color w:val="auto"/>
                <w:kern w:val="0"/>
                <w:lang w:bidi="ar"/>
              </w:rPr>
              <w:t>年版）可知，</w:t>
            </w:r>
            <w:r>
              <w:rPr>
                <w:rFonts w:eastAsia="宋体"/>
                <w:color w:val="auto"/>
                <w:kern w:val="0"/>
                <w:lang w:bidi="ar"/>
              </w:rPr>
              <w:t>水帘柜废液</w:t>
            </w:r>
            <w:r>
              <w:rPr>
                <w:rFonts w:hint="default" w:eastAsia="宋体"/>
                <w:color w:val="auto"/>
                <w:kern w:val="0"/>
                <w:lang w:bidi="ar"/>
              </w:rPr>
              <w:t>危废类别为HW49其他废物（900-041-49）</w:t>
            </w:r>
            <w:r>
              <w:rPr>
                <w:rFonts w:eastAsia="宋体"/>
                <w:color w:val="auto"/>
                <w:kern w:val="0"/>
                <w:lang w:bidi="ar"/>
              </w:rPr>
              <w:t>，收集后定期交由资质单位回收处理。</w:t>
            </w:r>
          </w:p>
          <w:p>
            <w:pPr>
              <w:pStyle w:val="39"/>
              <w:ind w:firstLine="480"/>
              <w:rPr>
                <w:rFonts w:hint="default" w:eastAsia="宋体"/>
                <w:color w:val="auto"/>
                <w:kern w:val="0"/>
                <w:lang w:bidi="ar"/>
              </w:rPr>
            </w:pPr>
            <w:r>
              <w:rPr>
                <w:rFonts w:eastAsia="宋体"/>
                <w:color w:val="auto"/>
                <w:kern w:val="0"/>
                <w:lang w:bidi="ar"/>
              </w:rPr>
              <w:t>⑦水帘柜废液</w:t>
            </w:r>
          </w:p>
          <w:p>
            <w:pPr>
              <w:pStyle w:val="39"/>
              <w:ind w:firstLine="480"/>
              <w:rPr>
                <w:rFonts w:hint="default" w:eastAsia="宋体"/>
                <w:color w:val="auto"/>
                <w:kern w:val="0"/>
                <w:lang w:bidi="ar"/>
              </w:rPr>
            </w:pPr>
            <w:r>
              <w:rPr>
                <w:rFonts w:eastAsia="宋体"/>
                <w:color w:val="auto"/>
                <w:kern w:val="0"/>
                <w:u w:val="single"/>
                <w:lang w:bidi="ar"/>
              </w:rPr>
              <w:t>项目喷漆房内采用水帘柜作为第一级去除漆雾的装置，</w:t>
            </w:r>
            <w:r>
              <w:rPr>
                <w:rFonts w:hint="eastAsia" w:eastAsia="宋体"/>
                <w:color w:val="auto"/>
                <w:kern w:val="0"/>
                <w:u w:val="single"/>
                <w:lang w:val="en-US" w:eastAsia="zh-CN" w:bidi="ar"/>
              </w:rPr>
              <w:t>沾染漆渣等危险废物，以及溶剂等溶于水中，导致水变的黏稠，无法沉淀后循环使用，因此需要每年定期进行更换新鲜水，</w:t>
            </w:r>
            <w:r>
              <w:rPr>
                <w:rFonts w:eastAsia="宋体"/>
                <w:color w:val="auto"/>
                <w:kern w:val="0"/>
                <w:u w:val="single"/>
                <w:lang w:bidi="ar"/>
              </w:rPr>
              <w:t>每个喷漆房设置有一个沉淀水池，</w:t>
            </w:r>
            <w:r>
              <w:rPr>
                <w:rFonts w:eastAsia="宋体"/>
                <w:color w:val="auto"/>
                <w:kern w:val="0"/>
                <w:lang w:bidi="ar"/>
              </w:rPr>
              <w:t>每个水池容量为2m</w:t>
            </w:r>
            <w:r>
              <w:rPr>
                <w:rFonts w:eastAsia="宋体"/>
                <w:color w:val="auto"/>
                <w:kern w:val="0"/>
                <w:vertAlign w:val="superscript"/>
                <w:lang w:bidi="ar"/>
              </w:rPr>
              <w:t>3</w:t>
            </w:r>
            <w:r>
              <w:rPr>
                <w:rFonts w:eastAsia="宋体"/>
                <w:color w:val="auto"/>
                <w:kern w:val="0"/>
                <w:lang w:bidi="ar"/>
              </w:rPr>
              <w:t>，共设置有3个水池，每年作为危废更换一次，年产生废液6t/a，根据</w:t>
            </w:r>
            <w:r>
              <w:rPr>
                <w:rFonts w:hint="default" w:eastAsia="宋体"/>
                <w:color w:val="auto"/>
                <w:kern w:val="0"/>
                <w:lang w:bidi="ar"/>
              </w:rPr>
              <w:t>《国家危险废物名录》（202</w:t>
            </w:r>
            <w:r>
              <w:rPr>
                <w:rFonts w:eastAsia="宋体"/>
                <w:color w:val="auto"/>
                <w:kern w:val="0"/>
                <w:lang w:bidi="ar"/>
              </w:rPr>
              <w:t>5</w:t>
            </w:r>
            <w:r>
              <w:rPr>
                <w:rFonts w:hint="default" w:eastAsia="宋体"/>
                <w:color w:val="auto"/>
                <w:kern w:val="0"/>
                <w:lang w:bidi="ar"/>
              </w:rPr>
              <w:t>年版）可知，</w:t>
            </w:r>
            <w:r>
              <w:rPr>
                <w:rFonts w:eastAsia="宋体"/>
                <w:color w:val="auto"/>
                <w:kern w:val="0"/>
                <w:lang w:bidi="ar"/>
              </w:rPr>
              <w:t>水帘柜废液</w:t>
            </w:r>
            <w:r>
              <w:rPr>
                <w:rFonts w:hint="default" w:eastAsia="宋体"/>
                <w:color w:val="auto"/>
                <w:kern w:val="0"/>
                <w:lang w:bidi="ar"/>
              </w:rPr>
              <w:t>危废类别为HW49其他废物（900-041-49）</w:t>
            </w:r>
            <w:r>
              <w:rPr>
                <w:rFonts w:eastAsia="宋体"/>
                <w:color w:val="auto"/>
                <w:kern w:val="0"/>
                <w:lang w:bidi="ar"/>
              </w:rPr>
              <w:t>，收集后定期交由资质单位回收处理。</w:t>
            </w:r>
          </w:p>
          <w:p>
            <w:pPr>
              <w:pStyle w:val="39"/>
              <w:ind w:firstLine="480"/>
              <w:rPr>
                <w:rFonts w:hint="default" w:eastAsia="宋体"/>
                <w:color w:val="auto"/>
                <w:kern w:val="0"/>
                <w:u w:val="single"/>
                <w:lang w:val="en-US" w:bidi="ar"/>
              </w:rPr>
            </w:pPr>
            <w:r>
              <w:rPr>
                <w:rFonts w:hint="eastAsia" w:eastAsia="宋体"/>
                <w:color w:val="auto"/>
                <w:kern w:val="0"/>
                <w:u w:val="single"/>
                <w:lang w:val="en-US" w:eastAsia="zh-CN" w:bidi="ar"/>
              </w:rPr>
              <w:t>经查询，湖南瀚洋环保科技有限公司位于长沙市长沙县北山镇北山村万谷岭</w:t>
            </w:r>
            <w:r>
              <w:rPr>
                <w:rFonts w:hint="eastAsia" w:eastAsia="宋体"/>
                <w:color w:val="auto"/>
                <w:kern w:val="0"/>
                <w:u w:val="single"/>
                <w:lang w:eastAsia="zh-CN" w:bidi="ar"/>
              </w:rPr>
              <w:t>；</w:t>
            </w:r>
            <w:r>
              <w:rPr>
                <w:rFonts w:hint="eastAsia" w:eastAsia="宋体"/>
                <w:color w:val="auto"/>
                <w:kern w:val="0"/>
                <w:u w:val="single"/>
                <w:lang w:val="en-US" w:eastAsia="zh-CN" w:bidi="ar"/>
              </w:rPr>
              <w:t>经营类别：HW01（841-003-01、841-004-01、841-005-01），HW02、HW03、HW04、HW05、HW06、HW07、HW08、HW09、HW11、HW12、HW13、HW14、HW16、HW17、HW18、HW19、HW20、HW21、HW22、HW23、HW24、HW25、HW26、HW27、HW28、HW30、HW31、HW32、HW33、HW34、HW35、HW36、HW37、HW38、HW39、HW40、HW45、HW46、HW47、HW48、HW49、HW50</w:t>
            </w:r>
            <w:r>
              <w:rPr>
                <w:rFonts w:hint="eastAsia" w:eastAsia="宋体"/>
                <w:color w:val="auto"/>
                <w:kern w:val="0"/>
                <w:u w:val="single"/>
                <w:lang w:eastAsia="zh-CN" w:bidi="ar"/>
              </w:rPr>
              <w:t>；</w:t>
            </w:r>
            <w:r>
              <w:rPr>
                <w:rFonts w:hint="eastAsia" w:eastAsia="宋体"/>
                <w:color w:val="auto"/>
                <w:kern w:val="0"/>
                <w:u w:val="single"/>
                <w:lang w:val="en-US" w:eastAsia="zh-CN" w:bidi="ar"/>
              </w:rPr>
              <w:t>经营规模及范围：166450吨/年（焚烧54450吨/年、填埋规模100000吨/年、物化规模12000吨/年；危险废物来源限长沙市、株洲市、湘潭市、岳阳市、益阳市、常德市、娄底市、怀化市、张家界市及湘西自治州；本项目所产生的危险废物在其经营类别之内，在其经营范围之内，本次评价建议建设单位投产后与湖南瀚洋环保科技有限公司签订危险废物处置合同，定期交由其处置。</w:t>
            </w:r>
          </w:p>
          <w:p>
            <w:pPr>
              <w:spacing w:line="360" w:lineRule="auto"/>
              <w:rPr>
                <w:b/>
                <w:snapToGrid w:val="0"/>
                <w:kern w:val="0"/>
                <w:sz w:val="24"/>
              </w:rPr>
            </w:pPr>
            <w:r>
              <w:rPr>
                <w:rFonts w:hint="eastAsia"/>
                <w:b/>
                <w:snapToGrid w:val="0"/>
                <w:kern w:val="0"/>
                <w:sz w:val="24"/>
              </w:rPr>
              <w:t>4.2固体废物汇总表</w:t>
            </w:r>
          </w:p>
          <w:p>
            <w:pPr>
              <w:ind w:firstLine="480"/>
              <w:jc w:val="center"/>
              <w:rPr>
                <w:b/>
                <w:bCs/>
              </w:rPr>
            </w:pPr>
            <w:r>
              <w:rPr>
                <w:b/>
                <w:bCs/>
              </w:rPr>
              <w:t>表4-</w:t>
            </w:r>
            <w:r>
              <w:rPr>
                <w:rFonts w:hint="eastAsia"/>
                <w:b/>
                <w:bCs/>
              </w:rPr>
              <w:t>29</w:t>
            </w:r>
            <w:r>
              <w:rPr>
                <w:b/>
                <w:bCs/>
              </w:rPr>
              <w:t xml:space="preserve">   固废产生一览表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36"/>
              <w:gridCol w:w="658"/>
              <w:gridCol w:w="810"/>
              <w:gridCol w:w="1380"/>
              <w:gridCol w:w="649"/>
              <w:gridCol w:w="946"/>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Align w:val="center"/>
                </w:tcPr>
                <w:p>
                  <w:pPr>
                    <w:pStyle w:val="158"/>
                    <w:spacing w:line="240" w:lineRule="auto"/>
                    <w:ind w:firstLine="0" w:firstLineChars="0"/>
                    <w:jc w:val="center"/>
                    <w:rPr>
                      <w:rFonts w:cs="Times New Roman"/>
                      <w:color w:val="auto"/>
                      <w:sz w:val="21"/>
                      <w:szCs w:val="21"/>
                    </w:rPr>
                  </w:pPr>
                  <w:r>
                    <w:rPr>
                      <w:rFonts w:cs="Times New Roman"/>
                      <w:color w:val="auto"/>
                      <w:sz w:val="21"/>
                      <w:szCs w:val="21"/>
                    </w:rPr>
                    <w:t>产生位置</w:t>
                  </w:r>
                </w:p>
              </w:tc>
              <w:tc>
                <w:tcPr>
                  <w:tcW w:w="1036" w:type="dxa"/>
                  <w:vAlign w:val="center"/>
                </w:tcPr>
                <w:p>
                  <w:pPr>
                    <w:pStyle w:val="158"/>
                    <w:spacing w:line="240" w:lineRule="auto"/>
                    <w:ind w:firstLine="0" w:firstLineChars="0"/>
                    <w:jc w:val="center"/>
                    <w:rPr>
                      <w:rFonts w:cs="Times New Roman"/>
                      <w:color w:val="auto"/>
                      <w:sz w:val="21"/>
                      <w:szCs w:val="21"/>
                    </w:rPr>
                  </w:pPr>
                  <w:r>
                    <w:rPr>
                      <w:rFonts w:cs="Times New Roman"/>
                      <w:color w:val="auto"/>
                      <w:sz w:val="21"/>
                      <w:szCs w:val="21"/>
                    </w:rPr>
                    <w:t>名称</w:t>
                  </w:r>
                </w:p>
              </w:tc>
              <w:tc>
                <w:tcPr>
                  <w:tcW w:w="658" w:type="dxa"/>
                  <w:vAlign w:val="center"/>
                </w:tcPr>
                <w:p>
                  <w:pPr>
                    <w:pStyle w:val="158"/>
                    <w:spacing w:line="240" w:lineRule="auto"/>
                    <w:ind w:firstLine="0" w:firstLineChars="0"/>
                    <w:jc w:val="center"/>
                    <w:rPr>
                      <w:rFonts w:cs="Times New Roman"/>
                      <w:color w:val="auto"/>
                      <w:sz w:val="21"/>
                      <w:szCs w:val="21"/>
                    </w:rPr>
                  </w:pPr>
                  <w:r>
                    <w:rPr>
                      <w:rFonts w:cs="Times New Roman"/>
                      <w:color w:val="auto"/>
                      <w:sz w:val="21"/>
                      <w:szCs w:val="21"/>
                    </w:rPr>
                    <w:t>属性</w:t>
                  </w:r>
                </w:p>
              </w:tc>
              <w:tc>
                <w:tcPr>
                  <w:tcW w:w="810" w:type="dxa"/>
                  <w:vAlign w:val="center"/>
                </w:tcPr>
                <w:p>
                  <w:pPr>
                    <w:pStyle w:val="158"/>
                    <w:spacing w:line="240" w:lineRule="auto"/>
                    <w:ind w:firstLine="0" w:firstLineChars="0"/>
                    <w:jc w:val="center"/>
                    <w:rPr>
                      <w:rFonts w:cs="Times New Roman"/>
                      <w:color w:val="auto"/>
                      <w:sz w:val="21"/>
                      <w:szCs w:val="21"/>
                    </w:rPr>
                  </w:pPr>
                  <w:r>
                    <w:rPr>
                      <w:rFonts w:hint="eastAsia" w:cs="Times New Roman"/>
                      <w:color w:val="auto"/>
                      <w:sz w:val="21"/>
                      <w:szCs w:val="21"/>
                    </w:rPr>
                    <w:t>废物种类</w:t>
                  </w:r>
                </w:p>
              </w:tc>
              <w:tc>
                <w:tcPr>
                  <w:tcW w:w="1380" w:type="dxa"/>
                  <w:vAlign w:val="center"/>
                </w:tcPr>
                <w:p>
                  <w:pPr>
                    <w:pStyle w:val="158"/>
                    <w:spacing w:line="240" w:lineRule="auto"/>
                    <w:ind w:firstLine="0" w:firstLineChars="0"/>
                    <w:jc w:val="center"/>
                    <w:rPr>
                      <w:rFonts w:cs="Times New Roman"/>
                      <w:color w:val="auto"/>
                      <w:sz w:val="21"/>
                      <w:szCs w:val="21"/>
                    </w:rPr>
                  </w:pPr>
                  <w:r>
                    <w:rPr>
                      <w:rFonts w:cs="Times New Roman"/>
                      <w:color w:val="auto"/>
                      <w:sz w:val="21"/>
                      <w:szCs w:val="21"/>
                    </w:rPr>
                    <w:t>固废代码</w:t>
                  </w:r>
                </w:p>
              </w:tc>
              <w:tc>
                <w:tcPr>
                  <w:tcW w:w="649" w:type="dxa"/>
                  <w:vAlign w:val="center"/>
                </w:tcPr>
                <w:p>
                  <w:pPr>
                    <w:pStyle w:val="158"/>
                    <w:spacing w:line="240" w:lineRule="auto"/>
                    <w:ind w:firstLine="0" w:firstLineChars="0"/>
                    <w:jc w:val="center"/>
                    <w:rPr>
                      <w:rFonts w:cs="Times New Roman"/>
                      <w:color w:val="auto"/>
                      <w:sz w:val="21"/>
                      <w:szCs w:val="21"/>
                    </w:rPr>
                  </w:pPr>
                  <w:r>
                    <w:rPr>
                      <w:rFonts w:cs="Times New Roman"/>
                      <w:color w:val="auto"/>
                      <w:sz w:val="21"/>
                      <w:szCs w:val="21"/>
                    </w:rPr>
                    <w:t>物理状态</w:t>
                  </w:r>
                </w:p>
              </w:tc>
              <w:tc>
                <w:tcPr>
                  <w:tcW w:w="946" w:type="dxa"/>
                  <w:vAlign w:val="center"/>
                </w:tcPr>
                <w:p>
                  <w:pPr>
                    <w:pStyle w:val="158"/>
                    <w:spacing w:line="240" w:lineRule="auto"/>
                    <w:ind w:firstLine="0" w:firstLineChars="0"/>
                    <w:jc w:val="center"/>
                    <w:rPr>
                      <w:rFonts w:cs="Times New Roman"/>
                      <w:color w:val="auto"/>
                      <w:sz w:val="21"/>
                      <w:szCs w:val="21"/>
                    </w:rPr>
                  </w:pPr>
                  <w:r>
                    <w:rPr>
                      <w:rFonts w:cs="Times New Roman"/>
                      <w:color w:val="auto"/>
                      <w:sz w:val="21"/>
                      <w:szCs w:val="21"/>
                    </w:rPr>
                    <w:t>年产生量（</w:t>
                  </w:r>
                  <w:r>
                    <w:rPr>
                      <w:rFonts w:cs="Times New Roman"/>
                      <w:color w:val="auto"/>
                    </w:rPr>
                    <w:t>t/a</w:t>
                  </w:r>
                  <w:r>
                    <w:rPr>
                      <w:rFonts w:cs="Times New Roman"/>
                      <w:color w:val="auto"/>
                      <w:sz w:val="21"/>
                      <w:szCs w:val="21"/>
                    </w:rPr>
                    <w:t>）</w:t>
                  </w:r>
                </w:p>
              </w:tc>
              <w:tc>
                <w:tcPr>
                  <w:tcW w:w="1955" w:type="dxa"/>
                  <w:vAlign w:val="center"/>
                </w:tcPr>
                <w:p>
                  <w:pPr>
                    <w:pStyle w:val="158"/>
                    <w:spacing w:line="240" w:lineRule="auto"/>
                    <w:ind w:firstLine="0" w:firstLineChars="0"/>
                    <w:jc w:val="center"/>
                    <w:rPr>
                      <w:rFonts w:cs="Times New Roman"/>
                      <w:color w:val="auto"/>
                      <w:sz w:val="21"/>
                      <w:szCs w:val="21"/>
                    </w:rPr>
                  </w:pPr>
                  <w:r>
                    <w:rPr>
                      <w:rFonts w:cs="Times New Roman"/>
                      <w:color w:val="auto"/>
                      <w:sz w:val="21"/>
                      <w:szCs w:val="21"/>
                    </w:rPr>
                    <w:t>利用处置方式和去向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员工办公</w:t>
                  </w:r>
                </w:p>
              </w:tc>
              <w:tc>
                <w:tcPr>
                  <w:tcW w:w="1036"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生活垃圾</w:t>
                  </w:r>
                </w:p>
              </w:tc>
              <w:tc>
                <w:tcPr>
                  <w:tcW w:w="658"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w:t>
                  </w:r>
                </w:p>
              </w:tc>
              <w:tc>
                <w:tcPr>
                  <w:tcW w:w="81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SW64</w:t>
                  </w:r>
                </w:p>
              </w:tc>
              <w:tc>
                <w:tcPr>
                  <w:tcW w:w="138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900-099-S64</w:t>
                  </w:r>
                </w:p>
              </w:tc>
              <w:tc>
                <w:tcPr>
                  <w:tcW w:w="649"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固体</w:t>
                  </w:r>
                </w:p>
              </w:tc>
              <w:tc>
                <w:tcPr>
                  <w:tcW w:w="946"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45</w:t>
                  </w:r>
                </w:p>
              </w:tc>
              <w:tc>
                <w:tcPr>
                  <w:tcW w:w="1955"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垃圾桶暂存，交</w:t>
                  </w:r>
                </w:p>
                <w:p>
                  <w:pPr>
                    <w:pStyle w:val="158"/>
                    <w:spacing w:line="240" w:lineRule="auto"/>
                    <w:ind w:firstLine="0" w:firstLineChars="0"/>
                    <w:rPr>
                      <w:rFonts w:cs="Times New Roman"/>
                      <w:color w:val="auto"/>
                      <w:sz w:val="21"/>
                      <w:szCs w:val="24"/>
                    </w:rPr>
                  </w:pPr>
                  <w:r>
                    <w:rPr>
                      <w:rFonts w:hint="eastAsia" w:cs="Times New Roman"/>
                      <w:color w:val="auto"/>
                      <w:sz w:val="21"/>
                      <w:szCs w:val="24"/>
                    </w:rPr>
                    <w:t>环卫处理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Merge w:val="restart"/>
                  <w:vAlign w:val="center"/>
                </w:tcPr>
                <w:p>
                  <w:pPr>
                    <w:pStyle w:val="139"/>
                    <w:rPr>
                      <w:bCs w:val="0"/>
                      <w:color w:val="auto"/>
                    </w:rPr>
                  </w:pPr>
                  <w:r>
                    <w:rPr>
                      <w:rFonts w:hint="eastAsia"/>
                      <w:bCs w:val="0"/>
                      <w:color w:val="auto"/>
                    </w:rPr>
                    <w:t>生产运营</w:t>
                  </w:r>
                </w:p>
              </w:tc>
              <w:tc>
                <w:tcPr>
                  <w:tcW w:w="1036" w:type="dxa"/>
                  <w:vAlign w:val="center"/>
                </w:tcPr>
                <w:p>
                  <w:pPr>
                    <w:pStyle w:val="139"/>
                    <w:rPr>
                      <w:bCs w:val="0"/>
                      <w:color w:val="auto"/>
                    </w:rPr>
                  </w:pPr>
                  <w:r>
                    <w:rPr>
                      <w:rFonts w:hint="eastAsia"/>
                      <w:bCs w:val="0"/>
                      <w:color w:val="auto"/>
                    </w:rPr>
                    <w:t>废包装材料</w:t>
                  </w:r>
                </w:p>
              </w:tc>
              <w:tc>
                <w:tcPr>
                  <w:tcW w:w="658"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一般固废</w:t>
                  </w:r>
                </w:p>
              </w:tc>
              <w:tc>
                <w:tcPr>
                  <w:tcW w:w="81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SW59</w:t>
                  </w:r>
                </w:p>
              </w:tc>
              <w:tc>
                <w:tcPr>
                  <w:tcW w:w="1380" w:type="dxa"/>
                  <w:vAlign w:val="center"/>
                </w:tcPr>
                <w:p>
                  <w:pPr>
                    <w:widowControl/>
                    <w:jc w:val="center"/>
                  </w:pPr>
                  <w:r>
                    <w:rPr>
                      <w:rFonts w:hint="eastAsia"/>
                    </w:rPr>
                    <w:t>900-099-S59</w:t>
                  </w:r>
                </w:p>
              </w:tc>
              <w:tc>
                <w:tcPr>
                  <w:tcW w:w="649"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固体</w:t>
                  </w:r>
                </w:p>
              </w:tc>
              <w:tc>
                <w:tcPr>
                  <w:tcW w:w="946"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5</w:t>
                  </w:r>
                </w:p>
              </w:tc>
              <w:tc>
                <w:tcPr>
                  <w:tcW w:w="1955" w:type="dxa"/>
                  <w:vMerge w:val="restart"/>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收集后送相关回收单位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Merge w:val="continue"/>
                  <w:vAlign w:val="center"/>
                </w:tcPr>
                <w:p>
                  <w:pPr>
                    <w:pStyle w:val="139"/>
                    <w:rPr>
                      <w:bCs w:val="0"/>
                      <w:color w:val="auto"/>
                    </w:rPr>
                  </w:pPr>
                </w:p>
              </w:tc>
              <w:tc>
                <w:tcPr>
                  <w:tcW w:w="1036" w:type="dxa"/>
                  <w:vAlign w:val="center"/>
                </w:tcPr>
                <w:p>
                  <w:pPr>
                    <w:pStyle w:val="139"/>
                    <w:rPr>
                      <w:bCs w:val="0"/>
                      <w:color w:val="auto"/>
                    </w:rPr>
                  </w:pPr>
                  <w:r>
                    <w:rPr>
                      <w:rFonts w:hint="eastAsia"/>
                      <w:bCs w:val="0"/>
                      <w:color w:val="auto"/>
                      <w:lang w:val="zh-CN"/>
                    </w:rPr>
                    <w:t>废</w:t>
                  </w:r>
                  <w:r>
                    <w:rPr>
                      <w:rFonts w:hint="eastAsia"/>
                      <w:bCs w:val="0"/>
                      <w:color w:val="auto"/>
                    </w:rPr>
                    <w:t>木屑</w:t>
                  </w:r>
                </w:p>
              </w:tc>
              <w:tc>
                <w:tcPr>
                  <w:tcW w:w="658"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一般固废</w:t>
                  </w:r>
                </w:p>
              </w:tc>
              <w:tc>
                <w:tcPr>
                  <w:tcW w:w="81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SW59</w:t>
                  </w:r>
                </w:p>
              </w:tc>
              <w:tc>
                <w:tcPr>
                  <w:tcW w:w="1380" w:type="dxa"/>
                  <w:vAlign w:val="center"/>
                </w:tcPr>
                <w:p>
                  <w:pPr>
                    <w:widowControl/>
                    <w:jc w:val="center"/>
                  </w:pPr>
                  <w:r>
                    <w:rPr>
                      <w:rFonts w:hint="eastAsia"/>
                    </w:rPr>
                    <w:t>900-099-S59</w:t>
                  </w:r>
                </w:p>
              </w:tc>
              <w:tc>
                <w:tcPr>
                  <w:tcW w:w="649"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固体</w:t>
                  </w:r>
                </w:p>
              </w:tc>
              <w:tc>
                <w:tcPr>
                  <w:tcW w:w="946"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20</w:t>
                  </w:r>
                </w:p>
              </w:tc>
              <w:tc>
                <w:tcPr>
                  <w:tcW w:w="1955" w:type="dxa"/>
                  <w:vMerge w:val="continue"/>
                  <w:vAlign w:val="center"/>
                </w:tcPr>
                <w:p>
                  <w:pPr>
                    <w:pStyle w:val="158"/>
                    <w:spacing w:line="240" w:lineRule="auto"/>
                    <w:ind w:firstLine="0" w:firstLineChars="0"/>
                    <w:jc w:val="center"/>
                    <w:rPr>
                      <w:rFonts w:cs="Times New Roman"/>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Merge w:val="continue"/>
                  <w:vAlign w:val="center"/>
                </w:tcPr>
                <w:p>
                  <w:pPr>
                    <w:pStyle w:val="139"/>
                    <w:rPr>
                      <w:bCs w:val="0"/>
                      <w:color w:val="auto"/>
                    </w:rPr>
                  </w:pPr>
                </w:p>
              </w:tc>
              <w:tc>
                <w:tcPr>
                  <w:tcW w:w="1036" w:type="dxa"/>
                  <w:vAlign w:val="center"/>
                </w:tcPr>
                <w:p>
                  <w:pPr>
                    <w:pStyle w:val="139"/>
                    <w:rPr>
                      <w:bCs w:val="0"/>
                      <w:color w:val="auto"/>
                    </w:rPr>
                  </w:pPr>
                  <w:r>
                    <w:rPr>
                      <w:rFonts w:hint="eastAsia"/>
                      <w:bCs w:val="0"/>
                      <w:color w:val="auto"/>
                    </w:rPr>
                    <w:t>收集尘</w:t>
                  </w:r>
                </w:p>
              </w:tc>
              <w:tc>
                <w:tcPr>
                  <w:tcW w:w="658"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一般固废</w:t>
                  </w:r>
                </w:p>
              </w:tc>
              <w:tc>
                <w:tcPr>
                  <w:tcW w:w="81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SW59</w:t>
                  </w:r>
                </w:p>
              </w:tc>
              <w:tc>
                <w:tcPr>
                  <w:tcW w:w="1380" w:type="dxa"/>
                  <w:vAlign w:val="center"/>
                </w:tcPr>
                <w:p>
                  <w:pPr>
                    <w:widowControl/>
                    <w:jc w:val="center"/>
                  </w:pPr>
                  <w:r>
                    <w:rPr>
                      <w:rFonts w:hint="eastAsia"/>
                    </w:rPr>
                    <w:t>900-099-S59</w:t>
                  </w:r>
                </w:p>
              </w:tc>
              <w:tc>
                <w:tcPr>
                  <w:tcW w:w="649"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固体</w:t>
                  </w:r>
                </w:p>
              </w:tc>
              <w:tc>
                <w:tcPr>
                  <w:tcW w:w="946" w:type="dxa"/>
                  <w:vAlign w:val="center"/>
                </w:tcPr>
                <w:p>
                  <w:pPr>
                    <w:pStyle w:val="139"/>
                    <w:rPr>
                      <w:bCs w:val="0"/>
                      <w:color w:val="auto"/>
                    </w:rPr>
                  </w:pPr>
                  <w:r>
                    <w:rPr>
                      <w:rFonts w:hint="eastAsia"/>
                      <w:bCs w:val="0"/>
                      <w:color w:val="auto"/>
                    </w:rPr>
                    <w:t>5.5</w:t>
                  </w:r>
                </w:p>
              </w:tc>
              <w:tc>
                <w:tcPr>
                  <w:tcW w:w="1955" w:type="dxa"/>
                  <w:vMerge w:val="continue"/>
                  <w:vAlign w:val="center"/>
                </w:tcPr>
                <w:p>
                  <w:pPr>
                    <w:pStyle w:val="139"/>
                    <w:rPr>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2" w:hRule="atLeast"/>
              </w:trPr>
              <w:tc>
                <w:tcPr>
                  <w:tcW w:w="817" w:type="dxa"/>
                  <w:vMerge w:val="continue"/>
                  <w:vAlign w:val="center"/>
                </w:tcPr>
                <w:p>
                  <w:pPr>
                    <w:pStyle w:val="139"/>
                    <w:rPr>
                      <w:bCs w:val="0"/>
                      <w:color w:val="auto"/>
                    </w:rPr>
                  </w:pPr>
                </w:p>
              </w:tc>
              <w:tc>
                <w:tcPr>
                  <w:tcW w:w="1036" w:type="dxa"/>
                  <w:vAlign w:val="center"/>
                </w:tcPr>
                <w:p>
                  <w:pPr>
                    <w:pStyle w:val="139"/>
                    <w:rPr>
                      <w:bCs w:val="0"/>
                      <w:color w:val="auto"/>
                    </w:rPr>
                  </w:pPr>
                  <w:r>
                    <w:rPr>
                      <w:rFonts w:hint="eastAsia"/>
                      <w:bCs w:val="0"/>
                      <w:color w:val="auto"/>
                    </w:rPr>
                    <w:t>废砂纸</w:t>
                  </w:r>
                </w:p>
              </w:tc>
              <w:tc>
                <w:tcPr>
                  <w:tcW w:w="658"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一般固废</w:t>
                  </w:r>
                </w:p>
              </w:tc>
              <w:tc>
                <w:tcPr>
                  <w:tcW w:w="810" w:type="dxa"/>
                  <w:vAlign w:val="center"/>
                </w:tcPr>
                <w:p>
                  <w:pPr>
                    <w:widowControl/>
                    <w:jc w:val="center"/>
                  </w:pPr>
                  <w:r>
                    <w:rPr>
                      <w:rFonts w:hint="eastAsia"/>
                    </w:rPr>
                    <w:t>SW59</w:t>
                  </w:r>
                </w:p>
              </w:tc>
              <w:tc>
                <w:tcPr>
                  <w:tcW w:w="1380" w:type="dxa"/>
                  <w:vAlign w:val="center"/>
                </w:tcPr>
                <w:p>
                  <w:pPr>
                    <w:widowControl/>
                    <w:jc w:val="center"/>
                  </w:pPr>
                  <w:r>
                    <w:rPr>
                      <w:rFonts w:hint="eastAsia"/>
                    </w:rPr>
                    <w:t>900-099-S59</w:t>
                  </w:r>
                </w:p>
              </w:tc>
              <w:tc>
                <w:tcPr>
                  <w:tcW w:w="649"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固体</w:t>
                  </w:r>
                </w:p>
              </w:tc>
              <w:tc>
                <w:tcPr>
                  <w:tcW w:w="946" w:type="dxa"/>
                  <w:vAlign w:val="center"/>
                </w:tcPr>
                <w:p>
                  <w:pPr>
                    <w:pStyle w:val="139"/>
                    <w:rPr>
                      <w:bCs w:val="0"/>
                      <w:color w:val="auto"/>
                    </w:rPr>
                  </w:pPr>
                  <w:r>
                    <w:rPr>
                      <w:rFonts w:hint="eastAsia"/>
                      <w:bCs w:val="0"/>
                      <w:color w:val="auto"/>
                    </w:rPr>
                    <w:t>0.5</w:t>
                  </w:r>
                </w:p>
              </w:tc>
              <w:tc>
                <w:tcPr>
                  <w:tcW w:w="1955" w:type="dxa"/>
                  <w:vMerge w:val="continue"/>
                  <w:vAlign w:val="center"/>
                </w:tcPr>
                <w:p>
                  <w:pPr>
                    <w:pStyle w:val="158"/>
                    <w:spacing w:line="240" w:lineRule="auto"/>
                    <w:ind w:firstLine="0" w:firstLineChars="0"/>
                    <w:jc w:val="center"/>
                    <w:rPr>
                      <w:rFonts w:cs="Times New Roman"/>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trPr>
              <w:tc>
                <w:tcPr>
                  <w:tcW w:w="817" w:type="dxa"/>
                  <w:vMerge w:val="restart"/>
                  <w:vAlign w:val="center"/>
                </w:tcPr>
                <w:p>
                  <w:pPr>
                    <w:pStyle w:val="139"/>
                    <w:rPr>
                      <w:bCs w:val="0"/>
                      <w:color w:val="auto"/>
                    </w:rPr>
                  </w:pPr>
                  <w:r>
                    <w:rPr>
                      <w:rFonts w:hint="eastAsia"/>
                      <w:bCs w:val="0"/>
                      <w:color w:val="auto"/>
                    </w:rPr>
                    <w:t>设备维护保养</w:t>
                  </w:r>
                </w:p>
              </w:tc>
              <w:tc>
                <w:tcPr>
                  <w:tcW w:w="1036" w:type="dxa"/>
                  <w:vAlign w:val="center"/>
                </w:tcPr>
                <w:p>
                  <w:pPr>
                    <w:pStyle w:val="139"/>
                    <w:rPr>
                      <w:bCs w:val="0"/>
                      <w:color w:val="auto"/>
                    </w:rPr>
                  </w:pPr>
                  <w:r>
                    <w:rPr>
                      <w:bCs w:val="0"/>
                      <w:color w:val="auto"/>
                    </w:rPr>
                    <w:t>废润滑油</w:t>
                  </w:r>
                </w:p>
              </w:tc>
              <w:tc>
                <w:tcPr>
                  <w:tcW w:w="658"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危险固废</w:t>
                  </w:r>
                </w:p>
              </w:tc>
              <w:tc>
                <w:tcPr>
                  <w:tcW w:w="810"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HW08</w:t>
                  </w:r>
                </w:p>
              </w:tc>
              <w:tc>
                <w:tcPr>
                  <w:tcW w:w="138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900-249-08</w:t>
                  </w:r>
                </w:p>
              </w:tc>
              <w:tc>
                <w:tcPr>
                  <w:tcW w:w="649"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液体</w:t>
                  </w:r>
                </w:p>
              </w:tc>
              <w:tc>
                <w:tcPr>
                  <w:tcW w:w="946"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0.2</w:t>
                  </w:r>
                </w:p>
              </w:tc>
              <w:tc>
                <w:tcPr>
                  <w:tcW w:w="1955" w:type="dxa"/>
                  <w:vMerge w:val="restart"/>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暂存危废间，定期有资质单位回收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trPr>
              <w:tc>
                <w:tcPr>
                  <w:tcW w:w="817" w:type="dxa"/>
                  <w:vMerge w:val="continue"/>
                  <w:vAlign w:val="center"/>
                </w:tcPr>
                <w:p>
                  <w:pPr>
                    <w:pStyle w:val="139"/>
                    <w:rPr>
                      <w:bCs w:val="0"/>
                      <w:color w:val="auto"/>
                    </w:rPr>
                  </w:pPr>
                </w:p>
              </w:tc>
              <w:tc>
                <w:tcPr>
                  <w:tcW w:w="1036" w:type="dxa"/>
                  <w:vAlign w:val="center"/>
                </w:tcPr>
                <w:p>
                  <w:pPr>
                    <w:pStyle w:val="139"/>
                    <w:rPr>
                      <w:bCs w:val="0"/>
                      <w:color w:val="auto"/>
                    </w:rPr>
                  </w:pPr>
                  <w:r>
                    <w:rPr>
                      <w:bCs w:val="0"/>
                      <w:color w:val="auto"/>
                    </w:rPr>
                    <w:t>含油抹布、手套</w:t>
                  </w:r>
                </w:p>
              </w:tc>
              <w:tc>
                <w:tcPr>
                  <w:tcW w:w="658"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危险固废</w:t>
                  </w:r>
                </w:p>
              </w:tc>
              <w:tc>
                <w:tcPr>
                  <w:tcW w:w="810"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HW49</w:t>
                  </w:r>
                </w:p>
              </w:tc>
              <w:tc>
                <w:tcPr>
                  <w:tcW w:w="138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900-041-49</w:t>
                  </w:r>
                </w:p>
              </w:tc>
              <w:tc>
                <w:tcPr>
                  <w:tcW w:w="649"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固体</w:t>
                  </w:r>
                </w:p>
              </w:tc>
              <w:tc>
                <w:tcPr>
                  <w:tcW w:w="946"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0.02</w:t>
                  </w:r>
                </w:p>
              </w:tc>
              <w:tc>
                <w:tcPr>
                  <w:tcW w:w="1955" w:type="dxa"/>
                  <w:vMerge w:val="continue"/>
                  <w:vAlign w:val="center"/>
                </w:tcPr>
                <w:p>
                  <w:pPr>
                    <w:pStyle w:val="158"/>
                    <w:spacing w:line="240" w:lineRule="auto"/>
                    <w:ind w:firstLine="0" w:firstLineChars="0"/>
                    <w:jc w:val="center"/>
                    <w:rPr>
                      <w:rFonts w:cs="Times New Roman"/>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Merge w:val="continue"/>
                  <w:vAlign w:val="center"/>
                </w:tcPr>
                <w:p>
                  <w:pPr>
                    <w:pStyle w:val="139"/>
                    <w:rPr>
                      <w:bCs w:val="0"/>
                      <w:color w:val="auto"/>
                    </w:rPr>
                  </w:pPr>
                </w:p>
              </w:tc>
              <w:tc>
                <w:tcPr>
                  <w:tcW w:w="1036" w:type="dxa"/>
                  <w:vAlign w:val="center"/>
                </w:tcPr>
                <w:p>
                  <w:pPr>
                    <w:pStyle w:val="139"/>
                    <w:rPr>
                      <w:bCs w:val="0"/>
                      <w:color w:val="auto"/>
                    </w:rPr>
                  </w:pPr>
                  <w:r>
                    <w:rPr>
                      <w:rFonts w:hint="eastAsia"/>
                      <w:bCs w:val="0"/>
                      <w:color w:val="auto"/>
                    </w:rPr>
                    <w:t>废润滑油桶</w:t>
                  </w:r>
                </w:p>
              </w:tc>
              <w:tc>
                <w:tcPr>
                  <w:tcW w:w="658"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危险固废</w:t>
                  </w:r>
                </w:p>
              </w:tc>
              <w:tc>
                <w:tcPr>
                  <w:tcW w:w="810"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HW49</w:t>
                  </w:r>
                </w:p>
              </w:tc>
              <w:tc>
                <w:tcPr>
                  <w:tcW w:w="138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900-041-49</w:t>
                  </w:r>
                </w:p>
              </w:tc>
              <w:tc>
                <w:tcPr>
                  <w:tcW w:w="649"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固体</w:t>
                  </w:r>
                </w:p>
              </w:tc>
              <w:tc>
                <w:tcPr>
                  <w:tcW w:w="946"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0.02</w:t>
                  </w:r>
                </w:p>
              </w:tc>
              <w:tc>
                <w:tcPr>
                  <w:tcW w:w="1955" w:type="dxa"/>
                  <w:vMerge w:val="continue"/>
                  <w:vAlign w:val="center"/>
                </w:tcPr>
                <w:p>
                  <w:pPr>
                    <w:pStyle w:val="158"/>
                    <w:spacing w:line="240" w:lineRule="auto"/>
                    <w:ind w:firstLine="0" w:firstLineChars="0"/>
                    <w:jc w:val="center"/>
                    <w:rPr>
                      <w:rFonts w:cs="Times New Roman"/>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trPr>
              <w:tc>
                <w:tcPr>
                  <w:tcW w:w="817" w:type="dxa"/>
                  <w:vMerge w:val="continue"/>
                  <w:vAlign w:val="center"/>
                </w:tcPr>
                <w:p>
                  <w:pPr>
                    <w:pStyle w:val="139"/>
                    <w:rPr>
                      <w:bCs w:val="0"/>
                      <w:color w:val="auto"/>
                    </w:rPr>
                  </w:pPr>
                </w:p>
              </w:tc>
              <w:tc>
                <w:tcPr>
                  <w:tcW w:w="1036" w:type="dxa"/>
                  <w:vAlign w:val="center"/>
                </w:tcPr>
                <w:p>
                  <w:pPr>
                    <w:pStyle w:val="139"/>
                    <w:rPr>
                      <w:bCs w:val="0"/>
                      <w:color w:val="auto"/>
                    </w:rPr>
                  </w:pPr>
                  <w:r>
                    <w:rPr>
                      <w:rFonts w:hint="eastAsia"/>
                      <w:bCs w:val="0"/>
                      <w:color w:val="auto"/>
                    </w:rPr>
                    <w:t>废漆渣</w:t>
                  </w:r>
                </w:p>
              </w:tc>
              <w:tc>
                <w:tcPr>
                  <w:tcW w:w="658"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危险固废</w:t>
                  </w:r>
                </w:p>
              </w:tc>
              <w:tc>
                <w:tcPr>
                  <w:tcW w:w="81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HW12</w:t>
                  </w:r>
                </w:p>
              </w:tc>
              <w:tc>
                <w:tcPr>
                  <w:tcW w:w="138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900-252-12</w:t>
                  </w:r>
                </w:p>
              </w:tc>
              <w:tc>
                <w:tcPr>
                  <w:tcW w:w="649"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液体</w:t>
                  </w:r>
                </w:p>
              </w:tc>
              <w:tc>
                <w:tcPr>
                  <w:tcW w:w="946"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1.0</w:t>
                  </w:r>
                </w:p>
              </w:tc>
              <w:tc>
                <w:tcPr>
                  <w:tcW w:w="1955" w:type="dxa"/>
                  <w:vMerge w:val="continue"/>
                  <w:vAlign w:val="center"/>
                </w:tcPr>
                <w:p>
                  <w:pPr>
                    <w:pStyle w:val="158"/>
                    <w:spacing w:line="240" w:lineRule="auto"/>
                    <w:ind w:firstLine="0" w:firstLineChars="0"/>
                    <w:jc w:val="center"/>
                    <w:rPr>
                      <w:rFonts w:cs="Times New Roman"/>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trPr>
              <w:tc>
                <w:tcPr>
                  <w:tcW w:w="817" w:type="dxa"/>
                  <w:vMerge w:val="continue"/>
                  <w:vAlign w:val="center"/>
                </w:tcPr>
                <w:p>
                  <w:pPr>
                    <w:pStyle w:val="139"/>
                    <w:rPr>
                      <w:bCs w:val="0"/>
                      <w:color w:val="auto"/>
                    </w:rPr>
                  </w:pPr>
                </w:p>
              </w:tc>
              <w:tc>
                <w:tcPr>
                  <w:tcW w:w="1036" w:type="dxa"/>
                  <w:vAlign w:val="center"/>
                </w:tcPr>
                <w:p>
                  <w:pPr>
                    <w:pStyle w:val="139"/>
                    <w:rPr>
                      <w:bCs w:val="0"/>
                      <w:color w:val="auto"/>
                    </w:rPr>
                  </w:pPr>
                  <w:r>
                    <w:rPr>
                      <w:rFonts w:hint="eastAsia"/>
                      <w:bCs w:val="0"/>
                      <w:color w:val="auto"/>
                    </w:rPr>
                    <w:t>废油漆桶</w:t>
                  </w:r>
                </w:p>
              </w:tc>
              <w:tc>
                <w:tcPr>
                  <w:tcW w:w="658"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危险固废</w:t>
                  </w:r>
                </w:p>
              </w:tc>
              <w:tc>
                <w:tcPr>
                  <w:tcW w:w="810"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HW49</w:t>
                  </w:r>
                </w:p>
              </w:tc>
              <w:tc>
                <w:tcPr>
                  <w:tcW w:w="138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900-041-49</w:t>
                  </w:r>
                </w:p>
              </w:tc>
              <w:tc>
                <w:tcPr>
                  <w:tcW w:w="649"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固体</w:t>
                  </w:r>
                </w:p>
              </w:tc>
              <w:tc>
                <w:tcPr>
                  <w:tcW w:w="946"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0.1</w:t>
                  </w:r>
                </w:p>
              </w:tc>
              <w:tc>
                <w:tcPr>
                  <w:tcW w:w="1955" w:type="dxa"/>
                  <w:vMerge w:val="continue"/>
                  <w:vAlign w:val="center"/>
                </w:tcPr>
                <w:p>
                  <w:pPr>
                    <w:pStyle w:val="158"/>
                    <w:spacing w:line="240" w:lineRule="auto"/>
                    <w:ind w:firstLine="0" w:firstLineChars="0"/>
                    <w:jc w:val="center"/>
                    <w:rPr>
                      <w:rFonts w:cs="Times New Roman"/>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trPr>
              <w:tc>
                <w:tcPr>
                  <w:tcW w:w="817" w:type="dxa"/>
                  <w:vMerge w:val="continue"/>
                  <w:vAlign w:val="center"/>
                </w:tcPr>
                <w:p>
                  <w:pPr>
                    <w:pStyle w:val="139"/>
                    <w:rPr>
                      <w:bCs w:val="0"/>
                      <w:color w:val="auto"/>
                    </w:rPr>
                  </w:pPr>
                </w:p>
              </w:tc>
              <w:tc>
                <w:tcPr>
                  <w:tcW w:w="1036" w:type="dxa"/>
                  <w:vAlign w:val="center"/>
                </w:tcPr>
                <w:p>
                  <w:pPr>
                    <w:pStyle w:val="139"/>
                    <w:rPr>
                      <w:bCs w:val="0"/>
                      <w:color w:val="auto"/>
                    </w:rPr>
                  </w:pPr>
                  <w:r>
                    <w:rPr>
                      <w:rFonts w:hint="eastAsia"/>
                      <w:bCs w:val="0"/>
                      <w:color w:val="auto"/>
                    </w:rPr>
                    <w:t>水帘柜废液</w:t>
                  </w:r>
                </w:p>
              </w:tc>
              <w:tc>
                <w:tcPr>
                  <w:tcW w:w="658"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危险固废</w:t>
                  </w:r>
                </w:p>
              </w:tc>
              <w:tc>
                <w:tcPr>
                  <w:tcW w:w="810"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HW49</w:t>
                  </w:r>
                </w:p>
              </w:tc>
              <w:tc>
                <w:tcPr>
                  <w:tcW w:w="138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900-041-49</w:t>
                  </w:r>
                </w:p>
              </w:tc>
              <w:tc>
                <w:tcPr>
                  <w:tcW w:w="649"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液体</w:t>
                  </w:r>
                </w:p>
              </w:tc>
              <w:tc>
                <w:tcPr>
                  <w:tcW w:w="946"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6</w:t>
                  </w:r>
                </w:p>
              </w:tc>
              <w:tc>
                <w:tcPr>
                  <w:tcW w:w="1955" w:type="dxa"/>
                  <w:vMerge w:val="continue"/>
                  <w:vAlign w:val="center"/>
                </w:tcPr>
                <w:p>
                  <w:pPr>
                    <w:pStyle w:val="158"/>
                    <w:spacing w:line="240" w:lineRule="auto"/>
                    <w:ind w:firstLine="0" w:firstLineChars="0"/>
                    <w:jc w:val="center"/>
                    <w:rPr>
                      <w:rFonts w:cs="Times New Roman"/>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Merge w:val="continue"/>
                  <w:vAlign w:val="center"/>
                </w:tcPr>
                <w:p>
                  <w:pPr>
                    <w:pStyle w:val="139"/>
                    <w:rPr>
                      <w:bCs w:val="0"/>
                      <w:color w:val="auto"/>
                    </w:rPr>
                  </w:pPr>
                </w:p>
              </w:tc>
              <w:tc>
                <w:tcPr>
                  <w:tcW w:w="1036" w:type="dxa"/>
                  <w:vAlign w:val="center"/>
                </w:tcPr>
                <w:p>
                  <w:pPr>
                    <w:pStyle w:val="139"/>
                    <w:rPr>
                      <w:bCs w:val="0"/>
                      <w:color w:val="auto"/>
                    </w:rPr>
                  </w:pPr>
                  <w:r>
                    <w:rPr>
                      <w:rFonts w:hint="eastAsia"/>
                      <w:bCs w:val="0"/>
                      <w:color w:val="auto"/>
                    </w:rPr>
                    <w:t>废过滤棉</w:t>
                  </w:r>
                </w:p>
              </w:tc>
              <w:tc>
                <w:tcPr>
                  <w:tcW w:w="658"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危险固废</w:t>
                  </w:r>
                </w:p>
              </w:tc>
              <w:tc>
                <w:tcPr>
                  <w:tcW w:w="810" w:type="dxa"/>
                  <w:vAlign w:val="center"/>
                </w:tcPr>
                <w:p>
                  <w:pPr>
                    <w:pStyle w:val="158"/>
                    <w:spacing w:line="240" w:lineRule="auto"/>
                    <w:ind w:firstLine="0" w:firstLineChars="0"/>
                    <w:jc w:val="center"/>
                    <w:rPr>
                      <w:rFonts w:cs="Times New Roman"/>
                      <w:color w:val="auto"/>
                      <w:sz w:val="21"/>
                      <w:szCs w:val="24"/>
                    </w:rPr>
                  </w:pPr>
                  <w:r>
                    <w:rPr>
                      <w:rFonts w:cs="Times New Roman"/>
                      <w:color w:val="auto"/>
                      <w:sz w:val="21"/>
                      <w:szCs w:val="24"/>
                    </w:rPr>
                    <w:t>HW49</w:t>
                  </w:r>
                </w:p>
              </w:tc>
              <w:tc>
                <w:tcPr>
                  <w:tcW w:w="1380"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900-041-49</w:t>
                  </w:r>
                </w:p>
              </w:tc>
              <w:tc>
                <w:tcPr>
                  <w:tcW w:w="649"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固体</w:t>
                  </w:r>
                </w:p>
              </w:tc>
              <w:tc>
                <w:tcPr>
                  <w:tcW w:w="946"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0.2</w:t>
                  </w:r>
                </w:p>
              </w:tc>
              <w:tc>
                <w:tcPr>
                  <w:tcW w:w="1955" w:type="dxa"/>
                  <w:vMerge w:val="continue"/>
                  <w:vAlign w:val="center"/>
                </w:tcPr>
                <w:p>
                  <w:pPr>
                    <w:pStyle w:val="158"/>
                    <w:spacing w:line="240" w:lineRule="auto"/>
                    <w:ind w:firstLine="0" w:firstLineChars="0"/>
                    <w:jc w:val="center"/>
                    <w:rPr>
                      <w:rFonts w:cs="Times New Roman"/>
                      <w:color w:val="auto"/>
                      <w:sz w:val="21"/>
                      <w:szCs w:val="24"/>
                    </w:rPr>
                  </w:pPr>
                </w:p>
              </w:tc>
            </w:tr>
          </w:tbl>
          <w:p>
            <w:pPr>
              <w:wordWrap w:val="0"/>
              <w:topLinePunct/>
              <w:spacing w:line="360" w:lineRule="auto"/>
              <w:rPr>
                <w:b/>
                <w:bCs/>
                <w:sz w:val="24"/>
              </w:rPr>
            </w:pPr>
            <w:r>
              <w:rPr>
                <w:b/>
                <w:bCs/>
                <w:sz w:val="24"/>
              </w:rPr>
              <w:t>4.3环境管理要求</w:t>
            </w:r>
          </w:p>
          <w:p>
            <w:pPr>
              <w:pStyle w:val="12"/>
              <w:snapToGrid/>
              <w:spacing w:before="0" w:after="0" w:line="360" w:lineRule="auto"/>
              <w:ind w:right="0" w:firstLine="482" w:firstLineChars="200"/>
              <w:rPr>
                <w:b/>
                <w:sz w:val="24"/>
                <w:szCs w:val="24"/>
              </w:rPr>
            </w:pPr>
            <w:r>
              <w:rPr>
                <w:b/>
                <w:sz w:val="24"/>
                <w:szCs w:val="24"/>
              </w:rPr>
              <w:t>（</w:t>
            </w:r>
            <w:r>
              <w:rPr>
                <w:rFonts w:hint="eastAsia"/>
                <w:b/>
                <w:sz w:val="24"/>
                <w:szCs w:val="24"/>
              </w:rPr>
              <w:t>1</w:t>
            </w:r>
            <w:r>
              <w:rPr>
                <w:b/>
                <w:sz w:val="24"/>
                <w:szCs w:val="24"/>
              </w:rPr>
              <w:t>）一般工业固废环境管理要求</w:t>
            </w:r>
          </w:p>
          <w:p>
            <w:pPr>
              <w:pStyle w:val="12"/>
              <w:snapToGrid/>
              <w:spacing w:before="0" w:after="0" w:line="360" w:lineRule="auto"/>
              <w:ind w:right="0" w:firstLine="480" w:firstLineChars="200"/>
              <w:rPr>
                <w:sz w:val="24"/>
                <w:szCs w:val="24"/>
              </w:rPr>
            </w:pPr>
            <w:r>
              <w:rPr>
                <w:sz w:val="24"/>
                <w:szCs w:val="24"/>
              </w:rPr>
              <w:t>①一般工业固废贮存设施可行性分析</w:t>
            </w:r>
          </w:p>
          <w:p>
            <w:pPr>
              <w:pStyle w:val="12"/>
              <w:snapToGrid/>
              <w:spacing w:before="0" w:after="0" w:line="360" w:lineRule="auto"/>
              <w:ind w:right="0" w:firstLine="480" w:firstLineChars="200"/>
              <w:rPr>
                <w:sz w:val="24"/>
                <w:szCs w:val="24"/>
              </w:rPr>
            </w:pPr>
            <w:r>
              <w:rPr>
                <w:sz w:val="24"/>
                <w:szCs w:val="24"/>
              </w:rPr>
              <w:t>公司</w:t>
            </w:r>
            <w:r>
              <w:rPr>
                <w:rFonts w:hint="eastAsia"/>
                <w:sz w:val="24"/>
                <w:szCs w:val="24"/>
              </w:rPr>
              <w:t>在厂房东侧建设</w:t>
            </w:r>
            <w:r>
              <w:rPr>
                <w:sz w:val="24"/>
                <w:szCs w:val="24"/>
              </w:rPr>
              <w:t>一般工业固废暂存间1个，总占地面积约为</w:t>
            </w:r>
            <w:r>
              <w:rPr>
                <w:rFonts w:hint="eastAsia"/>
                <w:sz w:val="24"/>
                <w:szCs w:val="24"/>
              </w:rPr>
              <w:t>40</w:t>
            </w:r>
            <w:r>
              <w:rPr>
                <w:sz w:val="24"/>
                <w:szCs w:val="24"/>
              </w:rPr>
              <w:t>m</w:t>
            </w:r>
            <w:r>
              <w:rPr>
                <w:sz w:val="24"/>
                <w:szCs w:val="24"/>
                <w:vertAlign w:val="superscript"/>
              </w:rPr>
              <w:t>2</w:t>
            </w:r>
            <w:r>
              <w:rPr>
                <w:sz w:val="24"/>
                <w:szCs w:val="24"/>
              </w:rPr>
              <w:t>。一般工业固废暂存间位于室内，可做到“防扬散、防流失、防渗漏”。一般工业固废收集后分类贮存于一般工业固废暂存间内，而后定期外售处置。</w:t>
            </w:r>
          </w:p>
          <w:p>
            <w:pPr>
              <w:pStyle w:val="12"/>
              <w:snapToGrid/>
              <w:spacing w:before="0" w:after="0" w:line="360" w:lineRule="auto"/>
              <w:ind w:right="0" w:firstLine="480" w:firstLineChars="200"/>
              <w:rPr>
                <w:sz w:val="24"/>
                <w:szCs w:val="24"/>
              </w:rPr>
            </w:pPr>
            <w:r>
              <w:rPr>
                <w:sz w:val="24"/>
                <w:szCs w:val="24"/>
              </w:rPr>
              <w:t>综上所述，厂区</w:t>
            </w:r>
            <w:r>
              <w:rPr>
                <w:rFonts w:hint="eastAsia"/>
                <w:sz w:val="24"/>
                <w:szCs w:val="24"/>
              </w:rPr>
              <w:t>拟建的</w:t>
            </w:r>
            <w:r>
              <w:rPr>
                <w:sz w:val="24"/>
                <w:szCs w:val="24"/>
              </w:rPr>
              <w:t>一般工业固废暂存间可满足项目完成后全厂产生的一般工业固废贮存需求。</w:t>
            </w:r>
          </w:p>
          <w:p>
            <w:pPr>
              <w:spacing w:line="360" w:lineRule="auto"/>
              <w:ind w:firstLine="480" w:firstLineChars="200"/>
              <w:rPr>
                <w:sz w:val="24"/>
              </w:rPr>
            </w:pPr>
            <w:r>
              <w:rPr>
                <w:bCs/>
                <w:sz w:val="24"/>
              </w:rPr>
              <w:t>②一般</w:t>
            </w:r>
            <w:r>
              <w:rPr>
                <w:sz w:val="24"/>
              </w:rPr>
              <w:t>工业</w:t>
            </w:r>
            <w:r>
              <w:rPr>
                <w:bCs/>
                <w:sz w:val="24"/>
              </w:rPr>
              <w:t>固废暂存间</w:t>
            </w:r>
            <w:r>
              <w:rPr>
                <w:sz w:val="24"/>
              </w:rPr>
              <w:t>环境管理要求</w:t>
            </w:r>
          </w:p>
          <w:p>
            <w:pPr>
              <w:pStyle w:val="12"/>
              <w:snapToGrid/>
              <w:spacing w:before="0" w:after="0" w:line="360" w:lineRule="auto"/>
              <w:ind w:right="0" w:firstLine="480" w:firstLineChars="200"/>
              <w:rPr>
                <w:sz w:val="24"/>
                <w:szCs w:val="24"/>
              </w:rPr>
            </w:pPr>
            <w:r>
              <w:rPr>
                <w:sz w:val="24"/>
                <w:szCs w:val="24"/>
              </w:rPr>
              <w:t>本项目一般工业固废应按照相关要求分类收集贮存，暂存场所应满足《一般工业固体废物贮存和填埋污染控制标准》（GB18599-2020）、《环境保护图形标志—固体废物贮存（处置场）》（GB15562.2-1995）等规定要求。</w:t>
            </w:r>
          </w:p>
          <w:p>
            <w:pPr>
              <w:pStyle w:val="12"/>
              <w:snapToGrid/>
              <w:spacing w:before="0" w:after="0" w:line="360" w:lineRule="auto"/>
              <w:ind w:right="0" w:firstLine="480" w:firstLineChars="200"/>
              <w:rPr>
                <w:sz w:val="24"/>
                <w:szCs w:val="24"/>
              </w:rPr>
            </w:pPr>
            <w:r>
              <w:rPr>
                <w:sz w:val="24"/>
                <w:szCs w:val="24"/>
              </w:rPr>
              <w:t>1贮存、处置场的建设类型，必须与将要堆放的一般工业固体废物的类别相一致。</w:t>
            </w:r>
          </w:p>
          <w:p>
            <w:pPr>
              <w:pStyle w:val="12"/>
              <w:snapToGrid/>
              <w:spacing w:before="0" w:after="0" w:line="360" w:lineRule="auto"/>
              <w:ind w:right="0" w:firstLine="480" w:firstLineChars="200"/>
              <w:rPr>
                <w:sz w:val="24"/>
                <w:szCs w:val="24"/>
              </w:rPr>
            </w:pPr>
            <w:r>
              <w:rPr>
                <w:sz w:val="24"/>
                <w:szCs w:val="24"/>
              </w:rPr>
              <w:t>2为保障设施、设备正常运营，必要时应采取措施防止地基下沉，尤其是防止不均匀或局部下沉。</w:t>
            </w:r>
          </w:p>
          <w:p>
            <w:pPr>
              <w:pStyle w:val="12"/>
              <w:snapToGrid/>
              <w:spacing w:before="0" w:after="0" w:line="360" w:lineRule="auto"/>
              <w:ind w:right="0" w:firstLine="480" w:firstLineChars="200"/>
              <w:rPr>
                <w:sz w:val="24"/>
                <w:szCs w:val="24"/>
              </w:rPr>
            </w:pPr>
            <w:r>
              <w:rPr>
                <w:sz w:val="24"/>
                <w:szCs w:val="24"/>
              </w:rPr>
              <w:t>3贮存、处置场的使用单位，应建立档案制度。应将入场的一般工业固体废物的种类和数量以及下列资料，详细记录在案，长期保存，供随时查阅。</w:t>
            </w:r>
          </w:p>
          <w:p>
            <w:pPr>
              <w:pStyle w:val="12"/>
              <w:snapToGrid/>
              <w:spacing w:before="0" w:after="0" w:line="360" w:lineRule="auto"/>
              <w:ind w:right="0" w:firstLine="482" w:firstLineChars="200"/>
              <w:rPr>
                <w:b/>
                <w:sz w:val="24"/>
                <w:szCs w:val="24"/>
              </w:rPr>
            </w:pPr>
            <w:r>
              <w:rPr>
                <w:b/>
                <w:sz w:val="24"/>
                <w:szCs w:val="24"/>
              </w:rPr>
              <w:t>（</w:t>
            </w:r>
            <w:r>
              <w:rPr>
                <w:rFonts w:hint="eastAsia"/>
                <w:b/>
                <w:sz w:val="24"/>
                <w:szCs w:val="24"/>
              </w:rPr>
              <w:t>3</w:t>
            </w:r>
            <w:r>
              <w:rPr>
                <w:b/>
                <w:sz w:val="24"/>
                <w:szCs w:val="24"/>
              </w:rPr>
              <w:t>）</w:t>
            </w:r>
            <w:r>
              <w:rPr>
                <w:rFonts w:hint="eastAsia"/>
                <w:b/>
                <w:sz w:val="24"/>
                <w:szCs w:val="24"/>
              </w:rPr>
              <w:t>危险废物</w:t>
            </w:r>
            <w:r>
              <w:rPr>
                <w:b/>
                <w:sz w:val="24"/>
                <w:szCs w:val="24"/>
              </w:rPr>
              <w:t>环境管理要求</w:t>
            </w:r>
          </w:p>
          <w:p>
            <w:pPr>
              <w:spacing w:line="360" w:lineRule="auto"/>
              <w:ind w:firstLine="480" w:firstLineChars="200"/>
              <w:rPr>
                <w:sz w:val="24"/>
              </w:rPr>
            </w:pPr>
            <w:r>
              <w:rPr>
                <w:rFonts w:hint="eastAsia"/>
                <w:sz w:val="24"/>
              </w:rPr>
              <w:t xml:space="preserve"> ①贮存设施应根据危险废物的形态、物理化学性质、包装形式和污染物迁移途径，采取必要的防 风、防晒、防雨、防漏、防渗、防腐以及其他环境污染防治措施，不应露天堆放危险废物。</w:t>
            </w:r>
          </w:p>
          <w:p>
            <w:pPr>
              <w:spacing w:line="360" w:lineRule="auto"/>
              <w:ind w:firstLine="480" w:firstLineChars="200"/>
              <w:rPr>
                <w:sz w:val="24"/>
              </w:rPr>
            </w:pPr>
            <w:r>
              <w:rPr>
                <w:rFonts w:hint="eastAsia"/>
                <w:sz w:val="24"/>
              </w:rPr>
              <w:t>②贮存设施应根据危险废物的类别、数量、形态、物理化学性质和污染防治等要求设置必要的贮存分区，避免不相容的危险废物接触、混合。</w:t>
            </w:r>
          </w:p>
          <w:p>
            <w:pPr>
              <w:spacing w:line="360" w:lineRule="auto"/>
              <w:ind w:firstLine="480" w:firstLineChars="200"/>
              <w:rPr>
                <w:sz w:val="24"/>
              </w:rPr>
            </w:pPr>
            <w:r>
              <w:rPr>
                <w:rFonts w:hint="eastAsia"/>
                <w:sz w:val="24"/>
              </w:rPr>
              <w:t>③贮存设施或贮存分区内地面、墙面裙角、堵截泄漏的围堰、接触危险废物的隔板和墙体等应采用坚固的材料建造，表面无裂缝。</w:t>
            </w:r>
          </w:p>
          <w:p>
            <w:pPr>
              <w:spacing w:line="360" w:lineRule="auto"/>
              <w:ind w:firstLine="480" w:firstLineChars="200"/>
              <w:rPr>
                <w:sz w:val="24"/>
              </w:rPr>
            </w:pPr>
            <w:r>
              <w:rPr>
                <w:rFonts w:hint="eastAsia"/>
                <w:sz w:val="24"/>
              </w:rPr>
              <w:t>④贮存设施地面与裙脚应采取表面防渗措施；表面防渗材料应与所接触的物料或污染物相容，可 采用抗渗混凝土、高密度聚乙烯膜、钠基膨润土防水毯或其他防渗性能等效的材料。贮存的危险废物直 接接触地面的，还应进行基础防渗，防渗层为至少1 m厚黏土层（渗透系数不大于10</w:t>
            </w:r>
            <w:r>
              <w:rPr>
                <w:rFonts w:hint="eastAsia"/>
                <w:sz w:val="24"/>
                <w:vertAlign w:val="superscript"/>
              </w:rPr>
              <w:t>-7</w:t>
            </w:r>
            <w:r>
              <w:rPr>
                <w:rFonts w:hint="eastAsia"/>
                <w:sz w:val="24"/>
              </w:rPr>
              <w:t xml:space="preserve"> cm/s），或至少2 mm 厚高密度聚乙烯膜等人工防渗材料（渗透系数不大于10</w:t>
            </w:r>
            <w:r>
              <w:rPr>
                <w:rFonts w:hint="eastAsia"/>
                <w:sz w:val="24"/>
                <w:vertAlign w:val="superscript"/>
              </w:rPr>
              <w:t>-10</w:t>
            </w:r>
            <w:r>
              <w:rPr>
                <w:rFonts w:hint="eastAsia"/>
                <w:sz w:val="24"/>
              </w:rPr>
              <w:t xml:space="preserve"> cm/s），或其他防渗性能等效的材料。</w:t>
            </w:r>
          </w:p>
          <w:p>
            <w:pPr>
              <w:spacing w:line="360" w:lineRule="auto"/>
              <w:ind w:firstLine="480" w:firstLineChars="200"/>
              <w:rPr>
                <w:sz w:val="24"/>
              </w:rPr>
            </w:pPr>
            <w:r>
              <w:rPr>
                <w:rFonts w:hint="eastAsia"/>
                <w:sz w:val="24"/>
              </w:rPr>
              <w:t>⑤同一贮存设施宜采用相同的防渗、防腐工艺（包括防渗、防腐结构或材料），防渗、防腐材料应覆盖所有可能与废物及其渗滤液、渗漏液等接触的构筑物表面；采用不同防渗、防腐工艺应分别建设 贮存分区。</w:t>
            </w:r>
          </w:p>
          <w:p>
            <w:pPr>
              <w:spacing w:line="360" w:lineRule="auto"/>
              <w:ind w:firstLine="480" w:firstLineChars="200"/>
              <w:rPr>
                <w:sz w:val="24"/>
              </w:rPr>
            </w:pPr>
            <w:r>
              <w:rPr>
                <w:rFonts w:hint="eastAsia"/>
                <w:sz w:val="24"/>
              </w:rPr>
              <w:t>⑥贮存设施应采取技术和管理措施防止无关人员进入。</w:t>
            </w:r>
          </w:p>
          <w:p>
            <w:pPr>
              <w:spacing w:line="360" w:lineRule="auto"/>
              <w:ind w:firstLine="480" w:firstLineChars="200"/>
              <w:rPr>
                <w:sz w:val="24"/>
              </w:rPr>
            </w:pPr>
            <w:r>
              <w:rPr>
                <w:rFonts w:hint="eastAsia"/>
                <w:sz w:val="24"/>
              </w:rPr>
              <w:t>1）危险废物的收集包装</w:t>
            </w:r>
          </w:p>
          <w:p>
            <w:pPr>
              <w:spacing w:line="360" w:lineRule="auto"/>
              <w:ind w:firstLine="480" w:firstLineChars="200"/>
              <w:rPr>
                <w:sz w:val="24"/>
              </w:rPr>
            </w:pPr>
            <w:r>
              <w:rPr>
                <w:rFonts w:hint="eastAsia"/>
                <w:sz w:val="24"/>
              </w:rPr>
              <w:t>① 容器和包装物材质、内衬应与盛装的危险废物相容。</w:t>
            </w:r>
          </w:p>
          <w:p>
            <w:pPr>
              <w:spacing w:line="360" w:lineRule="auto"/>
              <w:ind w:firstLine="480" w:firstLineChars="200"/>
              <w:rPr>
                <w:sz w:val="24"/>
              </w:rPr>
            </w:pPr>
            <w:r>
              <w:rPr>
                <w:rFonts w:hint="eastAsia"/>
                <w:sz w:val="24"/>
              </w:rPr>
              <w:t>②针对不同类别、形态、物理化学性质的危险废物，其容器和包装物应满足相应的防渗、防漏、防 腐和强度等要求。</w:t>
            </w:r>
          </w:p>
          <w:p>
            <w:pPr>
              <w:spacing w:line="360" w:lineRule="auto"/>
              <w:ind w:firstLine="480" w:firstLineChars="200"/>
              <w:rPr>
                <w:sz w:val="24"/>
              </w:rPr>
            </w:pPr>
            <w:r>
              <w:rPr>
                <w:rFonts w:hint="eastAsia"/>
                <w:sz w:val="24"/>
              </w:rPr>
              <w:t>③硬质容器和包装物及其支护结构堆叠码放时不应有明显变形，无破损泄漏。</w:t>
            </w:r>
          </w:p>
          <w:p>
            <w:pPr>
              <w:spacing w:line="360" w:lineRule="auto"/>
              <w:ind w:firstLine="480" w:firstLineChars="200"/>
              <w:rPr>
                <w:sz w:val="24"/>
              </w:rPr>
            </w:pPr>
            <w:r>
              <w:rPr>
                <w:rFonts w:hint="eastAsia"/>
                <w:sz w:val="24"/>
              </w:rPr>
              <w:t>④柔性容器和包装物堆叠码放时应封口严密，无破损泄漏。</w:t>
            </w:r>
          </w:p>
          <w:p>
            <w:pPr>
              <w:spacing w:line="360" w:lineRule="auto"/>
              <w:ind w:firstLine="480" w:firstLineChars="200"/>
              <w:rPr>
                <w:sz w:val="24"/>
              </w:rPr>
            </w:pPr>
            <w:r>
              <w:rPr>
                <w:rFonts w:hint="eastAsia"/>
                <w:sz w:val="24"/>
              </w:rPr>
              <w:t>⑤使用容器盛装液态、半固态危险废物时，容器内部应留有适当的空间，以适应因温度变化等可能 引发的收缩和膨胀，防止其导致容器渗漏或永久变形。</w:t>
            </w:r>
          </w:p>
          <w:p>
            <w:pPr>
              <w:spacing w:line="360" w:lineRule="auto"/>
              <w:ind w:firstLine="480" w:firstLineChars="200"/>
              <w:rPr>
                <w:sz w:val="24"/>
              </w:rPr>
            </w:pPr>
            <w:r>
              <w:rPr>
                <w:rFonts w:hint="eastAsia"/>
                <w:sz w:val="24"/>
              </w:rPr>
              <w:t>⑥容器和包装物外表面应保持清洁。</w:t>
            </w:r>
          </w:p>
          <w:p>
            <w:pPr>
              <w:spacing w:line="360" w:lineRule="auto"/>
              <w:ind w:firstLine="480" w:firstLineChars="200"/>
              <w:rPr>
                <w:sz w:val="24"/>
              </w:rPr>
            </w:pPr>
            <w:r>
              <w:rPr>
                <w:rFonts w:hint="eastAsia"/>
                <w:sz w:val="24"/>
              </w:rPr>
              <w:t>2）危险废物的贮存要求</w:t>
            </w:r>
          </w:p>
          <w:p>
            <w:pPr>
              <w:spacing w:line="360" w:lineRule="auto"/>
              <w:ind w:firstLine="480" w:firstLineChars="200"/>
              <w:rPr>
                <w:sz w:val="24"/>
              </w:rPr>
            </w:pPr>
            <w:r>
              <w:rPr>
                <w:rFonts w:hint="eastAsia"/>
                <w:sz w:val="24"/>
              </w:rPr>
              <w:t>a.项目在项目东侧设置一个建筑面积约20m</w:t>
            </w:r>
            <w:r>
              <w:rPr>
                <w:rFonts w:hint="eastAsia"/>
                <w:sz w:val="24"/>
                <w:vertAlign w:val="superscript"/>
              </w:rPr>
              <w:t>2</w:t>
            </w:r>
            <w:r>
              <w:rPr>
                <w:rFonts w:hint="eastAsia"/>
                <w:sz w:val="24"/>
              </w:rPr>
              <w:t>的危险废物暂存间，用于暂存项目生产过程产生的危险废物，各类危废之间应分区存放。区域内均放置防渗托盘，每个区域间留有过道进行间隔。</w:t>
            </w:r>
            <w:r>
              <w:rPr>
                <w:rFonts w:hint="eastAsia"/>
                <w:sz w:val="24"/>
                <w:lang w:val="en-US" w:eastAsia="zh-CN"/>
              </w:rPr>
              <w:t>油漆</w:t>
            </w:r>
            <w:r>
              <w:rPr>
                <w:rFonts w:hint="eastAsia"/>
                <w:sz w:val="24"/>
              </w:rPr>
              <w:t>空桶盖好盖子，放置在托盘上。项目危废置于各暂存区的防渗托盘上。应清楚地标明内盛物的类别与危害说明，以及数量和装进日期，设置危险废物识别标志。</w:t>
            </w:r>
          </w:p>
          <w:p>
            <w:pPr>
              <w:spacing w:line="360" w:lineRule="auto"/>
              <w:ind w:firstLine="480" w:firstLineChars="200"/>
              <w:rPr>
                <w:sz w:val="24"/>
              </w:rPr>
            </w:pPr>
            <w:r>
              <w:rPr>
                <w:rFonts w:hint="eastAsia"/>
                <w:sz w:val="24"/>
              </w:rPr>
              <w:t>b.按《环境保护图形标识一固体废物贮存(处置)场》(GB15562.2)设置警示标志。</w:t>
            </w:r>
          </w:p>
          <w:p>
            <w:pPr>
              <w:spacing w:line="360" w:lineRule="auto"/>
              <w:ind w:firstLine="480" w:firstLineChars="200"/>
              <w:rPr>
                <w:sz w:val="24"/>
              </w:rPr>
            </w:pPr>
            <w:r>
              <w:rPr>
                <w:rFonts w:hint="eastAsia"/>
                <w:sz w:val="24"/>
              </w:rPr>
              <w:t>c.必须有耐腐蚀的硬化地面和基础防渗层，地面无裂隙；设施底部必须高于地下水最高水位。</w:t>
            </w:r>
          </w:p>
          <w:p>
            <w:pPr>
              <w:spacing w:line="360" w:lineRule="auto"/>
              <w:ind w:firstLine="480" w:firstLineChars="200"/>
              <w:rPr>
                <w:sz w:val="24"/>
              </w:rPr>
            </w:pPr>
            <w:r>
              <w:rPr>
                <w:rFonts w:hint="eastAsia"/>
                <w:sz w:val="24"/>
              </w:rPr>
              <w:t>d.要求必要的防风、防雨、防晒措施。</w:t>
            </w:r>
          </w:p>
          <w:p>
            <w:pPr>
              <w:spacing w:line="360" w:lineRule="auto"/>
              <w:ind w:firstLine="480" w:firstLineChars="200"/>
              <w:rPr>
                <w:sz w:val="24"/>
              </w:rPr>
            </w:pPr>
            <w:r>
              <w:rPr>
                <w:rFonts w:hint="eastAsia"/>
                <w:sz w:val="24"/>
              </w:rPr>
              <w:t>e.要有隔离设施或其他防护栅栏。</w:t>
            </w:r>
          </w:p>
          <w:p>
            <w:pPr>
              <w:spacing w:line="360" w:lineRule="auto"/>
              <w:ind w:firstLine="480" w:firstLineChars="200"/>
              <w:rPr>
                <w:sz w:val="24"/>
              </w:rPr>
            </w:pPr>
            <w:r>
              <w:rPr>
                <w:rFonts w:hint="eastAsia"/>
                <w:sz w:val="24"/>
              </w:rPr>
              <w:t>f.应配备通讯设备、照明设施、安全防护服装及工具，并设有报警装置和应急防护设施。</w:t>
            </w:r>
          </w:p>
          <w:p>
            <w:pPr>
              <w:spacing w:line="360" w:lineRule="auto"/>
              <w:ind w:firstLine="480" w:firstLineChars="200"/>
              <w:rPr>
                <w:sz w:val="24"/>
              </w:rPr>
            </w:pPr>
            <w:r>
              <w:rPr>
                <w:rFonts w:hint="eastAsia"/>
                <w:sz w:val="24"/>
              </w:rPr>
              <w:t>③危险废物的运输要求</w:t>
            </w:r>
          </w:p>
          <w:p>
            <w:pPr>
              <w:spacing w:line="360" w:lineRule="auto"/>
              <w:ind w:firstLine="480" w:firstLineChars="200"/>
              <w:rPr>
                <w:sz w:val="24"/>
              </w:rPr>
            </w:pPr>
            <w:r>
              <w:rPr>
                <w:rFonts w:hint="eastAsia"/>
                <w:sz w:val="24"/>
              </w:rPr>
              <w:t>项目各类危险废物从项目车间区域收集并使用专用容器贮放由人工运送到厂区危废仓库，不会产生散落、泄漏等情况，因此不会对环境产生不良影响。委托的相关危废处置单位在进行危废运输时应具备危废运输资质证书，并由专用容器收集，因此，项目危险废物运输过程不会对环境造成影响。</w:t>
            </w:r>
          </w:p>
          <w:p>
            <w:pPr>
              <w:spacing w:line="360" w:lineRule="auto"/>
              <w:ind w:firstLine="480" w:firstLineChars="200"/>
            </w:pPr>
            <w:r>
              <w:rPr>
                <w:rFonts w:hint="eastAsia"/>
                <w:sz w:val="24"/>
              </w:rPr>
              <w:t>建设单位应分类收集、贮存、处理各类工业固体废物；厂内应记录各类固体废物相关台账信息，包括固废名称、产生量、贮存量、利用量、处理量、处置方式、处置委托单位等信息。</w:t>
            </w:r>
          </w:p>
          <w:p>
            <w:pPr>
              <w:pStyle w:val="12"/>
              <w:snapToGrid/>
              <w:spacing w:before="0" w:after="0" w:line="360" w:lineRule="auto"/>
              <w:ind w:right="0"/>
              <w:rPr>
                <w:b/>
                <w:sz w:val="24"/>
                <w:szCs w:val="24"/>
              </w:rPr>
            </w:pPr>
            <w:r>
              <w:rPr>
                <w:b/>
                <w:sz w:val="24"/>
                <w:szCs w:val="24"/>
              </w:rPr>
              <w:t>4.4、固体废物环境影响分析结论</w:t>
            </w:r>
          </w:p>
          <w:p>
            <w:pPr>
              <w:spacing w:line="360" w:lineRule="auto"/>
              <w:ind w:firstLine="480" w:firstLineChars="200"/>
              <w:rPr>
                <w:sz w:val="24"/>
              </w:rPr>
            </w:pPr>
            <w:r>
              <w:rPr>
                <w:sz w:val="24"/>
              </w:rPr>
              <w:t>综上所述，项目产生的各类固体废物均得到合理、妥善处置，对周边环境影响较小</w:t>
            </w:r>
            <w:r>
              <w:rPr>
                <w:rFonts w:hint="eastAsia"/>
                <w:sz w:val="24"/>
              </w:rPr>
              <w:t>。</w:t>
            </w:r>
          </w:p>
          <w:p>
            <w:pPr>
              <w:spacing w:line="360" w:lineRule="auto"/>
              <w:rPr>
                <w:b/>
                <w:bCs/>
                <w:sz w:val="24"/>
              </w:rPr>
            </w:pPr>
            <w:r>
              <w:rPr>
                <w:rFonts w:hint="eastAsia"/>
                <w:b/>
                <w:bCs/>
                <w:sz w:val="24"/>
              </w:rPr>
              <w:t>5</w:t>
            </w:r>
            <w:r>
              <w:rPr>
                <w:b/>
                <w:bCs/>
                <w:sz w:val="24"/>
              </w:rPr>
              <w:t>、地下水、土壤环境影响分析</w:t>
            </w:r>
            <w:r>
              <w:rPr>
                <w:rFonts w:hint="eastAsia"/>
                <w:b/>
                <w:bCs/>
                <w:sz w:val="24"/>
              </w:rPr>
              <w:t xml:space="preserve"> </w:t>
            </w:r>
          </w:p>
          <w:p>
            <w:pPr>
              <w:spacing w:line="360" w:lineRule="auto"/>
              <w:ind w:firstLine="480" w:firstLineChars="200"/>
              <w:rPr>
                <w:sz w:val="24"/>
              </w:rPr>
            </w:pPr>
            <w:r>
              <w:rPr>
                <w:sz w:val="24"/>
              </w:rPr>
              <w:t>参考《建设项目环境影响报告表编制技术指南（污染影响类）（试行）》，厂内地面已全部硬化，危废间设置防渗防漏措施，本项目不存在地下水</w:t>
            </w:r>
            <w:r>
              <w:rPr>
                <w:rFonts w:hint="eastAsia"/>
                <w:sz w:val="24"/>
              </w:rPr>
              <w:t>、土壤</w:t>
            </w:r>
            <w:r>
              <w:rPr>
                <w:sz w:val="24"/>
              </w:rPr>
              <w:t>污染途径，不开展地下水</w:t>
            </w:r>
            <w:r>
              <w:rPr>
                <w:rFonts w:hint="eastAsia"/>
                <w:sz w:val="24"/>
              </w:rPr>
              <w:t>、土壤</w:t>
            </w:r>
            <w:r>
              <w:rPr>
                <w:sz w:val="24"/>
              </w:rPr>
              <w:t>环境影响评价。</w:t>
            </w:r>
          </w:p>
          <w:p>
            <w:pPr>
              <w:spacing w:line="360" w:lineRule="auto"/>
              <w:rPr>
                <w:b/>
                <w:bCs/>
                <w:spacing w:val="-10"/>
                <w:sz w:val="24"/>
              </w:rPr>
            </w:pPr>
            <w:r>
              <w:rPr>
                <w:rFonts w:hint="eastAsia"/>
                <w:b/>
                <w:bCs/>
                <w:spacing w:val="-10"/>
                <w:sz w:val="24"/>
              </w:rPr>
              <w:t>6</w:t>
            </w:r>
            <w:r>
              <w:rPr>
                <w:b/>
                <w:bCs/>
                <w:spacing w:val="-10"/>
                <w:sz w:val="24"/>
              </w:rPr>
              <w:t>、环境风险分析和防范措施</w:t>
            </w:r>
          </w:p>
          <w:p>
            <w:pPr>
              <w:spacing w:line="360" w:lineRule="auto"/>
              <w:ind w:firstLine="480" w:firstLineChars="200"/>
              <w:rPr>
                <w:sz w:val="24"/>
              </w:rPr>
            </w:pPr>
            <w:r>
              <w:rPr>
                <w:sz w:val="24"/>
              </w:rPr>
              <w:t>根据《建设项目环境风险评价技术导则》（HJ169-2018），环境风险评价工作等级划分为一级、二级、三级。根据建设项目涉及的物质及工艺系统危险性和所在地的环境敏感性确定环境风险潜势，按照下表确定评价工作等级。</w:t>
            </w:r>
          </w:p>
          <w:p>
            <w:pPr>
              <w:ind w:firstLine="418" w:firstLineChars="200"/>
              <w:jc w:val="center"/>
              <w:rPr>
                <w:b/>
                <w:spacing w:val="-1"/>
                <w:szCs w:val="21"/>
              </w:rPr>
            </w:pPr>
            <w:r>
              <w:rPr>
                <w:b/>
                <w:spacing w:val="-1"/>
                <w:szCs w:val="21"/>
              </w:rPr>
              <w:t>表</w:t>
            </w:r>
            <w:r>
              <w:rPr>
                <w:rFonts w:hint="eastAsia"/>
                <w:b/>
                <w:spacing w:val="-1"/>
                <w:szCs w:val="21"/>
              </w:rPr>
              <w:t xml:space="preserve">4-30  </w:t>
            </w:r>
            <w:r>
              <w:rPr>
                <w:b/>
                <w:spacing w:val="-1"/>
                <w:szCs w:val="21"/>
              </w:rPr>
              <w:t>环境风险评价工作等级划分</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649"/>
              <w:gridCol w:w="1650"/>
              <w:gridCol w:w="1649"/>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99" w:type="pct"/>
                  <w:tcBorders>
                    <w:tl2br w:val="nil"/>
                    <w:tr2bl w:val="nil"/>
                  </w:tcBorders>
                  <w:vAlign w:val="center"/>
                </w:tcPr>
                <w:p>
                  <w:pPr>
                    <w:pStyle w:val="110"/>
                    <w:adjustRightInd w:val="0"/>
                    <w:snapToGrid w:val="0"/>
                    <w:spacing w:line="240" w:lineRule="auto"/>
                    <w:ind w:firstLine="0" w:firstLineChars="0"/>
                    <w:jc w:val="center"/>
                    <w:rPr>
                      <w:rFonts w:ascii="Times New Roman" w:hAnsi="Times New Roman" w:eastAsia="宋体"/>
                      <w:b/>
                      <w:bCs/>
                      <w:sz w:val="21"/>
                      <w:szCs w:val="21"/>
                    </w:rPr>
                  </w:pPr>
                  <w:r>
                    <w:rPr>
                      <w:rFonts w:ascii="Times New Roman" w:hAnsi="Times New Roman" w:eastAsia="宋体"/>
                      <w:b/>
                      <w:bCs/>
                      <w:sz w:val="21"/>
                      <w:szCs w:val="21"/>
                    </w:rPr>
                    <w:t>环境风险潜势</w:t>
                  </w:r>
                </w:p>
              </w:tc>
              <w:tc>
                <w:tcPr>
                  <w:tcW w:w="999" w:type="pct"/>
                  <w:tcBorders>
                    <w:tl2br w:val="nil"/>
                    <w:tr2bl w:val="nil"/>
                  </w:tcBorders>
                  <w:vAlign w:val="center"/>
                </w:tcPr>
                <w:p>
                  <w:pPr>
                    <w:pStyle w:val="110"/>
                    <w:adjustRightInd w:val="0"/>
                    <w:snapToGrid w:val="0"/>
                    <w:spacing w:line="240" w:lineRule="auto"/>
                    <w:ind w:firstLine="0" w:firstLineChars="0"/>
                    <w:jc w:val="center"/>
                    <w:rPr>
                      <w:rFonts w:ascii="Times New Roman" w:hAnsi="Times New Roman" w:eastAsia="宋体"/>
                      <w:b/>
                      <w:bCs/>
                      <w:sz w:val="21"/>
                      <w:szCs w:val="21"/>
                    </w:rPr>
                  </w:pPr>
                  <w:r>
                    <w:rPr>
                      <w:rFonts w:ascii="Times New Roman" w:hAnsi="Times New Roman" w:eastAsia="宋体"/>
                      <w:b/>
                      <w:bCs/>
                      <w:sz w:val="21"/>
                      <w:szCs w:val="21"/>
                    </w:rPr>
                    <w:t>IV、IV</w:t>
                  </w:r>
                  <w:r>
                    <w:rPr>
                      <w:rFonts w:ascii="Times New Roman" w:hAnsi="Times New Roman" w:eastAsia="宋体"/>
                      <w:b/>
                      <w:bCs/>
                      <w:sz w:val="22"/>
                      <w:szCs w:val="22"/>
                      <w:vertAlign w:val="superscript"/>
                    </w:rPr>
                    <w:t>+</w:t>
                  </w:r>
                </w:p>
              </w:tc>
              <w:tc>
                <w:tcPr>
                  <w:tcW w:w="1000" w:type="pct"/>
                  <w:tcBorders>
                    <w:tl2br w:val="nil"/>
                    <w:tr2bl w:val="nil"/>
                  </w:tcBorders>
                  <w:vAlign w:val="center"/>
                </w:tcPr>
                <w:p>
                  <w:pPr>
                    <w:pStyle w:val="110"/>
                    <w:adjustRightInd w:val="0"/>
                    <w:snapToGrid w:val="0"/>
                    <w:spacing w:line="240" w:lineRule="auto"/>
                    <w:ind w:firstLine="0" w:firstLineChars="0"/>
                    <w:jc w:val="center"/>
                    <w:rPr>
                      <w:rFonts w:ascii="Times New Roman" w:hAnsi="Times New Roman" w:eastAsia="宋体"/>
                      <w:b/>
                      <w:bCs/>
                      <w:sz w:val="21"/>
                      <w:szCs w:val="21"/>
                    </w:rPr>
                  </w:pPr>
                  <w:r>
                    <w:rPr>
                      <w:rFonts w:ascii="Times New Roman" w:hAnsi="Times New Roman" w:eastAsia="宋体"/>
                      <w:b/>
                      <w:bCs/>
                      <w:sz w:val="21"/>
                      <w:szCs w:val="21"/>
                    </w:rPr>
                    <w:t>III</w:t>
                  </w:r>
                </w:p>
              </w:tc>
              <w:tc>
                <w:tcPr>
                  <w:tcW w:w="999" w:type="pct"/>
                  <w:tcBorders>
                    <w:tl2br w:val="nil"/>
                    <w:tr2bl w:val="nil"/>
                  </w:tcBorders>
                  <w:vAlign w:val="center"/>
                </w:tcPr>
                <w:p>
                  <w:pPr>
                    <w:pStyle w:val="110"/>
                    <w:adjustRightInd w:val="0"/>
                    <w:snapToGrid w:val="0"/>
                    <w:spacing w:line="240" w:lineRule="auto"/>
                    <w:ind w:firstLine="0" w:firstLineChars="0"/>
                    <w:jc w:val="center"/>
                    <w:rPr>
                      <w:rFonts w:ascii="Times New Roman" w:hAnsi="Times New Roman" w:eastAsia="宋体"/>
                      <w:b/>
                      <w:bCs/>
                      <w:sz w:val="21"/>
                      <w:szCs w:val="21"/>
                    </w:rPr>
                  </w:pPr>
                  <w:r>
                    <w:rPr>
                      <w:rFonts w:ascii="Times New Roman" w:hAnsi="Times New Roman" w:eastAsia="宋体"/>
                      <w:b/>
                      <w:bCs/>
                      <w:sz w:val="21"/>
                      <w:szCs w:val="21"/>
                    </w:rPr>
                    <w:t>II</w:t>
                  </w:r>
                </w:p>
              </w:tc>
              <w:tc>
                <w:tcPr>
                  <w:tcW w:w="1001" w:type="pct"/>
                  <w:tcBorders>
                    <w:tl2br w:val="nil"/>
                    <w:tr2bl w:val="nil"/>
                  </w:tcBorders>
                  <w:vAlign w:val="center"/>
                </w:tcPr>
                <w:p>
                  <w:pPr>
                    <w:pStyle w:val="110"/>
                    <w:adjustRightInd w:val="0"/>
                    <w:snapToGrid w:val="0"/>
                    <w:spacing w:line="240" w:lineRule="auto"/>
                    <w:ind w:firstLine="0" w:firstLineChars="0"/>
                    <w:jc w:val="center"/>
                    <w:rPr>
                      <w:rFonts w:ascii="Times New Roman" w:hAnsi="Times New Roman" w:eastAsia="宋体"/>
                      <w:b/>
                      <w:bCs/>
                      <w:sz w:val="21"/>
                      <w:szCs w:val="21"/>
                    </w:rPr>
                  </w:pPr>
                  <w:r>
                    <w:rPr>
                      <w:rFonts w:ascii="Times New Roman" w:hAnsi="Times New Roman" w:eastAsia="宋体"/>
                      <w:b/>
                      <w:bCs/>
                      <w:sz w:val="21"/>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99" w:type="pct"/>
                  <w:tcBorders>
                    <w:tl2br w:val="nil"/>
                    <w:tr2bl w:val="nil"/>
                  </w:tcBorders>
                  <w:vAlign w:val="center"/>
                </w:tcPr>
                <w:p>
                  <w:pPr>
                    <w:pStyle w:val="110"/>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评价工作等级</w:t>
                  </w:r>
                </w:p>
              </w:tc>
              <w:tc>
                <w:tcPr>
                  <w:tcW w:w="999" w:type="pct"/>
                  <w:tcBorders>
                    <w:tl2br w:val="nil"/>
                    <w:tr2bl w:val="nil"/>
                  </w:tcBorders>
                  <w:vAlign w:val="center"/>
                </w:tcPr>
                <w:p>
                  <w:pPr>
                    <w:pStyle w:val="110"/>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一</w:t>
                  </w:r>
                </w:p>
              </w:tc>
              <w:tc>
                <w:tcPr>
                  <w:tcW w:w="1000" w:type="pct"/>
                  <w:tcBorders>
                    <w:tl2br w:val="nil"/>
                    <w:tr2bl w:val="nil"/>
                  </w:tcBorders>
                  <w:vAlign w:val="center"/>
                </w:tcPr>
                <w:p>
                  <w:pPr>
                    <w:pStyle w:val="110"/>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二</w:t>
                  </w:r>
                </w:p>
              </w:tc>
              <w:tc>
                <w:tcPr>
                  <w:tcW w:w="999" w:type="pct"/>
                  <w:tcBorders>
                    <w:tl2br w:val="nil"/>
                    <w:tr2bl w:val="nil"/>
                  </w:tcBorders>
                  <w:vAlign w:val="center"/>
                </w:tcPr>
                <w:p>
                  <w:pPr>
                    <w:pStyle w:val="110"/>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三</w:t>
                  </w:r>
                </w:p>
              </w:tc>
              <w:tc>
                <w:tcPr>
                  <w:tcW w:w="1001" w:type="pct"/>
                  <w:tcBorders>
                    <w:tl2br w:val="nil"/>
                    <w:tr2bl w:val="nil"/>
                  </w:tcBorders>
                  <w:vAlign w:val="center"/>
                </w:tcPr>
                <w:p>
                  <w:pPr>
                    <w:pStyle w:val="110"/>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简单分析</w:t>
                  </w:r>
                  <w:r>
                    <w:rPr>
                      <w:rFonts w:ascii="Times New Roman" w:hAnsi="Times New Roman" w:eastAsia="宋体"/>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000" w:type="pct"/>
                  <w:gridSpan w:val="5"/>
                  <w:tcBorders>
                    <w:tl2br w:val="nil"/>
                    <w:tr2bl w:val="nil"/>
                  </w:tcBorders>
                </w:tcPr>
                <w:p>
                  <w:pPr>
                    <w:pStyle w:val="110"/>
                    <w:adjustRightInd w:val="0"/>
                    <w:snapToGrid w:val="0"/>
                    <w:spacing w:line="240" w:lineRule="auto"/>
                    <w:ind w:firstLine="0" w:firstLineChars="0"/>
                    <w:jc w:val="both"/>
                    <w:rPr>
                      <w:rFonts w:ascii="Times New Roman" w:hAnsi="Times New Roman" w:eastAsia="宋体"/>
                      <w:sz w:val="21"/>
                      <w:szCs w:val="21"/>
                    </w:rPr>
                  </w:pPr>
                  <w:r>
                    <w:rPr>
                      <w:rFonts w:ascii="Times New Roman" w:hAnsi="Times New Roman" w:eastAsia="宋体"/>
                      <w:sz w:val="21"/>
                      <w:szCs w:val="21"/>
                    </w:rPr>
                    <w:t>a是相对于详细评价工作内容而言，在描述危险物质、环境影响途径、环境危害后果、风险防范措施等方面给出定性的说明。见附录A。</w:t>
                  </w:r>
                </w:p>
              </w:tc>
            </w:tr>
          </w:tbl>
          <w:p>
            <w:pPr>
              <w:pStyle w:val="110"/>
              <w:adjustRightInd w:val="0"/>
              <w:snapToGrid w:val="0"/>
              <w:ind w:firstLine="480"/>
              <w:rPr>
                <w:rFonts w:ascii="Times New Roman" w:hAnsi="Times New Roman" w:eastAsia="宋体"/>
                <w:szCs w:val="24"/>
              </w:rPr>
            </w:pPr>
            <w:r>
              <w:rPr>
                <w:rFonts w:ascii="Times New Roman" w:hAnsi="Times New Roman" w:eastAsia="宋体"/>
                <w:szCs w:val="24"/>
              </w:rPr>
              <w:t>根据《建设项目环境风险评价技术导则》（HJ169-2018）中风险调查、风险潜势初判确定：计算所涉及的每种危险物质在厂界内的最大存在总量与其在附录B中对应临界量的比值Q。在不同</w:t>
            </w:r>
            <w:r>
              <w:rPr>
                <w:rFonts w:hint="eastAsia" w:ascii="Times New Roman" w:hAnsi="Times New Roman" w:eastAsia="宋体"/>
                <w:szCs w:val="24"/>
              </w:rPr>
              <w:t>厂区</w:t>
            </w:r>
            <w:r>
              <w:rPr>
                <w:rFonts w:ascii="Times New Roman" w:hAnsi="Times New Roman" w:eastAsia="宋体"/>
                <w:szCs w:val="24"/>
              </w:rPr>
              <w:t>的同一种物质，按其在厂界内的最大存在总量计算。当存在多种危险物质时，按下列公式进行计算。</w:t>
            </w:r>
          </w:p>
          <w:p>
            <w:pPr>
              <w:pStyle w:val="110"/>
              <w:adjustRightInd w:val="0"/>
              <w:snapToGrid w:val="0"/>
              <w:ind w:firstLine="0" w:firstLineChars="0"/>
              <w:jc w:val="center"/>
              <w:rPr>
                <w:rFonts w:ascii="Times New Roman" w:hAnsi="Times New Roman" w:eastAsia="宋体"/>
                <w:szCs w:val="24"/>
              </w:rPr>
            </w:pPr>
            <w:r>
              <w:rPr>
                <w:rFonts w:ascii="Times New Roman" w:hAnsi="Times New Roman" w:eastAsia="宋体"/>
                <w:i/>
                <w:szCs w:val="24"/>
              </w:rPr>
              <w:drawing>
                <wp:inline distT="0" distB="0" distL="114300" distR="114300">
                  <wp:extent cx="1963420" cy="539750"/>
                  <wp:effectExtent l="0" t="0" r="17780" b="12700"/>
                  <wp:docPr id="1" name="图片 10" descr="QQ截图2019030510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QQ截图20190305103333"/>
                          <pic:cNvPicPr>
                            <a:picLocks noChangeAspect="1"/>
                          </pic:cNvPicPr>
                        </pic:nvPicPr>
                        <pic:blipFill>
                          <a:blip r:embed="rId26"/>
                          <a:stretch>
                            <a:fillRect/>
                          </a:stretch>
                        </pic:blipFill>
                        <pic:spPr>
                          <a:xfrm>
                            <a:off x="0" y="0"/>
                            <a:ext cx="1963420" cy="539750"/>
                          </a:xfrm>
                          <a:prstGeom prst="rect">
                            <a:avLst/>
                          </a:prstGeom>
                          <a:noFill/>
                          <a:ln>
                            <a:noFill/>
                          </a:ln>
                        </pic:spPr>
                      </pic:pic>
                    </a:graphicData>
                  </a:graphic>
                </wp:inline>
              </w:drawing>
            </w:r>
          </w:p>
          <w:p>
            <w:pPr>
              <w:pStyle w:val="110"/>
              <w:adjustRightInd w:val="0"/>
              <w:snapToGrid w:val="0"/>
              <w:ind w:firstLine="480"/>
              <w:rPr>
                <w:rFonts w:ascii="Times New Roman" w:hAnsi="Times New Roman" w:eastAsia="宋体"/>
                <w:szCs w:val="24"/>
              </w:rPr>
            </w:pPr>
            <w:r>
              <w:rPr>
                <w:rFonts w:ascii="Times New Roman" w:hAnsi="Times New Roman" w:eastAsia="宋体"/>
                <w:szCs w:val="24"/>
              </w:rPr>
              <w:t>式中：q</w:t>
            </w:r>
            <w:r>
              <w:rPr>
                <w:rFonts w:ascii="Times New Roman" w:hAnsi="Times New Roman" w:eastAsia="宋体"/>
                <w:szCs w:val="24"/>
                <w:vertAlign w:val="subscript"/>
              </w:rPr>
              <w:t>1</w:t>
            </w:r>
            <w:r>
              <w:rPr>
                <w:rFonts w:ascii="Times New Roman" w:hAnsi="Times New Roman" w:eastAsia="宋体"/>
                <w:szCs w:val="24"/>
              </w:rPr>
              <w:t>、q</w:t>
            </w:r>
            <w:r>
              <w:rPr>
                <w:rFonts w:ascii="Times New Roman" w:hAnsi="Times New Roman" w:eastAsia="宋体"/>
                <w:szCs w:val="24"/>
                <w:vertAlign w:val="subscript"/>
              </w:rPr>
              <w:t>2</w:t>
            </w:r>
            <w:r>
              <w:rPr>
                <w:rFonts w:ascii="Times New Roman" w:hAnsi="Times New Roman" w:eastAsia="宋体"/>
                <w:szCs w:val="24"/>
              </w:rPr>
              <w:t>、q</w:t>
            </w:r>
            <w:r>
              <w:rPr>
                <w:rFonts w:ascii="Times New Roman" w:hAnsi="Times New Roman" w:eastAsia="宋体"/>
                <w:szCs w:val="24"/>
                <w:vertAlign w:val="subscript"/>
              </w:rPr>
              <w:t>n</w:t>
            </w:r>
            <w:r>
              <w:rPr>
                <w:rFonts w:ascii="Times New Roman" w:hAnsi="Times New Roman" w:eastAsia="宋体"/>
                <w:szCs w:val="24"/>
              </w:rPr>
              <w:t>—每种危险物质的最大存在总量，t；</w:t>
            </w:r>
          </w:p>
          <w:p>
            <w:pPr>
              <w:pStyle w:val="110"/>
              <w:adjustRightInd w:val="0"/>
              <w:snapToGrid w:val="0"/>
              <w:ind w:firstLine="1200" w:firstLineChars="500"/>
              <w:rPr>
                <w:rFonts w:ascii="Times New Roman" w:hAnsi="Times New Roman" w:eastAsia="宋体"/>
                <w:szCs w:val="24"/>
              </w:rPr>
            </w:pPr>
            <w:r>
              <w:rPr>
                <w:rFonts w:ascii="Times New Roman" w:hAnsi="Times New Roman" w:eastAsia="宋体"/>
                <w:szCs w:val="24"/>
              </w:rPr>
              <w:t>Q</w:t>
            </w:r>
            <w:r>
              <w:rPr>
                <w:rFonts w:ascii="Times New Roman" w:hAnsi="Times New Roman" w:eastAsia="宋体"/>
                <w:szCs w:val="24"/>
                <w:vertAlign w:val="subscript"/>
              </w:rPr>
              <w:t>1</w:t>
            </w:r>
            <w:r>
              <w:rPr>
                <w:rFonts w:ascii="Times New Roman" w:hAnsi="Times New Roman" w:eastAsia="宋体"/>
                <w:szCs w:val="24"/>
              </w:rPr>
              <w:t>、Q</w:t>
            </w:r>
            <w:r>
              <w:rPr>
                <w:rFonts w:ascii="Times New Roman" w:hAnsi="Times New Roman" w:eastAsia="宋体"/>
                <w:szCs w:val="24"/>
                <w:vertAlign w:val="subscript"/>
              </w:rPr>
              <w:t>2</w:t>
            </w:r>
            <w:r>
              <w:rPr>
                <w:rFonts w:ascii="Times New Roman" w:hAnsi="Times New Roman" w:eastAsia="宋体"/>
                <w:szCs w:val="24"/>
              </w:rPr>
              <w:t>、Q</w:t>
            </w:r>
            <w:r>
              <w:rPr>
                <w:rFonts w:ascii="Times New Roman" w:hAnsi="Times New Roman" w:eastAsia="宋体"/>
                <w:szCs w:val="24"/>
                <w:vertAlign w:val="subscript"/>
              </w:rPr>
              <w:t>n</w:t>
            </w:r>
            <w:r>
              <w:rPr>
                <w:rFonts w:ascii="Times New Roman" w:hAnsi="Times New Roman" w:eastAsia="宋体"/>
                <w:szCs w:val="24"/>
              </w:rPr>
              <w:t>—每种危险物质的临界量，t。</w:t>
            </w:r>
          </w:p>
          <w:p>
            <w:pPr>
              <w:pStyle w:val="110"/>
              <w:adjustRightInd w:val="0"/>
              <w:snapToGrid w:val="0"/>
              <w:ind w:firstLine="1200" w:firstLineChars="500"/>
              <w:rPr>
                <w:rFonts w:ascii="Times New Roman" w:hAnsi="Times New Roman" w:eastAsia="宋体"/>
                <w:szCs w:val="24"/>
              </w:rPr>
            </w:pPr>
            <w:r>
              <w:rPr>
                <w:rFonts w:ascii="Times New Roman" w:hAnsi="Times New Roman" w:eastAsia="宋体"/>
                <w:szCs w:val="24"/>
              </w:rPr>
              <w:t>当Q＜1时，该项目环境风险潜势为Ⅰ。</w:t>
            </w:r>
          </w:p>
          <w:p>
            <w:pPr>
              <w:pStyle w:val="110"/>
              <w:adjustRightInd w:val="0"/>
              <w:snapToGrid w:val="0"/>
              <w:ind w:firstLine="1200" w:firstLineChars="500"/>
              <w:rPr>
                <w:rFonts w:ascii="Times New Roman" w:hAnsi="Times New Roman" w:eastAsia="宋体"/>
                <w:szCs w:val="24"/>
              </w:rPr>
            </w:pPr>
            <w:r>
              <w:rPr>
                <w:rFonts w:ascii="Times New Roman" w:hAnsi="Times New Roman" w:eastAsia="宋体"/>
                <w:szCs w:val="24"/>
              </w:rPr>
              <w:t>当Q≥1时，将Q值划分为：（1）1≤Q＜10；（2）10≤Q＜100；（3）Q≥100。</w:t>
            </w:r>
          </w:p>
          <w:p>
            <w:pPr>
              <w:ind w:firstLine="418" w:firstLineChars="200"/>
              <w:jc w:val="center"/>
              <w:rPr>
                <w:b/>
                <w:spacing w:val="-1"/>
                <w:szCs w:val="21"/>
              </w:rPr>
            </w:pPr>
            <w:r>
              <w:rPr>
                <w:b/>
                <w:spacing w:val="-1"/>
                <w:szCs w:val="21"/>
              </w:rPr>
              <w:t>表</w:t>
            </w:r>
            <w:r>
              <w:rPr>
                <w:rFonts w:hint="eastAsia"/>
                <w:b/>
                <w:spacing w:val="-1"/>
                <w:szCs w:val="21"/>
              </w:rPr>
              <w:t xml:space="preserve">4-31 </w:t>
            </w:r>
            <w:r>
              <w:rPr>
                <w:b/>
                <w:spacing w:val="-1"/>
                <w:szCs w:val="21"/>
              </w:rPr>
              <w:t xml:space="preserve"> 突发环境事件风险物质及临界量</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929"/>
              <w:gridCol w:w="1474"/>
              <w:gridCol w:w="1125"/>
              <w:gridCol w:w="1139"/>
              <w:gridCol w:w="754"/>
              <w:gridCol w:w="981"/>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vAlign w:val="center"/>
                </w:tcPr>
                <w:p>
                  <w:pPr>
                    <w:jc w:val="center"/>
                    <w:rPr>
                      <w:b/>
                      <w:bCs/>
                    </w:rPr>
                  </w:pPr>
                  <w:r>
                    <w:rPr>
                      <w:b/>
                      <w:bCs/>
                    </w:rPr>
                    <w:t>序号</w:t>
                  </w:r>
                </w:p>
              </w:tc>
              <w:tc>
                <w:tcPr>
                  <w:tcW w:w="563" w:type="pct"/>
                  <w:vAlign w:val="center"/>
                </w:tcPr>
                <w:p>
                  <w:pPr>
                    <w:jc w:val="center"/>
                    <w:rPr>
                      <w:b/>
                      <w:bCs/>
                    </w:rPr>
                  </w:pPr>
                  <w:r>
                    <w:rPr>
                      <w:b/>
                      <w:bCs/>
                    </w:rPr>
                    <w:t>环境风险源</w:t>
                  </w:r>
                </w:p>
              </w:tc>
              <w:tc>
                <w:tcPr>
                  <w:tcW w:w="894" w:type="pct"/>
                  <w:vAlign w:val="center"/>
                </w:tcPr>
                <w:p>
                  <w:pPr>
                    <w:jc w:val="center"/>
                    <w:rPr>
                      <w:b/>
                      <w:bCs/>
                    </w:rPr>
                  </w:pPr>
                  <w:r>
                    <w:rPr>
                      <w:b/>
                      <w:bCs/>
                    </w:rPr>
                    <w:t>名称</w:t>
                  </w:r>
                </w:p>
              </w:tc>
              <w:tc>
                <w:tcPr>
                  <w:tcW w:w="682" w:type="pct"/>
                  <w:vAlign w:val="center"/>
                </w:tcPr>
                <w:p>
                  <w:pPr>
                    <w:jc w:val="center"/>
                    <w:rPr>
                      <w:b/>
                      <w:bCs/>
                    </w:rPr>
                  </w:pPr>
                  <w:r>
                    <w:rPr>
                      <w:b/>
                      <w:bCs/>
                    </w:rPr>
                    <w:t>风险物质类别</w:t>
                  </w:r>
                </w:p>
              </w:tc>
              <w:tc>
                <w:tcPr>
                  <w:tcW w:w="691" w:type="pct"/>
                  <w:vAlign w:val="center"/>
                </w:tcPr>
                <w:p>
                  <w:pPr>
                    <w:jc w:val="center"/>
                    <w:rPr>
                      <w:b/>
                      <w:bCs/>
                    </w:rPr>
                  </w:pPr>
                  <w:r>
                    <w:rPr>
                      <w:b/>
                      <w:bCs/>
                    </w:rPr>
                    <w:t>最大储存量（t/a）</w:t>
                  </w:r>
                </w:p>
              </w:tc>
              <w:tc>
                <w:tcPr>
                  <w:tcW w:w="457" w:type="pct"/>
                  <w:vAlign w:val="center"/>
                </w:tcPr>
                <w:p>
                  <w:pPr>
                    <w:jc w:val="center"/>
                    <w:rPr>
                      <w:b/>
                      <w:bCs/>
                    </w:rPr>
                  </w:pPr>
                  <w:r>
                    <w:rPr>
                      <w:b/>
                      <w:bCs/>
                    </w:rPr>
                    <w:t>包装</w:t>
                  </w:r>
                </w:p>
                <w:p>
                  <w:pPr>
                    <w:jc w:val="center"/>
                    <w:rPr>
                      <w:b/>
                      <w:bCs/>
                    </w:rPr>
                  </w:pPr>
                  <w:r>
                    <w:rPr>
                      <w:b/>
                      <w:bCs/>
                    </w:rPr>
                    <w:t>形式</w:t>
                  </w:r>
                </w:p>
              </w:tc>
              <w:tc>
                <w:tcPr>
                  <w:tcW w:w="592" w:type="pct"/>
                  <w:vAlign w:val="center"/>
                </w:tcPr>
                <w:p>
                  <w:pPr>
                    <w:jc w:val="center"/>
                    <w:rPr>
                      <w:b/>
                      <w:bCs/>
                    </w:rPr>
                  </w:pPr>
                  <w:r>
                    <w:rPr>
                      <w:b/>
                      <w:bCs/>
                    </w:rPr>
                    <w:t>临界量</w:t>
                  </w:r>
                </w:p>
                <w:p>
                  <w:pPr>
                    <w:jc w:val="center"/>
                    <w:rPr>
                      <w:b/>
                      <w:bCs/>
                    </w:rPr>
                  </w:pPr>
                  <w:r>
                    <w:rPr>
                      <w:b/>
                      <w:bCs/>
                    </w:rPr>
                    <w:t>Q n (t)</w:t>
                  </w:r>
                </w:p>
              </w:tc>
              <w:tc>
                <w:tcPr>
                  <w:tcW w:w="632" w:type="pct"/>
                  <w:vAlign w:val="center"/>
                </w:tcPr>
                <w:p>
                  <w:pPr>
                    <w:jc w:val="center"/>
                    <w:rPr>
                      <w:b/>
                      <w:bCs/>
                    </w:rPr>
                  </w:pPr>
                  <w:r>
                    <w:rPr>
                      <w:b/>
                      <w:bCs/>
                    </w:rPr>
                    <w:t>q n /Q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vAlign w:val="center"/>
                </w:tcPr>
                <w:p>
                  <w:pPr>
                    <w:snapToGrid w:val="0"/>
                    <w:jc w:val="center"/>
                    <w:rPr>
                      <w:bCs/>
                      <w:szCs w:val="21"/>
                    </w:rPr>
                  </w:pPr>
                  <w:r>
                    <w:rPr>
                      <w:bCs/>
                      <w:szCs w:val="21"/>
                    </w:rPr>
                    <w:t>1</w:t>
                  </w:r>
                </w:p>
              </w:tc>
              <w:tc>
                <w:tcPr>
                  <w:tcW w:w="563" w:type="pct"/>
                  <w:vAlign w:val="center"/>
                </w:tcPr>
                <w:p>
                  <w:pPr>
                    <w:snapToGrid w:val="0"/>
                    <w:jc w:val="center"/>
                    <w:rPr>
                      <w:bCs/>
                      <w:szCs w:val="21"/>
                    </w:rPr>
                  </w:pPr>
                  <w:r>
                    <w:rPr>
                      <w:rFonts w:hint="eastAsia"/>
                      <w:bCs/>
                      <w:szCs w:val="21"/>
                    </w:rPr>
                    <w:t>化学品</w:t>
                  </w:r>
                  <w:r>
                    <w:rPr>
                      <w:bCs/>
                      <w:szCs w:val="21"/>
                    </w:rPr>
                    <w:t>仓库</w:t>
                  </w:r>
                </w:p>
              </w:tc>
              <w:tc>
                <w:tcPr>
                  <w:tcW w:w="894" w:type="pct"/>
                  <w:vAlign w:val="center"/>
                </w:tcPr>
                <w:p>
                  <w:pPr>
                    <w:adjustRightInd w:val="0"/>
                    <w:snapToGrid w:val="0"/>
                    <w:jc w:val="center"/>
                    <w:rPr>
                      <w:bCs/>
                      <w:szCs w:val="21"/>
                    </w:rPr>
                  </w:pPr>
                  <w:r>
                    <w:rPr>
                      <w:rFonts w:hint="eastAsia"/>
                      <w:bCs/>
                      <w:szCs w:val="21"/>
                    </w:rPr>
                    <w:t>油漆（溶剂型油漆、稀释剂、固化剂）</w:t>
                  </w:r>
                </w:p>
              </w:tc>
              <w:tc>
                <w:tcPr>
                  <w:tcW w:w="682" w:type="pct"/>
                  <w:vAlign w:val="center"/>
                </w:tcPr>
                <w:p>
                  <w:pPr>
                    <w:jc w:val="center"/>
                    <w:rPr>
                      <w:bCs/>
                      <w:szCs w:val="21"/>
                    </w:rPr>
                  </w:pPr>
                  <w:r>
                    <w:rPr>
                      <w:bCs/>
                      <w:szCs w:val="21"/>
                    </w:rPr>
                    <w:t>涉水</w:t>
                  </w:r>
                  <w:r>
                    <w:rPr>
                      <w:rFonts w:hint="eastAsia"/>
                      <w:bCs/>
                      <w:szCs w:val="21"/>
                    </w:rPr>
                    <w:t>、涉气</w:t>
                  </w:r>
                </w:p>
              </w:tc>
              <w:tc>
                <w:tcPr>
                  <w:tcW w:w="691" w:type="pct"/>
                  <w:vAlign w:val="center"/>
                </w:tcPr>
                <w:p>
                  <w:pPr>
                    <w:jc w:val="center"/>
                    <w:rPr>
                      <w:bCs/>
                      <w:szCs w:val="21"/>
                    </w:rPr>
                  </w:pPr>
                  <w:r>
                    <w:rPr>
                      <w:rFonts w:hint="eastAsia"/>
                      <w:bCs/>
                      <w:szCs w:val="21"/>
                    </w:rPr>
                    <w:t>0.5</w:t>
                  </w:r>
                </w:p>
              </w:tc>
              <w:tc>
                <w:tcPr>
                  <w:tcW w:w="457" w:type="pct"/>
                  <w:vAlign w:val="center"/>
                </w:tcPr>
                <w:p>
                  <w:pPr>
                    <w:jc w:val="center"/>
                    <w:rPr>
                      <w:szCs w:val="21"/>
                    </w:rPr>
                  </w:pPr>
                  <w:r>
                    <w:rPr>
                      <w:snapToGrid w:val="0"/>
                      <w:spacing w:val="-18"/>
                      <w:kern w:val="0"/>
                      <w:szCs w:val="21"/>
                    </w:rPr>
                    <w:t>桶装</w:t>
                  </w:r>
                </w:p>
              </w:tc>
              <w:tc>
                <w:tcPr>
                  <w:tcW w:w="592" w:type="pct"/>
                  <w:vAlign w:val="center"/>
                </w:tcPr>
                <w:p>
                  <w:pPr>
                    <w:spacing w:line="240" w:lineRule="exact"/>
                    <w:jc w:val="center"/>
                    <w:rPr>
                      <w:szCs w:val="21"/>
                    </w:rPr>
                  </w:pPr>
                  <w:r>
                    <w:rPr>
                      <w:rFonts w:hint="eastAsia"/>
                      <w:szCs w:val="21"/>
                    </w:rPr>
                    <w:t>50</w:t>
                  </w:r>
                </w:p>
              </w:tc>
              <w:tc>
                <w:tcPr>
                  <w:tcW w:w="632" w:type="pct"/>
                  <w:vAlign w:val="center"/>
                </w:tcPr>
                <w:p>
                  <w:pPr>
                    <w:jc w:val="center"/>
                    <w:rPr>
                      <w:szCs w:val="21"/>
                    </w:rPr>
                  </w:pPr>
                  <w:r>
                    <w:rPr>
                      <w:rFonts w:hint="eastAsia"/>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vAlign w:val="center"/>
                </w:tcPr>
                <w:p>
                  <w:pPr>
                    <w:snapToGrid w:val="0"/>
                    <w:jc w:val="center"/>
                    <w:rPr>
                      <w:bCs/>
                      <w:szCs w:val="21"/>
                    </w:rPr>
                  </w:pPr>
                  <w:r>
                    <w:rPr>
                      <w:rFonts w:hint="eastAsia"/>
                      <w:bCs/>
                      <w:szCs w:val="21"/>
                    </w:rPr>
                    <w:t>2</w:t>
                  </w:r>
                </w:p>
              </w:tc>
              <w:tc>
                <w:tcPr>
                  <w:tcW w:w="563" w:type="pct"/>
                  <w:vMerge w:val="restart"/>
                  <w:vAlign w:val="center"/>
                </w:tcPr>
                <w:p>
                  <w:pPr>
                    <w:snapToGrid w:val="0"/>
                    <w:jc w:val="center"/>
                    <w:rPr>
                      <w:bCs/>
                      <w:szCs w:val="21"/>
                    </w:rPr>
                  </w:pPr>
                  <w:r>
                    <w:rPr>
                      <w:bCs/>
                      <w:szCs w:val="21"/>
                    </w:rPr>
                    <w:t>危废库</w:t>
                  </w:r>
                </w:p>
              </w:tc>
              <w:tc>
                <w:tcPr>
                  <w:tcW w:w="894" w:type="pct"/>
                  <w:vAlign w:val="center"/>
                </w:tcPr>
                <w:p>
                  <w:pPr>
                    <w:jc w:val="center"/>
                    <w:rPr>
                      <w:snapToGrid w:val="0"/>
                      <w:kern w:val="0"/>
                      <w:szCs w:val="21"/>
                    </w:rPr>
                  </w:pPr>
                  <w:r>
                    <w:rPr>
                      <w:szCs w:val="21"/>
                    </w:rPr>
                    <w:t>废润滑油</w:t>
                  </w:r>
                </w:p>
              </w:tc>
              <w:tc>
                <w:tcPr>
                  <w:tcW w:w="682" w:type="pct"/>
                  <w:vAlign w:val="center"/>
                </w:tcPr>
                <w:p>
                  <w:pPr>
                    <w:jc w:val="center"/>
                    <w:rPr>
                      <w:bCs/>
                      <w:szCs w:val="21"/>
                    </w:rPr>
                  </w:pPr>
                  <w:r>
                    <w:rPr>
                      <w:bCs/>
                      <w:szCs w:val="21"/>
                    </w:rPr>
                    <w:t>涉水</w:t>
                  </w:r>
                  <w:r>
                    <w:rPr>
                      <w:rFonts w:hint="eastAsia"/>
                      <w:bCs/>
                      <w:szCs w:val="21"/>
                    </w:rPr>
                    <w:t>、气</w:t>
                  </w:r>
                </w:p>
              </w:tc>
              <w:tc>
                <w:tcPr>
                  <w:tcW w:w="691" w:type="pct"/>
                  <w:vAlign w:val="center"/>
                </w:tcPr>
                <w:p>
                  <w:pPr>
                    <w:jc w:val="center"/>
                    <w:rPr>
                      <w:szCs w:val="21"/>
                    </w:rPr>
                  </w:pPr>
                  <w:r>
                    <w:rPr>
                      <w:rFonts w:hint="eastAsia"/>
                      <w:kern w:val="0"/>
                      <w:szCs w:val="21"/>
                    </w:rPr>
                    <w:t>0.2</w:t>
                  </w:r>
                </w:p>
              </w:tc>
              <w:tc>
                <w:tcPr>
                  <w:tcW w:w="457" w:type="pct"/>
                  <w:vAlign w:val="center"/>
                </w:tcPr>
                <w:p>
                  <w:pPr>
                    <w:jc w:val="center"/>
                    <w:rPr>
                      <w:snapToGrid w:val="0"/>
                      <w:spacing w:val="-18"/>
                      <w:kern w:val="0"/>
                      <w:szCs w:val="21"/>
                    </w:rPr>
                  </w:pPr>
                  <w:r>
                    <w:rPr>
                      <w:snapToGrid w:val="0"/>
                      <w:spacing w:val="-18"/>
                      <w:kern w:val="0"/>
                      <w:szCs w:val="21"/>
                    </w:rPr>
                    <w:t>桶装</w:t>
                  </w:r>
                </w:p>
              </w:tc>
              <w:tc>
                <w:tcPr>
                  <w:tcW w:w="592" w:type="pct"/>
                  <w:vAlign w:val="center"/>
                </w:tcPr>
                <w:p>
                  <w:pPr>
                    <w:spacing w:line="240" w:lineRule="exact"/>
                    <w:jc w:val="center"/>
                    <w:rPr>
                      <w:bCs/>
                      <w:szCs w:val="21"/>
                    </w:rPr>
                  </w:pPr>
                  <w:r>
                    <w:rPr>
                      <w:rFonts w:hint="eastAsia"/>
                      <w:szCs w:val="21"/>
                    </w:rPr>
                    <w:t>2500</w:t>
                  </w:r>
                </w:p>
              </w:tc>
              <w:tc>
                <w:tcPr>
                  <w:tcW w:w="632" w:type="pct"/>
                  <w:vAlign w:val="center"/>
                </w:tcPr>
                <w:p>
                  <w:pPr>
                    <w:jc w:val="center"/>
                    <w:rPr>
                      <w:bCs/>
                      <w:szCs w:val="21"/>
                    </w:rPr>
                  </w:pPr>
                  <w:r>
                    <w:rPr>
                      <w:rFonts w:hint="eastAsia"/>
                      <w:bCs/>
                      <w:szCs w:val="21"/>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vAlign w:val="center"/>
                </w:tcPr>
                <w:p>
                  <w:pPr>
                    <w:snapToGrid w:val="0"/>
                    <w:jc w:val="center"/>
                    <w:rPr>
                      <w:bCs/>
                      <w:szCs w:val="21"/>
                    </w:rPr>
                  </w:pPr>
                  <w:r>
                    <w:rPr>
                      <w:rFonts w:hint="eastAsia"/>
                      <w:bCs/>
                      <w:szCs w:val="21"/>
                    </w:rPr>
                    <w:t>3</w:t>
                  </w:r>
                </w:p>
              </w:tc>
              <w:tc>
                <w:tcPr>
                  <w:tcW w:w="563" w:type="pct"/>
                  <w:vMerge w:val="continue"/>
                  <w:vAlign w:val="center"/>
                </w:tcPr>
                <w:p>
                  <w:pPr>
                    <w:snapToGrid w:val="0"/>
                    <w:jc w:val="center"/>
                    <w:rPr>
                      <w:bCs/>
                      <w:szCs w:val="21"/>
                    </w:rPr>
                  </w:pPr>
                </w:p>
              </w:tc>
              <w:tc>
                <w:tcPr>
                  <w:tcW w:w="894" w:type="pct"/>
                  <w:vAlign w:val="center"/>
                </w:tcPr>
                <w:p>
                  <w:pPr>
                    <w:jc w:val="center"/>
                    <w:rPr>
                      <w:snapToGrid w:val="0"/>
                      <w:kern w:val="0"/>
                      <w:szCs w:val="21"/>
                    </w:rPr>
                  </w:pPr>
                  <w:r>
                    <w:rPr>
                      <w:szCs w:val="21"/>
                    </w:rPr>
                    <w:t>含油抹布、手套</w:t>
                  </w:r>
                </w:p>
              </w:tc>
              <w:tc>
                <w:tcPr>
                  <w:tcW w:w="682" w:type="pct"/>
                  <w:vAlign w:val="center"/>
                </w:tcPr>
                <w:p>
                  <w:pPr>
                    <w:jc w:val="center"/>
                    <w:rPr>
                      <w:bCs/>
                      <w:szCs w:val="21"/>
                    </w:rPr>
                  </w:pPr>
                  <w:r>
                    <w:rPr>
                      <w:bCs/>
                      <w:szCs w:val="21"/>
                    </w:rPr>
                    <w:t>涉气</w:t>
                  </w:r>
                </w:p>
              </w:tc>
              <w:tc>
                <w:tcPr>
                  <w:tcW w:w="691" w:type="pct"/>
                  <w:vAlign w:val="center"/>
                </w:tcPr>
                <w:p>
                  <w:pPr>
                    <w:jc w:val="center"/>
                    <w:rPr>
                      <w:szCs w:val="21"/>
                    </w:rPr>
                  </w:pPr>
                  <w:r>
                    <w:rPr>
                      <w:szCs w:val="21"/>
                    </w:rPr>
                    <w:t>0.</w:t>
                  </w:r>
                  <w:r>
                    <w:rPr>
                      <w:rFonts w:hint="eastAsia"/>
                      <w:szCs w:val="21"/>
                    </w:rPr>
                    <w:t>02</w:t>
                  </w:r>
                </w:p>
              </w:tc>
              <w:tc>
                <w:tcPr>
                  <w:tcW w:w="457" w:type="pct"/>
                  <w:vAlign w:val="center"/>
                </w:tcPr>
                <w:p>
                  <w:pPr>
                    <w:jc w:val="center"/>
                    <w:rPr>
                      <w:snapToGrid w:val="0"/>
                      <w:spacing w:val="-18"/>
                      <w:kern w:val="0"/>
                      <w:szCs w:val="21"/>
                    </w:rPr>
                  </w:pPr>
                  <w:r>
                    <w:rPr>
                      <w:rFonts w:hint="eastAsia"/>
                      <w:snapToGrid w:val="0"/>
                      <w:spacing w:val="-18"/>
                      <w:kern w:val="0"/>
                      <w:szCs w:val="21"/>
                    </w:rPr>
                    <w:t>袋装</w:t>
                  </w:r>
                </w:p>
              </w:tc>
              <w:tc>
                <w:tcPr>
                  <w:tcW w:w="592" w:type="pct"/>
                  <w:vAlign w:val="center"/>
                </w:tcPr>
                <w:p>
                  <w:pPr>
                    <w:spacing w:line="240" w:lineRule="exact"/>
                    <w:jc w:val="center"/>
                    <w:rPr>
                      <w:bCs/>
                      <w:szCs w:val="21"/>
                    </w:rPr>
                  </w:pPr>
                  <w:r>
                    <w:rPr>
                      <w:rFonts w:hint="eastAsia"/>
                      <w:szCs w:val="21"/>
                    </w:rPr>
                    <w:t>50</w:t>
                  </w:r>
                </w:p>
              </w:tc>
              <w:tc>
                <w:tcPr>
                  <w:tcW w:w="632" w:type="pct"/>
                  <w:vAlign w:val="center"/>
                </w:tcPr>
                <w:p>
                  <w:pPr>
                    <w:jc w:val="center"/>
                    <w:rPr>
                      <w:bCs/>
                      <w:szCs w:val="21"/>
                    </w:rPr>
                  </w:pPr>
                  <w:r>
                    <w:rPr>
                      <w:rFonts w:hint="eastAsia"/>
                      <w:bCs/>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vAlign w:val="center"/>
                </w:tcPr>
                <w:p>
                  <w:pPr>
                    <w:snapToGrid w:val="0"/>
                    <w:jc w:val="center"/>
                    <w:rPr>
                      <w:bCs/>
                      <w:szCs w:val="21"/>
                    </w:rPr>
                  </w:pPr>
                  <w:r>
                    <w:rPr>
                      <w:rFonts w:hint="eastAsia"/>
                      <w:bCs/>
                      <w:szCs w:val="21"/>
                    </w:rPr>
                    <w:t>4</w:t>
                  </w:r>
                </w:p>
              </w:tc>
              <w:tc>
                <w:tcPr>
                  <w:tcW w:w="563" w:type="pct"/>
                  <w:vMerge w:val="continue"/>
                  <w:vAlign w:val="center"/>
                </w:tcPr>
                <w:p>
                  <w:pPr>
                    <w:snapToGrid w:val="0"/>
                    <w:jc w:val="center"/>
                    <w:rPr>
                      <w:bCs/>
                      <w:szCs w:val="21"/>
                    </w:rPr>
                  </w:pPr>
                </w:p>
              </w:tc>
              <w:tc>
                <w:tcPr>
                  <w:tcW w:w="894" w:type="pct"/>
                  <w:vAlign w:val="center"/>
                </w:tcPr>
                <w:p>
                  <w:pPr>
                    <w:jc w:val="center"/>
                    <w:rPr>
                      <w:snapToGrid w:val="0"/>
                      <w:kern w:val="0"/>
                      <w:szCs w:val="21"/>
                    </w:rPr>
                  </w:pPr>
                  <w:r>
                    <w:rPr>
                      <w:bCs/>
                      <w:szCs w:val="21"/>
                    </w:rPr>
                    <w:t>废</w:t>
                  </w:r>
                  <w:r>
                    <w:rPr>
                      <w:rFonts w:hint="eastAsia"/>
                      <w:bCs/>
                      <w:szCs w:val="21"/>
                    </w:rPr>
                    <w:t>油桶</w:t>
                  </w:r>
                </w:p>
              </w:tc>
              <w:tc>
                <w:tcPr>
                  <w:tcW w:w="682" w:type="pct"/>
                  <w:vAlign w:val="center"/>
                </w:tcPr>
                <w:p>
                  <w:pPr>
                    <w:jc w:val="center"/>
                    <w:rPr>
                      <w:bCs/>
                      <w:szCs w:val="21"/>
                    </w:rPr>
                  </w:pPr>
                  <w:r>
                    <w:rPr>
                      <w:bCs/>
                      <w:szCs w:val="21"/>
                    </w:rPr>
                    <w:t>涉水、气</w:t>
                  </w:r>
                </w:p>
              </w:tc>
              <w:tc>
                <w:tcPr>
                  <w:tcW w:w="691" w:type="pct"/>
                  <w:vAlign w:val="center"/>
                </w:tcPr>
                <w:p>
                  <w:pPr>
                    <w:jc w:val="center"/>
                    <w:rPr>
                      <w:szCs w:val="21"/>
                    </w:rPr>
                  </w:pPr>
                  <w:r>
                    <w:rPr>
                      <w:rFonts w:hint="eastAsia"/>
                      <w:szCs w:val="21"/>
                    </w:rPr>
                    <w:t>0.1</w:t>
                  </w:r>
                </w:p>
              </w:tc>
              <w:tc>
                <w:tcPr>
                  <w:tcW w:w="457" w:type="pct"/>
                  <w:vAlign w:val="center"/>
                </w:tcPr>
                <w:p>
                  <w:pPr>
                    <w:jc w:val="center"/>
                    <w:rPr>
                      <w:snapToGrid w:val="0"/>
                      <w:spacing w:val="-18"/>
                      <w:kern w:val="0"/>
                      <w:szCs w:val="21"/>
                    </w:rPr>
                  </w:pPr>
                  <w:r>
                    <w:rPr>
                      <w:rFonts w:hint="eastAsia"/>
                      <w:snapToGrid w:val="0"/>
                      <w:spacing w:val="-18"/>
                      <w:kern w:val="0"/>
                      <w:szCs w:val="21"/>
                    </w:rPr>
                    <w:t>桶装</w:t>
                  </w:r>
                </w:p>
              </w:tc>
              <w:tc>
                <w:tcPr>
                  <w:tcW w:w="592" w:type="pct"/>
                  <w:vAlign w:val="center"/>
                </w:tcPr>
                <w:p>
                  <w:pPr>
                    <w:spacing w:line="240" w:lineRule="exact"/>
                    <w:jc w:val="center"/>
                    <w:rPr>
                      <w:bCs/>
                      <w:szCs w:val="21"/>
                    </w:rPr>
                  </w:pPr>
                  <w:r>
                    <w:rPr>
                      <w:rFonts w:hint="eastAsia"/>
                      <w:szCs w:val="21"/>
                    </w:rPr>
                    <w:t>50</w:t>
                  </w:r>
                </w:p>
              </w:tc>
              <w:tc>
                <w:tcPr>
                  <w:tcW w:w="632" w:type="pct"/>
                  <w:vAlign w:val="center"/>
                </w:tcPr>
                <w:p>
                  <w:pPr>
                    <w:jc w:val="center"/>
                    <w:rPr>
                      <w:bCs/>
                      <w:szCs w:val="21"/>
                    </w:rPr>
                  </w:pPr>
                  <w:r>
                    <w:rPr>
                      <w:rFonts w:hint="eastAsia"/>
                      <w:bCs/>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vAlign w:val="center"/>
                </w:tcPr>
                <w:p>
                  <w:pPr>
                    <w:snapToGrid w:val="0"/>
                    <w:jc w:val="center"/>
                    <w:rPr>
                      <w:bCs/>
                      <w:szCs w:val="21"/>
                    </w:rPr>
                  </w:pPr>
                  <w:r>
                    <w:rPr>
                      <w:rFonts w:hint="eastAsia"/>
                      <w:bCs/>
                      <w:szCs w:val="21"/>
                    </w:rPr>
                    <w:t>5</w:t>
                  </w:r>
                </w:p>
              </w:tc>
              <w:tc>
                <w:tcPr>
                  <w:tcW w:w="563" w:type="pct"/>
                  <w:vMerge w:val="continue"/>
                  <w:vAlign w:val="center"/>
                </w:tcPr>
                <w:p>
                  <w:pPr>
                    <w:snapToGrid w:val="0"/>
                    <w:jc w:val="center"/>
                    <w:rPr>
                      <w:bCs/>
                      <w:szCs w:val="21"/>
                    </w:rPr>
                  </w:pPr>
                </w:p>
              </w:tc>
              <w:tc>
                <w:tcPr>
                  <w:tcW w:w="894" w:type="pct"/>
                  <w:vAlign w:val="center"/>
                </w:tcPr>
                <w:p>
                  <w:pPr>
                    <w:jc w:val="center"/>
                    <w:rPr>
                      <w:bCs/>
                      <w:szCs w:val="21"/>
                    </w:rPr>
                  </w:pPr>
                  <w:r>
                    <w:rPr>
                      <w:rFonts w:hint="eastAsia"/>
                      <w:bCs/>
                      <w:szCs w:val="21"/>
                    </w:rPr>
                    <w:t>水帘柜废液</w:t>
                  </w:r>
                </w:p>
              </w:tc>
              <w:tc>
                <w:tcPr>
                  <w:tcW w:w="682" w:type="pct"/>
                  <w:vAlign w:val="center"/>
                </w:tcPr>
                <w:p>
                  <w:pPr>
                    <w:jc w:val="center"/>
                    <w:rPr>
                      <w:bCs/>
                      <w:szCs w:val="21"/>
                    </w:rPr>
                  </w:pPr>
                  <w:r>
                    <w:rPr>
                      <w:bCs/>
                      <w:szCs w:val="21"/>
                    </w:rPr>
                    <w:t>涉水</w:t>
                  </w:r>
                </w:p>
              </w:tc>
              <w:tc>
                <w:tcPr>
                  <w:tcW w:w="691" w:type="pct"/>
                  <w:vAlign w:val="center"/>
                </w:tcPr>
                <w:p>
                  <w:pPr>
                    <w:jc w:val="center"/>
                    <w:rPr>
                      <w:szCs w:val="21"/>
                    </w:rPr>
                  </w:pPr>
                  <w:r>
                    <w:rPr>
                      <w:rFonts w:hint="eastAsia"/>
                      <w:szCs w:val="21"/>
                    </w:rPr>
                    <w:t>6</w:t>
                  </w:r>
                </w:p>
              </w:tc>
              <w:tc>
                <w:tcPr>
                  <w:tcW w:w="457" w:type="pct"/>
                  <w:vAlign w:val="center"/>
                </w:tcPr>
                <w:p>
                  <w:pPr>
                    <w:jc w:val="center"/>
                    <w:rPr>
                      <w:snapToGrid w:val="0"/>
                      <w:spacing w:val="-18"/>
                      <w:kern w:val="0"/>
                      <w:szCs w:val="21"/>
                    </w:rPr>
                  </w:pPr>
                  <w:r>
                    <w:rPr>
                      <w:rFonts w:hint="eastAsia"/>
                      <w:snapToGrid w:val="0"/>
                      <w:spacing w:val="-18"/>
                      <w:kern w:val="0"/>
                      <w:szCs w:val="21"/>
                    </w:rPr>
                    <w:t>桶装</w:t>
                  </w:r>
                </w:p>
              </w:tc>
              <w:tc>
                <w:tcPr>
                  <w:tcW w:w="592" w:type="pct"/>
                  <w:vAlign w:val="center"/>
                </w:tcPr>
                <w:p>
                  <w:pPr>
                    <w:spacing w:line="240" w:lineRule="exact"/>
                    <w:jc w:val="center"/>
                    <w:rPr>
                      <w:szCs w:val="21"/>
                    </w:rPr>
                  </w:pPr>
                  <w:r>
                    <w:rPr>
                      <w:rFonts w:hint="eastAsia"/>
                      <w:szCs w:val="21"/>
                    </w:rPr>
                    <w:t>50</w:t>
                  </w:r>
                </w:p>
              </w:tc>
              <w:tc>
                <w:tcPr>
                  <w:tcW w:w="632" w:type="pct"/>
                  <w:vAlign w:val="center"/>
                </w:tcPr>
                <w:p>
                  <w:pPr>
                    <w:jc w:val="center"/>
                    <w:rPr>
                      <w:bCs/>
                      <w:szCs w:val="21"/>
                    </w:rPr>
                  </w:pPr>
                  <w:r>
                    <w:rPr>
                      <w:rFonts w:hint="eastAsia"/>
                      <w:bCs/>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5" w:type="pct"/>
                  <w:vAlign w:val="center"/>
                </w:tcPr>
                <w:p>
                  <w:pPr>
                    <w:snapToGrid w:val="0"/>
                    <w:jc w:val="center"/>
                    <w:rPr>
                      <w:bCs/>
                      <w:szCs w:val="21"/>
                    </w:rPr>
                  </w:pPr>
                  <w:r>
                    <w:rPr>
                      <w:rFonts w:hint="eastAsia"/>
                      <w:bCs/>
                      <w:szCs w:val="21"/>
                    </w:rPr>
                    <w:t>6</w:t>
                  </w:r>
                </w:p>
              </w:tc>
              <w:tc>
                <w:tcPr>
                  <w:tcW w:w="563" w:type="pct"/>
                  <w:vMerge w:val="continue"/>
                  <w:vAlign w:val="center"/>
                </w:tcPr>
                <w:p>
                  <w:pPr>
                    <w:snapToGrid w:val="0"/>
                    <w:jc w:val="center"/>
                    <w:rPr>
                      <w:bCs/>
                      <w:szCs w:val="21"/>
                    </w:rPr>
                  </w:pPr>
                </w:p>
              </w:tc>
              <w:tc>
                <w:tcPr>
                  <w:tcW w:w="894" w:type="pct"/>
                  <w:vAlign w:val="center"/>
                </w:tcPr>
                <w:p>
                  <w:pPr>
                    <w:jc w:val="center"/>
                    <w:rPr>
                      <w:bCs/>
                      <w:szCs w:val="21"/>
                    </w:rPr>
                  </w:pPr>
                  <w:r>
                    <w:rPr>
                      <w:rFonts w:hint="eastAsia"/>
                      <w:bCs/>
                      <w:szCs w:val="21"/>
                    </w:rPr>
                    <w:t>废过滤棉</w:t>
                  </w:r>
                </w:p>
              </w:tc>
              <w:tc>
                <w:tcPr>
                  <w:tcW w:w="682" w:type="pct"/>
                  <w:vAlign w:val="center"/>
                </w:tcPr>
                <w:p>
                  <w:pPr>
                    <w:jc w:val="center"/>
                    <w:rPr>
                      <w:bCs/>
                      <w:szCs w:val="21"/>
                    </w:rPr>
                  </w:pPr>
                  <w:r>
                    <w:rPr>
                      <w:bCs/>
                      <w:szCs w:val="21"/>
                    </w:rPr>
                    <w:t>涉气</w:t>
                  </w:r>
                </w:p>
              </w:tc>
              <w:tc>
                <w:tcPr>
                  <w:tcW w:w="691" w:type="pct"/>
                  <w:vAlign w:val="center"/>
                </w:tcPr>
                <w:p>
                  <w:pPr>
                    <w:jc w:val="center"/>
                    <w:rPr>
                      <w:szCs w:val="21"/>
                    </w:rPr>
                  </w:pPr>
                  <w:r>
                    <w:rPr>
                      <w:rFonts w:hint="eastAsia"/>
                      <w:szCs w:val="21"/>
                    </w:rPr>
                    <w:t>0.2</w:t>
                  </w:r>
                </w:p>
              </w:tc>
              <w:tc>
                <w:tcPr>
                  <w:tcW w:w="457" w:type="pct"/>
                  <w:vAlign w:val="center"/>
                </w:tcPr>
                <w:p>
                  <w:pPr>
                    <w:jc w:val="center"/>
                    <w:rPr>
                      <w:snapToGrid w:val="0"/>
                      <w:spacing w:val="-18"/>
                      <w:kern w:val="0"/>
                      <w:szCs w:val="21"/>
                    </w:rPr>
                  </w:pPr>
                  <w:r>
                    <w:rPr>
                      <w:rFonts w:hint="eastAsia"/>
                      <w:snapToGrid w:val="0"/>
                      <w:spacing w:val="-18"/>
                      <w:kern w:val="0"/>
                      <w:szCs w:val="21"/>
                    </w:rPr>
                    <w:t>袋装</w:t>
                  </w:r>
                </w:p>
              </w:tc>
              <w:tc>
                <w:tcPr>
                  <w:tcW w:w="592" w:type="pct"/>
                  <w:vAlign w:val="center"/>
                </w:tcPr>
                <w:p>
                  <w:pPr>
                    <w:spacing w:line="240" w:lineRule="exact"/>
                    <w:jc w:val="center"/>
                    <w:rPr>
                      <w:szCs w:val="21"/>
                    </w:rPr>
                  </w:pPr>
                  <w:r>
                    <w:rPr>
                      <w:rFonts w:hint="eastAsia"/>
                      <w:szCs w:val="21"/>
                    </w:rPr>
                    <w:t>50</w:t>
                  </w:r>
                </w:p>
              </w:tc>
              <w:tc>
                <w:tcPr>
                  <w:tcW w:w="632" w:type="pct"/>
                  <w:vAlign w:val="center"/>
                </w:tcPr>
                <w:p>
                  <w:pPr>
                    <w:jc w:val="center"/>
                    <w:rPr>
                      <w:bCs/>
                      <w:szCs w:val="21"/>
                    </w:rPr>
                  </w:pPr>
                  <w:r>
                    <w:rPr>
                      <w:rFonts w:hint="eastAsia"/>
                      <w:bCs/>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367" w:type="pct"/>
                  <w:gridSpan w:val="7"/>
                  <w:vAlign w:val="center"/>
                </w:tcPr>
                <w:p>
                  <w:pPr>
                    <w:jc w:val="center"/>
                    <w:rPr>
                      <w:bCs/>
                      <w:szCs w:val="21"/>
                    </w:rPr>
                  </w:pPr>
                  <w:r>
                    <w:rPr>
                      <w:bCs/>
                      <w:szCs w:val="21"/>
                    </w:rPr>
                    <w:t>Q值合计</w:t>
                  </w:r>
                </w:p>
              </w:tc>
              <w:tc>
                <w:tcPr>
                  <w:tcW w:w="632" w:type="pct"/>
                  <w:vAlign w:val="center"/>
                </w:tcPr>
                <w:p>
                  <w:pPr>
                    <w:jc w:val="center"/>
                    <w:rPr>
                      <w:bCs/>
                      <w:szCs w:val="21"/>
                    </w:rPr>
                  </w:pPr>
                  <w:r>
                    <w:rPr>
                      <w:rFonts w:hint="eastAsia"/>
                      <w:bCs/>
                      <w:szCs w:val="21"/>
                    </w:rPr>
                    <w:t>0.13648</w:t>
                  </w:r>
                </w:p>
              </w:tc>
            </w:tr>
          </w:tbl>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lang w:val="en-US" w:eastAsia="zh-CN"/>
              </w:rPr>
              <w:t>本</w:t>
            </w:r>
            <w:r>
              <w:rPr>
                <w:rFonts w:hint="eastAsia" w:ascii="Times New Roman" w:hAnsi="Times New Roman" w:eastAsia="宋体"/>
                <w:szCs w:val="24"/>
              </w:rPr>
              <w:t>项目</w:t>
            </w:r>
            <w:r>
              <w:rPr>
                <w:rFonts w:ascii="Times New Roman" w:hAnsi="Times New Roman" w:eastAsia="宋体"/>
                <w:szCs w:val="24"/>
              </w:rPr>
              <w:t>，</w:t>
            </w:r>
            <w:r>
              <w:rPr>
                <w:rFonts w:hint="eastAsia" w:ascii="Times New Roman" w:hAnsi="Times New Roman" w:eastAsia="宋体"/>
                <w:szCs w:val="24"/>
              </w:rPr>
              <w:t>Q=0.13648，</w:t>
            </w:r>
            <w:r>
              <w:rPr>
                <w:rFonts w:ascii="Times New Roman" w:hAnsi="Times New Roman" w:eastAsia="宋体"/>
                <w:szCs w:val="24"/>
              </w:rPr>
              <w:t>当Q＜1时，根据《建设项目环境风险评价技术导则》（HJ169-2018），本项目环境风险潜势为Ⅰ，可开展简单分析。</w:t>
            </w:r>
          </w:p>
          <w:p>
            <w:pPr>
              <w:pStyle w:val="110"/>
              <w:adjustRightInd w:val="0"/>
              <w:snapToGrid w:val="0"/>
              <w:ind w:firstLine="0" w:firstLineChars="0"/>
              <w:rPr>
                <w:rFonts w:ascii="Times New Roman" w:hAnsi="Times New Roman" w:eastAsia="宋体"/>
                <w:b/>
                <w:bCs/>
                <w:szCs w:val="24"/>
              </w:rPr>
            </w:pPr>
            <w:r>
              <w:rPr>
                <w:rFonts w:hint="eastAsia" w:ascii="Times New Roman" w:hAnsi="Times New Roman" w:eastAsia="宋体"/>
                <w:b/>
                <w:bCs/>
                <w:szCs w:val="24"/>
              </w:rPr>
              <w:t>6.1、火灾风险影响分析</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1、溶剂型油漆存储环境因素分析</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项目溶剂型油漆（含稀释剂、固化剂）储存过程中存在的环境风险为火灾风险。诱发火灾的因素主要有：违章吸烟、动火；使用气焊、电焊等进行设备维修时，未采取有效防护措施；电气线路和电气设备在开关断开、接触不良、短路、漏电时产生火花，以及静电放电火花；未采取有效避雷措施，或者避雷措施失效而导致雷击失火等。</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2、事故次生/伴生污染影响分析</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（1）大气环境影响</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发生火灾对环境的污染影响主要来自物料燃烧释放的大量有害气体。据以往报道，在火灾而造成的人员死亡中，3/4的人死于有害气体，而且有害气体中主要的有毒物质。火灾发生时虽不可避免的对厂区内人员安全与生产设施产生较大的不利影响，但火灾发生时有害气体对周围敏感点环境空气质量只产生暂时性影响，短时内会造成周围敏感点环境空气质量一定程度的恶化，但不会对人体健康造成损害。</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（2）水环境影响</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发生火灾事故后，会产生大量消防污水，如果下渗或者外排则会影响区域地下水和地表水环境，造成地下水和地表水污染。</w:t>
            </w:r>
          </w:p>
          <w:p>
            <w:pPr>
              <w:pStyle w:val="110"/>
              <w:adjustRightInd w:val="0"/>
              <w:snapToGrid w:val="0"/>
              <w:ind w:firstLine="0" w:firstLineChars="0"/>
              <w:rPr>
                <w:rFonts w:ascii="Times New Roman" w:hAnsi="Times New Roman" w:eastAsia="宋体"/>
                <w:b/>
                <w:bCs/>
                <w:szCs w:val="24"/>
              </w:rPr>
            </w:pPr>
            <w:r>
              <w:rPr>
                <w:rFonts w:hint="eastAsia" w:ascii="Times New Roman" w:hAnsi="Times New Roman" w:eastAsia="宋体"/>
                <w:b/>
                <w:bCs/>
                <w:szCs w:val="24"/>
              </w:rPr>
              <w:t>6.2、危险废物环境风险事故分析</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本项目危险废物存放于危废暂存间，正常存放情况下，不会对周边环境产生不良影响。若随意丢弃，不按规范摆放和贮存，可能造成危险废物中含有的有毒有害物质的泄漏、流失，若直接进入环境，可能造成残留物污染水体、土壤、地下水，影响地表水水质、土壤土质、地下水水质，对周边环境将造成较大影响。</w:t>
            </w:r>
          </w:p>
          <w:p>
            <w:pPr>
              <w:pStyle w:val="110"/>
              <w:adjustRightInd w:val="0"/>
              <w:snapToGrid w:val="0"/>
              <w:ind w:firstLine="0" w:firstLineChars="0"/>
              <w:rPr>
                <w:rFonts w:ascii="Times New Roman" w:hAnsi="Times New Roman" w:eastAsia="宋体"/>
                <w:b/>
                <w:bCs/>
                <w:szCs w:val="24"/>
              </w:rPr>
            </w:pPr>
            <w:r>
              <w:rPr>
                <w:rFonts w:hint="eastAsia" w:ascii="Times New Roman" w:hAnsi="Times New Roman" w:eastAsia="宋体"/>
                <w:b/>
                <w:bCs/>
                <w:szCs w:val="24"/>
              </w:rPr>
              <w:t>6.3、环境设施发生故障导致的环境风险分析</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废气经配套处理措施处理后可达标排放，当废气污染治理措施发生故障时，将导致废气事故排放，将对周围空气质量将造成一定的不利影响，且不符合环保要求，项目应采取措施杜绝非正常排放。</w:t>
            </w:r>
          </w:p>
          <w:p>
            <w:pPr>
              <w:pStyle w:val="110"/>
              <w:adjustRightInd w:val="0"/>
              <w:snapToGrid w:val="0"/>
              <w:ind w:firstLine="0" w:firstLineChars="0"/>
              <w:rPr>
                <w:rFonts w:ascii="Times New Roman" w:hAnsi="Times New Roman" w:eastAsia="宋体"/>
                <w:b/>
                <w:bCs/>
                <w:szCs w:val="24"/>
              </w:rPr>
            </w:pPr>
            <w:r>
              <w:rPr>
                <w:rFonts w:hint="eastAsia" w:ascii="Times New Roman" w:hAnsi="Times New Roman" w:eastAsia="宋体"/>
                <w:b/>
                <w:bCs/>
                <w:szCs w:val="24"/>
              </w:rPr>
              <w:t>6.4、环境风险防范措施及应急要求</w:t>
            </w:r>
          </w:p>
          <w:p>
            <w:pPr>
              <w:pStyle w:val="110"/>
              <w:adjustRightInd w:val="0"/>
              <w:snapToGrid w:val="0"/>
              <w:ind w:firstLine="482"/>
              <w:rPr>
                <w:rFonts w:ascii="Times New Roman" w:hAnsi="Times New Roman" w:eastAsia="宋体"/>
                <w:b/>
                <w:bCs/>
                <w:szCs w:val="24"/>
              </w:rPr>
            </w:pPr>
            <w:r>
              <w:rPr>
                <w:rFonts w:hint="eastAsia" w:ascii="Times New Roman" w:hAnsi="Times New Roman" w:eastAsia="宋体"/>
                <w:b/>
                <w:bCs/>
                <w:szCs w:val="24"/>
              </w:rPr>
              <w:t>火灾事故风险防范措施</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（1）消除和控制明火源：在生产区及原料区及成品存放区内设置严禁烟火标志，严禁携带火柴、打火机等；在各厂房处配备灭火器、消防栓、消防沙等消防物资，以便及时扑灭初期火灾。</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（2）防止电气火花：采取有效措施防止电气线路和电气设备在开关断开、接触不良、短路、漏电时产生火花，防止静电放电火花；采取防雷接地措施，防止雷电放电火花。</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（3）原料、成品储存于阴凉、通风处。库温不超过30℃，相对湿度不超过85％，保持干燥通风。</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（4）定期对原料使用过程中的相关人员，如联络员、仓管员、直接使用人员进行过程检查，定期对上述人员进行相关知识教育和岗位职责培训。</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（5）严格控制原料品质，做到从源头防控风险事故，严禁收购医疗废物及危险废物类废塑料。</w:t>
            </w:r>
          </w:p>
          <w:p>
            <w:pPr>
              <w:pStyle w:val="110"/>
              <w:adjustRightInd w:val="0"/>
              <w:snapToGrid w:val="0"/>
              <w:ind w:firstLine="482"/>
              <w:rPr>
                <w:rFonts w:ascii="Times New Roman" w:hAnsi="Times New Roman" w:eastAsia="宋体"/>
                <w:b/>
                <w:bCs/>
                <w:szCs w:val="24"/>
              </w:rPr>
            </w:pPr>
            <w:r>
              <w:rPr>
                <w:rFonts w:hint="eastAsia" w:ascii="Times New Roman" w:hAnsi="Times New Roman" w:eastAsia="宋体"/>
                <w:b/>
                <w:bCs/>
                <w:szCs w:val="24"/>
              </w:rPr>
              <w:t>原辅材料运输安全防范措施</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本项目涉及的物料为易燃物质，该物料在起运时包装要完整，装载应稳妥。运输过程中严禁与易燃物或可燃物、食用化学品等混装混运。运输途中应防暴晒、雨淋，防高温。公路运输时要按规定路线行驶，尽量避开经过居民区和人口稠密区。</w:t>
            </w:r>
          </w:p>
          <w:p>
            <w:pPr>
              <w:pStyle w:val="110"/>
              <w:adjustRightInd w:val="0"/>
              <w:snapToGrid w:val="0"/>
              <w:ind w:firstLine="482"/>
              <w:rPr>
                <w:rFonts w:ascii="Times New Roman" w:hAnsi="Times New Roman" w:eastAsia="宋体"/>
                <w:b/>
                <w:bCs/>
                <w:szCs w:val="24"/>
              </w:rPr>
            </w:pPr>
            <w:r>
              <w:rPr>
                <w:rFonts w:hint="eastAsia" w:ascii="Times New Roman" w:hAnsi="Times New Roman" w:eastAsia="宋体"/>
                <w:b/>
                <w:bCs/>
                <w:szCs w:val="24"/>
              </w:rPr>
              <w:t>建立健全的安全环境管理制度</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（1）制定和强化健康/安全/环境管理制度，并严格予以执行。</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2）严格执行我国有关劳动安全、环保与卫生的规范和标准，在设计、施工和运行过程中必须针对可能存在的不安全、不卫生因素采取相应的安全防护措施，消除事故隐患，一旦发生事故应采取有效措施，降低因事故引起的损失和对环境的污染。</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（3）加强原料区及成品存放区的安全环保管理，对公司职工进行安全环保的教育和培训，做到持证上岗，减少人为风险事故（如误操作）的发生。</w:t>
            </w:r>
          </w:p>
          <w:p>
            <w:pPr>
              <w:pStyle w:val="110"/>
              <w:adjustRightInd w:val="0"/>
              <w:snapToGrid w:val="0"/>
              <w:ind w:firstLine="480"/>
              <w:rPr>
                <w:rFonts w:ascii="Times New Roman" w:hAnsi="Times New Roman" w:eastAsia="宋体"/>
                <w:szCs w:val="24"/>
              </w:rPr>
            </w:pPr>
            <w:r>
              <w:rPr>
                <w:rFonts w:hint="eastAsia" w:ascii="Times New Roman" w:hAnsi="Times New Roman" w:eastAsia="宋体"/>
                <w:szCs w:val="24"/>
              </w:rPr>
              <w:t>（4）加强设备、仪表的维修、保养，定期检查各种设备，杜绝事故隐患，降低事故发生概率。定期检查和更换危险化学品的储存输送设备，杜绝由于设备劳损、折旧带来的事故隐患。</w:t>
            </w:r>
          </w:p>
          <w:p>
            <w:pPr>
              <w:spacing w:line="360" w:lineRule="auto"/>
              <w:rPr>
                <w:b/>
                <w:bCs/>
                <w:sz w:val="24"/>
              </w:rPr>
            </w:pPr>
            <w:r>
              <w:rPr>
                <w:rFonts w:hint="eastAsia"/>
                <w:b/>
                <w:bCs/>
                <w:sz w:val="24"/>
              </w:rPr>
              <w:t>7</w:t>
            </w:r>
            <w:r>
              <w:rPr>
                <w:b/>
                <w:bCs/>
                <w:sz w:val="24"/>
              </w:rPr>
              <w:t>、</w:t>
            </w:r>
            <w:r>
              <w:rPr>
                <w:rFonts w:hint="eastAsia"/>
                <w:b/>
                <w:bCs/>
                <w:sz w:val="24"/>
              </w:rPr>
              <w:t>环保投资及环保设施竣工验收</w:t>
            </w:r>
          </w:p>
          <w:p>
            <w:pPr>
              <w:tabs>
                <w:tab w:val="left" w:pos="8918"/>
              </w:tabs>
              <w:spacing w:line="360" w:lineRule="auto"/>
              <w:ind w:firstLine="480" w:firstLineChars="200"/>
              <w:rPr>
                <w:sz w:val="24"/>
              </w:rPr>
            </w:pPr>
            <w:r>
              <w:rPr>
                <w:sz w:val="24"/>
              </w:rPr>
              <w:t>本项目总投资</w:t>
            </w:r>
            <w:r>
              <w:rPr>
                <w:rFonts w:hint="eastAsia"/>
                <w:color w:val="000000" w:themeColor="text1"/>
                <w:sz w:val="24"/>
                <w14:textFill>
                  <w14:solidFill>
                    <w14:schemeClr w14:val="tx1"/>
                  </w14:solidFill>
                </w14:textFill>
              </w:rPr>
              <w:t>30400</w:t>
            </w:r>
            <w:r>
              <w:rPr>
                <w:sz w:val="24"/>
              </w:rPr>
              <w:t>万元，环保投资约</w:t>
            </w:r>
            <w:r>
              <w:rPr>
                <w:rFonts w:hint="eastAsia"/>
                <w:sz w:val="24"/>
              </w:rPr>
              <w:t>515</w:t>
            </w:r>
            <w:r>
              <w:rPr>
                <w:sz w:val="24"/>
              </w:rPr>
              <w:t>万元，环保投资占项目总投资</w:t>
            </w:r>
            <w:r>
              <w:rPr>
                <w:rFonts w:hint="eastAsia"/>
                <w:sz w:val="24"/>
              </w:rPr>
              <w:t>1.69</w:t>
            </w:r>
            <w:r>
              <w:rPr>
                <w:sz w:val="24"/>
              </w:rPr>
              <w:t>%。项目环保投资见表4-</w:t>
            </w:r>
            <w:r>
              <w:rPr>
                <w:rFonts w:hint="eastAsia"/>
                <w:sz w:val="24"/>
              </w:rPr>
              <w:t>32</w:t>
            </w:r>
            <w:r>
              <w:rPr>
                <w:sz w:val="24"/>
              </w:rPr>
              <w:t>。</w:t>
            </w:r>
          </w:p>
          <w:p>
            <w:pPr>
              <w:keepNext/>
              <w:widowControl/>
              <w:adjustRightInd w:val="0"/>
              <w:snapToGrid w:val="0"/>
              <w:jc w:val="center"/>
              <w:rPr>
                <w:b/>
                <w:kern w:val="0"/>
                <w:szCs w:val="21"/>
              </w:rPr>
            </w:pPr>
            <w:r>
              <w:rPr>
                <w:b/>
                <w:kern w:val="0"/>
                <w:szCs w:val="21"/>
              </w:rPr>
              <w:t>表4-</w:t>
            </w:r>
            <w:r>
              <w:rPr>
                <w:rFonts w:hint="eastAsia"/>
                <w:b/>
                <w:kern w:val="0"/>
                <w:szCs w:val="21"/>
              </w:rPr>
              <w:t>32</w:t>
            </w:r>
            <w:r>
              <w:rPr>
                <w:b/>
                <w:kern w:val="0"/>
                <w:szCs w:val="21"/>
              </w:rPr>
              <w:t xml:space="preserve">   环保投资估算一览表</w:t>
            </w:r>
          </w:p>
          <w:tbl>
            <w:tblPr>
              <w:tblStyle w:val="9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9"/>
              <w:gridCol w:w="1596"/>
              <w:gridCol w:w="4010"/>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678" w:type="pct"/>
                  <w:tcBorders>
                    <w:tl2br w:val="nil"/>
                    <w:tr2bl w:val="nil"/>
                  </w:tcBorders>
                  <w:vAlign w:val="center"/>
                </w:tcPr>
                <w:p>
                  <w:pPr>
                    <w:snapToGrid w:val="0"/>
                    <w:jc w:val="center"/>
                    <w:rPr>
                      <w:bCs/>
                      <w:szCs w:val="21"/>
                    </w:rPr>
                  </w:pPr>
                  <w:r>
                    <w:rPr>
                      <w:rFonts w:hint="eastAsia"/>
                      <w:bCs/>
                      <w:szCs w:val="21"/>
                    </w:rPr>
                    <w:t>类别</w:t>
                  </w:r>
                </w:p>
              </w:tc>
              <w:tc>
                <w:tcPr>
                  <w:tcW w:w="3396" w:type="pct"/>
                  <w:gridSpan w:val="2"/>
                  <w:tcBorders>
                    <w:tl2br w:val="nil"/>
                    <w:tr2bl w:val="nil"/>
                  </w:tcBorders>
                  <w:vAlign w:val="center"/>
                </w:tcPr>
                <w:p>
                  <w:pPr>
                    <w:snapToGrid w:val="0"/>
                    <w:jc w:val="center"/>
                    <w:rPr>
                      <w:bCs/>
                      <w:szCs w:val="21"/>
                    </w:rPr>
                  </w:pPr>
                  <w:r>
                    <w:rPr>
                      <w:rFonts w:hint="eastAsia"/>
                      <w:bCs/>
                      <w:szCs w:val="21"/>
                    </w:rPr>
                    <w:t>环保措施及设备</w:t>
                  </w:r>
                </w:p>
              </w:tc>
              <w:tc>
                <w:tcPr>
                  <w:tcW w:w="924" w:type="pct"/>
                  <w:tcBorders>
                    <w:tl2br w:val="nil"/>
                    <w:tr2bl w:val="nil"/>
                  </w:tcBorders>
                  <w:vAlign w:val="center"/>
                </w:tcPr>
                <w:p>
                  <w:pPr>
                    <w:snapToGrid w:val="0"/>
                    <w:jc w:val="center"/>
                    <w:rPr>
                      <w:bCs/>
                      <w:szCs w:val="21"/>
                    </w:rPr>
                  </w:pPr>
                  <w:r>
                    <w:rPr>
                      <w:rFonts w:hint="eastAsia"/>
                      <w:bCs/>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vMerge w:val="restart"/>
                  <w:tcBorders>
                    <w:tl2br w:val="nil"/>
                    <w:tr2bl w:val="nil"/>
                  </w:tcBorders>
                  <w:vAlign w:val="center"/>
                </w:tcPr>
                <w:p>
                  <w:pPr>
                    <w:snapToGrid w:val="0"/>
                    <w:jc w:val="center"/>
                    <w:rPr>
                      <w:bCs/>
                      <w:szCs w:val="21"/>
                    </w:rPr>
                  </w:pPr>
                  <w:r>
                    <w:rPr>
                      <w:rFonts w:hint="eastAsia"/>
                      <w:bCs/>
                      <w:szCs w:val="21"/>
                    </w:rPr>
                    <w:t>废气</w:t>
                  </w:r>
                </w:p>
              </w:tc>
              <w:tc>
                <w:tcPr>
                  <w:tcW w:w="967" w:type="pct"/>
                  <w:tcBorders>
                    <w:tl2br w:val="nil"/>
                    <w:tr2bl w:val="nil"/>
                  </w:tcBorders>
                  <w:vAlign w:val="center"/>
                </w:tcPr>
                <w:p>
                  <w:pPr>
                    <w:snapToGrid w:val="0"/>
                    <w:jc w:val="center"/>
                    <w:rPr>
                      <w:bCs/>
                      <w:szCs w:val="21"/>
                    </w:rPr>
                  </w:pPr>
                  <w:r>
                    <w:rPr>
                      <w:rFonts w:hint="eastAsia"/>
                      <w:bCs/>
                      <w:szCs w:val="21"/>
                    </w:rPr>
                    <w:t>下料</w:t>
                  </w:r>
                </w:p>
              </w:tc>
              <w:tc>
                <w:tcPr>
                  <w:tcW w:w="2429" w:type="pct"/>
                  <w:tcBorders>
                    <w:tl2br w:val="nil"/>
                    <w:tr2bl w:val="nil"/>
                  </w:tcBorders>
                  <w:vAlign w:val="center"/>
                </w:tcPr>
                <w:p>
                  <w:pPr>
                    <w:snapToGrid w:val="0"/>
                    <w:jc w:val="center"/>
                    <w:rPr>
                      <w:bCs/>
                      <w:szCs w:val="21"/>
                    </w:rPr>
                  </w:pPr>
                  <w:r>
                    <w:rPr>
                      <w:rFonts w:hint="eastAsia"/>
                      <w:szCs w:val="21"/>
                    </w:rPr>
                    <w:t>集气罩+布袋除尘+15m高排气筒</w:t>
                  </w:r>
                </w:p>
              </w:tc>
              <w:tc>
                <w:tcPr>
                  <w:tcW w:w="924" w:type="pct"/>
                  <w:tcBorders>
                    <w:tl2br w:val="nil"/>
                    <w:tr2bl w:val="nil"/>
                  </w:tcBorders>
                  <w:vAlign w:val="center"/>
                </w:tcPr>
                <w:p>
                  <w:pPr>
                    <w:snapToGrid w:val="0"/>
                    <w:jc w:val="center"/>
                    <w:rPr>
                      <w:bCs/>
                      <w:szCs w:val="21"/>
                    </w:rPr>
                  </w:pPr>
                  <w:r>
                    <w:rPr>
                      <w:rFonts w:hint="eastAsia"/>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vMerge w:val="continue"/>
                  <w:tcBorders>
                    <w:tl2br w:val="nil"/>
                    <w:tr2bl w:val="nil"/>
                  </w:tcBorders>
                  <w:vAlign w:val="center"/>
                </w:tcPr>
                <w:p>
                  <w:pPr>
                    <w:snapToGrid w:val="0"/>
                    <w:jc w:val="center"/>
                    <w:rPr>
                      <w:bCs/>
                      <w:szCs w:val="21"/>
                    </w:rPr>
                  </w:pPr>
                </w:p>
              </w:tc>
              <w:tc>
                <w:tcPr>
                  <w:tcW w:w="967" w:type="pct"/>
                  <w:tcBorders>
                    <w:tl2br w:val="nil"/>
                    <w:tr2bl w:val="nil"/>
                  </w:tcBorders>
                  <w:vAlign w:val="center"/>
                </w:tcPr>
                <w:p>
                  <w:pPr>
                    <w:snapToGrid w:val="0"/>
                    <w:jc w:val="center"/>
                    <w:rPr>
                      <w:bCs/>
                      <w:szCs w:val="21"/>
                    </w:rPr>
                  </w:pPr>
                  <w:r>
                    <w:rPr>
                      <w:rFonts w:hint="eastAsia"/>
                      <w:bCs/>
                      <w:szCs w:val="21"/>
                    </w:rPr>
                    <w:t>砂光</w:t>
                  </w:r>
                </w:p>
              </w:tc>
              <w:tc>
                <w:tcPr>
                  <w:tcW w:w="2429" w:type="pct"/>
                  <w:tcBorders>
                    <w:tl2br w:val="nil"/>
                    <w:tr2bl w:val="nil"/>
                  </w:tcBorders>
                  <w:vAlign w:val="center"/>
                </w:tcPr>
                <w:p>
                  <w:pPr>
                    <w:snapToGrid w:val="0"/>
                    <w:jc w:val="center"/>
                    <w:rPr>
                      <w:szCs w:val="21"/>
                    </w:rPr>
                  </w:pPr>
                  <w:r>
                    <w:rPr>
                      <w:rFonts w:hint="eastAsia"/>
                      <w:szCs w:val="21"/>
                    </w:rPr>
                    <w:t>设备自带集尘设施+布袋除尘+15m高排气筒</w:t>
                  </w:r>
                </w:p>
              </w:tc>
              <w:tc>
                <w:tcPr>
                  <w:tcW w:w="924" w:type="pct"/>
                  <w:tcBorders>
                    <w:tl2br w:val="nil"/>
                    <w:tr2bl w:val="nil"/>
                  </w:tcBorders>
                  <w:vAlign w:val="center"/>
                </w:tcPr>
                <w:p>
                  <w:pPr>
                    <w:snapToGrid w:val="0"/>
                    <w:jc w:val="center"/>
                    <w:rPr>
                      <w:bCs/>
                      <w:szCs w:val="21"/>
                    </w:rPr>
                  </w:pPr>
                  <w:r>
                    <w:rPr>
                      <w:rFonts w:hint="eastAsia"/>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vMerge w:val="continue"/>
                  <w:tcBorders>
                    <w:tl2br w:val="nil"/>
                    <w:tr2bl w:val="nil"/>
                  </w:tcBorders>
                  <w:vAlign w:val="center"/>
                </w:tcPr>
                <w:p>
                  <w:pPr>
                    <w:snapToGrid w:val="0"/>
                    <w:jc w:val="center"/>
                    <w:rPr>
                      <w:bCs/>
                      <w:szCs w:val="21"/>
                    </w:rPr>
                  </w:pPr>
                </w:p>
              </w:tc>
              <w:tc>
                <w:tcPr>
                  <w:tcW w:w="967" w:type="pct"/>
                  <w:tcBorders>
                    <w:tl2br w:val="nil"/>
                    <w:tr2bl w:val="nil"/>
                  </w:tcBorders>
                  <w:vAlign w:val="center"/>
                </w:tcPr>
                <w:p>
                  <w:pPr>
                    <w:snapToGrid w:val="0"/>
                    <w:jc w:val="center"/>
                    <w:rPr>
                      <w:bCs/>
                      <w:szCs w:val="21"/>
                    </w:rPr>
                  </w:pPr>
                  <w:r>
                    <w:rPr>
                      <w:rFonts w:hint="eastAsia"/>
                      <w:bCs/>
                      <w:szCs w:val="21"/>
                    </w:rPr>
                    <w:t>机加工</w:t>
                  </w:r>
                </w:p>
              </w:tc>
              <w:tc>
                <w:tcPr>
                  <w:tcW w:w="2429" w:type="pct"/>
                  <w:tcBorders>
                    <w:tl2br w:val="nil"/>
                    <w:tr2bl w:val="nil"/>
                  </w:tcBorders>
                  <w:vAlign w:val="center"/>
                </w:tcPr>
                <w:p>
                  <w:pPr>
                    <w:snapToGrid w:val="0"/>
                    <w:jc w:val="center"/>
                    <w:rPr>
                      <w:szCs w:val="21"/>
                    </w:rPr>
                  </w:pPr>
                  <w:r>
                    <w:rPr>
                      <w:rFonts w:hint="eastAsia"/>
                      <w:szCs w:val="21"/>
                    </w:rPr>
                    <w:t>集气罩+布袋除尘+15m高排气筒</w:t>
                  </w:r>
                </w:p>
              </w:tc>
              <w:tc>
                <w:tcPr>
                  <w:tcW w:w="924" w:type="pct"/>
                  <w:tcBorders>
                    <w:tl2br w:val="nil"/>
                    <w:tr2bl w:val="nil"/>
                  </w:tcBorders>
                  <w:vAlign w:val="center"/>
                </w:tcPr>
                <w:p>
                  <w:pPr>
                    <w:snapToGrid w:val="0"/>
                    <w:jc w:val="center"/>
                    <w:rPr>
                      <w:bCs/>
                      <w:szCs w:val="21"/>
                    </w:rPr>
                  </w:pPr>
                  <w:r>
                    <w:rPr>
                      <w:rFonts w:hint="eastAsia"/>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vMerge w:val="continue"/>
                  <w:tcBorders>
                    <w:tl2br w:val="nil"/>
                    <w:tr2bl w:val="nil"/>
                  </w:tcBorders>
                  <w:vAlign w:val="center"/>
                </w:tcPr>
                <w:p>
                  <w:pPr>
                    <w:snapToGrid w:val="0"/>
                    <w:jc w:val="center"/>
                    <w:rPr>
                      <w:bCs/>
                      <w:szCs w:val="21"/>
                    </w:rPr>
                  </w:pPr>
                </w:p>
              </w:tc>
              <w:tc>
                <w:tcPr>
                  <w:tcW w:w="967" w:type="pct"/>
                  <w:tcBorders>
                    <w:tl2br w:val="nil"/>
                    <w:tr2bl w:val="nil"/>
                  </w:tcBorders>
                  <w:vAlign w:val="center"/>
                </w:tcPr>
                <w:p>
                  <w:pPr>
                    <w:snapToGrid w:val="0"/>
                    <w:jc w:val="center"/>
                    <w:rPr>
                      <w:bCs/>
                      <w:szCs w:val="21"/>
                    </w:rPr>
                  </w:pPr>
                  <w:r>
                    <w:rPr>
                      <w:rFonts w:hint="eastAsia"/>
                      <w:bCs/>
                      <w:szCs w:val="21"/>
                    </w:rPr>
                    <w:t>腻子粉打磨</w:t>
                  </w:r>
                </w:p>
              </w:tc>
              <w:tc>
                <w:tcPr>
                  <w:tcW w:w="2429" w:type="pct"/>
                  <w:tcBorders>
                    <w:tl2br w:val="nil"/>
                    <w:tr2bl w:val="nil"/>
                  </w:tcBorders>
                  <w:vAlign w:val="center"/>
                </w:tcPr>
                <w:p>
                  <w:pPr>
                    <w:snapToGrid w:val="0"/>
                    <w:jc w:val="center"/>
                    <w:rPr>
                      <w:szCs w:val="21"/>
                    </w:rPr>
                  </w:pPr>
                  <w:r>
                    <w:rPr>
                      <w:rFonts w:hint="eastAsia"/>
                      <w:szCs w:val="21"/>
                    </w:rPr>
                    <w:t>集气罩+布袋除尘+15m高排气筒</w:t>
                  </w:r>
                </w:p>
              </w:tc>
              <w:tc>
                <w:tcPr>
                  <w:tcW w:w="924" w:type="pct"/>
                  <w:tcBorders>
                    <w:tl2br w:val="nil"/>
                    <w:tr2bl w:val="nil"/>
                  </w:tcBorders>
                  <w:vAlign w:val="center"/>
                </w:tcPr>
                <w:p>
                  <w:pPr>
                    <w:snapToGrid w:val="0"/>
                    <w:jc w:val="center"/>
                    <w:rPr>
                      <w:bCs/>
                      <w:szCs w:val="21"/>
                    </w:rPr>
                  </w:pPr>
                  <w:r>
                    <w:rPr>
                      <w:rFonts w:hint="eastAsia"/>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vMerge w:val="continue"/>
                  <w:tcBorders>
                    <w:tl2br w:val="nil"/>
                    <w:tr2bl w:val="nil"/>
                  </w:tcBorders>
                  <w:vAlign w:val="center"/>
                </w:tcPr>
                <w:p>
                  <w:pPr>
                    <w:snapToGrid w:val="0"/>
                    <w:jc w:val="center"/>
                    <w:rPr>
                      <w:bCs/>
                      <w:szCs w:val="21"/>
                    </w:rPr>
                  </w:pPr>
                </w:p>
              </w:tc>
              <w:tc>
                <w:tcPr>
                  <w:tcW w:w="967" w:type="pct"/>
                  <w:tcBorders>
                    <w:tl2br w:val="nil"/>
                    <w:tr2bl w:val="nil"/>
                  </w:tcBorders>
                  <w:vAlign w:val="center"/>
                </w:tcPr>
                <w:p>
                  <w:pPr>
                    <w:snapToGrid w:val="0"/>
                    <w:jc w:val="center"/>
                    <w:rPr>
                      <w:bCs/>
                      <w:szCs w:val="21"/>
                    </w:rPr>
                  </w:pPr>
                  <w:r>
                    <w:rPr>
                      <w:rFonts w:hint="eastAsia"/>
                      <w:bCs/>
                      <w:szCs w:val="21"/>
                    </w:rPr>
                    <w:t>喷漆、晾干</w:t>
                  </w:r>
                </w:p>
              </w:tc>
              <w:tc>
                <w:tcPr>
                  <w:tcW w:w="2429" w:type="pct"/>
                  <w:tcBorders>
                    <w:tl2br w:val="nil"/>
                    <w:tr2bl w:val="nil"/>
                  </w:tcBorders>
                  <w:vAlign w:val="center"/>
                </w:tcPr>
                <w:p>
                  <w:pPr>
                    <w:snapToGrid w:val="0"/>
                    <w:jc w:val="center"/>
                    <w:rPr>
                      <w:bCs/>
                      <w:szCs w:val="21"/>
                    </w:rPr>
                  </w:pPr>
                  <w:r>
                    <w:rPr>
                      <w:rFonts w:hint="eastAsia"/>
                      <w:bCs/>
                      <w:szCs w:val="21"/>
                    </w:rPr>
                    <w:t>密闭作业空间、水帘柜+过滤棉+</w:t>
                  </w:r>
                  <w:r>
                    <w:rPr>
                      <w:rFonts w:hint="eastAsia"/>
                      <w:color w:val="000000"/>
                      <w:szCs w:val="21"/>
                    </w:rPr>
                    <w:t>旋转式分子筛吸附+脱附</w:t>
                  </w:r>
                  <w:r>
                    <w:rPr>
                      <w:rFonts w:hint="eastAsia"/>
                      <w:bCs/>
                      <w:szCs w:val="21"/>
                    </w:rPr>
                    <w:t>+RCO催化燃烧</w:t>
                  </w:r>
                </w:p>
              </w:tc>
              <w:tc>
                <w:tcPr>
                  <w:tcW w:w="924" w:type="pct"/>
                  <w:tcBorders>
                    <w:tl2br w:val="nil"/>
                    <w:tr2bl w:val="nil"/>
                  </w:tcBorders>
                  <w:vAlign w:val="center"/>
                </w:tcPr>
                <w:p>
                  <w:pPr>
                    <w:snapToGrid w:val="0"/>
                    <w:jc w:val="center"/>
                    <w:rPr>
                      <w:bCs/>
                      <w:szCs w:val="21"/>
                    </w:rPr>
                  </w:pPr>
                  <w:r>
                    <w:rPr>
                      <w:rFonts w:hint="eastAsia"/>
                      <w:bCs/>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vMerge w:val="restart"/>
                  <w:tcBorders>
                    <w:tl2br w:val="nil"/>
                    <w:tr2bl w:val="nil"/>
                  </w:tcBorders>
                  <w:vAlign w:val="center"/>
                </w:tcPr>
                <w:p>
                  <w:pPr>
                    <w:snapToGrid w:val="0"/>
                    <w:jc w:val="center"/>
                    <w:rPr>
                      <w:bCs/>
                      <w:szCs w:val="21"/>
                    </w:rPr>
                  </w:pPr>
                  <w:r>
                    <w:rPr>
                      <w:rFonts w:hint="eastAsia"/>
                      <w:bCs/>
                      <w:szCs w:val="21"/>
                    </w:rPr>
                    <w:t>废水</w:t>
                  </w:r>
                </w:p>
              </w:tc>
              <w:tc>
                <w:tcPr>
                  <w:tcW w:w="967" w:type="pct"/>
                  <w:tcBorders>
                    <w:tl2br w:val="nil"/>
                    <w:tr2bl w:val="nil"/>
                  </w:tcBorders>
                  <w:vAlign w:val="center"/>
                </w:tcPr>
                <w:p>
                  <w:pPr>
                    <w:snapToGrid w:val="0"/>
                    <w:jc w:val="center"/>
                    <w:rPr>
                      <w:bCs/>
                      <w:szCs w:val="21"/>
                    </w:rPr>
                  </w:pPr>
                  <w:r>
                    <w:rPr>
                      <w:rFonts w:hint="eastAsia"/>
                      <w:bCs/>
                      <w:szCs w:val="21"/>
                    </w:rPr>
                    <w:t>生活污水</w:t>
                  </w:r>
                </w:p>
              </w:tc>
              <w:tc>
                <w:tcPr>
                  <w:tcW w:w="2429" w:type="pct"/>
                  <w:tcBorders>
                    <w:tl2br w:val="nil"/>
                    <w:tr2bl w:val="nil"/>
                  </w:tcBorders>
                  <w:vAlign w:val="center"/>
                </w:tcPr>
                <w:p>
                  <w:pPr>
                    <w:snapToGrid w:val="0"/>
                    <w:jc w:val="center"/>
                    <w:rPr>
                      <w:bCs/>
                      <w:szCs w:val="21"/>
                    </w:rPr>
                  </w:pPr>
                  <w:r>
                    <w:rPr>
                      <w:rFonts w:hint="eastAsia"/>
                      <w:bCs/>
                      <w:szCs w:val="21"/>
                    </w:rPr>
                    <w:t>化粪池</w:t>
                  </w:r>
                </w:p>
              </w:tc>
              <w:tc>
                <w:tcPr>
                  <w:tcW w:w="924" w:type="pct"/>
                  <w:tcBorders>
                    <w:tl2br w:val="nil"/>
                    <w:tr2bl w:val="nil"/>
                  </w:tcBorders>
                  <w:vAlign w:val="center"/>
                </w:tcPr>
                <w:p>
                  <w:pPr>
                    <w:snapToGrid w:val="0"/>
                    <w:jc w:val="center"/>
                    <w:rPr>
                      <w:bCs/>
                      <w:szCs w:val="21"/>
                    </w:rPr>
                  </w:pPr>
                  <w:r>
                    <w:rPr>
                      <w:rFonts w:hint="eastAsia"/>
                      <w:bCs/>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vMerge w:val="continue"/>
                  <w:tcBorders>
                    <w:tl2br w:val="nil"/>
                    <w:tr2bl w:val="nil"/>
                  </w:tcBorders>
                  <w:vAlign w:val="center"/>
                </w:tcPr>
                <w:p>
                  <w:pPr>
                    <w:snapToGrid w:val="0"/>
                    <w:jc w:val="center"/>
                    <w:rPr>
                      <w:bCs/>
                      <w:szCs w:val="21"/>
                    </w:rPr>
                  </w:pPr>
                </w:p>
              </w:tc>
              <w:tc>
                <w:tcPr>
                  <w:tcW w:w="967" w:type="pct"/>
                  <w:tcBorders>
                    <w:tl2br w:val="nil"/>
                    <w:tr2bl w:val="nil"/>
                  </w:tcBorders>
                  <w:vAlign w:val="center"/>
                </w:tcPr>
                <w:p>
                  <w:pPr>
                    <w:snapToGrid w:val="0"/>
                    <w:jc w:val="center"/>
                    <w:rPr>
                      <w:bCs/>
                      <w:szCs w:val="21"/>
                    </w:rPr>
                  </w:pPr>
                  <w:r>
                    <w:rPr>
                      <w:rFonts w:hint="eastAsia"/>
                      <w:bCs/>
                      <w:szCs w:val="21"/>
                    </w:rPr>
                    <w:t>生产废水</w:t>
                  </w:r>
                </w:p>
              </w:tc>
              <w:tc>
                <w:tcPr>
                  <w:tcW w:w="2429" w:type="pct"/>
                  <w:tcBorders>
                    <w:tl2br w:val="nil"/>
                    <w:tr2bl w:val="nil"/>
                  </w:tcBorders>
                  <w:vAlign w:val="center"/>
                </w:tcPr>
                <w:p>
                  <w:pPr>
                    <w:snapToGrid w:val="0"/>
                    <w:jc w:val="center"/>
                    <w:rPr>
                      <w:bCs/>
                      <w:szCs w:val="21"/>
                    </w:rPr>
                  </w:pPr>
                  <w:r>
                    <w:rPr>
                      <w:rFonts w:hint="eastAsia"/>
                      <w:bCs/>
                      <w:szCs w:val="21"/>
                    </w:rPr>
                    <w:t>沉淀池</w:t>
                  </w:r>
                </w:p>
              </w:tc>
              <w:tc>
                <w:tcPr>
                  <w:tcW w:w="924" w:type="pct"/>
                  <w:tcBorders>
                    <w:tl2br w:val="nil"/>
                    <w:tr2bl w:val="nil"/>
                  </w:tcBorders>
                  <w:vAlign w:val="center"/>
                </w:tcPr>
                <w:p>
                  <w:pPr>
                    <w:snapToGrid w:val="0"/>
                    <w:jc w:val="center"/>
                    <w:rPr>
                      <w:bCs/>
                      <w:szCs w:val="21"/>
                    </w:rPr>
                  </w:pPr>
                  <w:r>
                    <w:rPr>
                      <w:rFonts w:hint="eastAsia"/>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78" w:type="pct"/>
                  <w:tcBorders>
                    <w:tl2br w:val="nil"/>
                    <w:tr2bl w:val="nil"/>
                  </w:tcBorders>
                  <w:vAlign w:val="center"/>
                </w:tcPr>
                <w:p>
                  <w:pPr>
                    <w:snapToGrid w:val="0"/>
                    <w:jc w:val="center"/>
                    <w:rPr>
                      <w:bCs/>
                      <w:szCs w:val="21"/>
                    </w:rPr>
                  </w:pPr>
                  <w:r>
                    <w:rPr>
                      <w:rFonts w:hint="eastAsia"/>
                      <w:bCs/>
                      <w:szCs w:val="21"/>
                    </w:rPr>
                    <w:t>噪声</w:t>
                  </w:r>
                </w:p>
              </w:tc>
              <w:tc>
                <w:tcPr>
                  <w:tcW w:w="3396" w:type="pct"/>
                  <w:gridSpan w:val="2"/>
                  <w:tcBorders>
                    <w:tl2br w:val="nil"/>
                    <w:tr2bl w:val="nil"/>
                  </w:tcBorders>
                  <w:vAlign w:val="center"/>
                </w:tcPr>
                <w:p>
                  <w:pPr>
                    <w:snapToGrid w:val="0"/>
                    <w:jc w:val="center"/>
                    <w:rPr>
                      <w:bCs/>
                      <w:szCs w:val="21"/>
                    </w:rPr>
                  </w:pPr>
                  <w:r>
                    <w:rPr>
                      <w:rFonts w:hint="eastAsia"/>
                      <w:bCs/>
                      <w:szCs w:val="21"/>
                    </w:rPr>
                    <w:t>低噪设备、墙体隔声、设备减振等</w:t>
                  </w:r>
                </w:p>
              </w:tc>
              <w:tc>
                <w:tcPr>
                  <w:tcW w:w="924" w:type="pct"/>
                  <w:tcBorders>
                    <w:tl2br w:val="nil"/>
                    <w:tr2bl w:val="nil"/>
                  </w:tcBorders>
                  <w:vAlign w:val="center"/>
                </w:tcPr>
                <w:p>
                  <w:pPr>
                    <w:snapToGrid w:val="0"/>
                    <w:jc w:val="center"/>
                    <w:rPr>
                      <w:bCs/>
                      <w:szCs w:val="21"/>
                    </w:rPr>
                  </w:pPr>
                  <w:r>
                    <w:rPr>
                      <w:rFonts w:hint="eastAsia"/>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trPr>
              <w:tc>
                <w:tcPr>
                  <w:tcW w:w="678" w:type="pct"/>
                  <w:tcBorders>
                    <w:tl2br w:val="nil"/>
                    <w:tr2bl w:val="nil"/>
                  </w:tcBorders>
                  <w:vAlign w:val="center"/>
                </w:tcPr>
                <w:p>
                  <w:pPr>
                    <w:snapToGrid w:val="0"/>
                    <w:jc w:val="center"/>
                    <w:rPr>
                      <w:bCs/>
                      <w:szCs w:val="21"/>
                    </w:rPr>
                  </w:pPr>
                  <w:r>
                    <w:rPr>
                      <w:rFonts w:hint="eastAsia"/>
                      <w:bCs/>
                      <w:szCs w:val="21"/>
                    </w:rPr>
                    <w:t>环境风险</w:t>
                  </w:r>
                </w:p>
              </w:tc>
              <w:tc>
                <w:tcPr>
                  <w:tcW w:w="3396" w:type="pct"/>
                  <w:gridSpan w:val="2"/>
                  <w:tcBorders>
                    <w:tl2br w:val="nil"/>
                    <w:tr2bl w:val="nil"/>
                  </w:tcBorders>
                  <w:vAlign w:val="center"/>
                </w:tcPr>
                <w:p>
                  <w:pPr>
                    <w:snapToGrid w:val="0"/>
                    <w:jc w:val="center"/>
                    <w:rPr>
                      <w:bCs/>
                      <w:szCs w:val="21"/>
                    </w:rPr>
                  </w:pPr>
                  <w:r>
                    <w:rPr>
                      <w:rFonts w:hint="eastAsia"/>
                      <w:bCs/>
                      <w:szCs w:val="21"/>
                    </w:rPr>
                    <w:t>危废暂存间、一般固废暂存间</w:t>
                  </w:r>
                </w:p>
              </w:tc>
              <w:tc>
                <w:tcPr>
                  <w:tcW w:w="924" w:type="pct"/>
                  <w:tcBorders>
                    <w:tl2br w:val="nil"/>
                    <w:tr2bl w:val="nil"/>
                  </w:tcBorders>
                  <w:vAlign w:val="center"/>
                </w:tcPr>
                <w:p>
                  <w:pPr>
                    <w:snapToGrid w:val="0"/>
                    <w:jc w:val="center"/>
                    <w:rPr>
                      <w:bCs/>
                      <w:szCs w:val="21"/>
                    </w:rPr>
                  </w:pPr>
                  <w:r>
                    <w:rPr>
                      <w:rFonts w:hint="eastAsia"/>
                      <w:bCs/>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4075" w:type="pct"/>
                  <w:gridSpan w:val="3"/>
                  <w:tcBorders>
                    <w:tl2br w:val="nil"/>
                    <w:tr2bl w:val="nil"/>
                  </w:tcBorders>
                  <w:vAlign w:val="center"/>
                </w:tcPr>
                <w:p>
                  <w:pPr>
                    <w:snapToGrid w:val="0"/>
                    <w:jc w:val="center"/>
                    <w:rPr>
                      <w:bCs/>
                      <w:szCs w:val="21"/>
                    </w:rPr>
                  </w:pPr>
                  <w:r>
                    <w:rPr>
                      <w:rFonts w:hint="eastAsia"/>
                      <w:bCs/>
                      <w:szCs w:val="21"/>
                    </w:rPr>
                    <w:t>合计</w:t>
                  </w:r>
                </w:p>
              </w:tc>
              <w:tc>
                <w:tcPr>
                  <w:tcW w:w="924" w:type="pct"/>
                  <w:tcBorders>
                    <w:tl2br w:val="nil"/>
                    <w:tr2bl w:val="nil"/>
                  </w:tcBorders>
                  <w:vAlign w:val="center"/>
                </w:tcPr>
                <w:p>
                  <w:pPr>
                    <w:snapToGrid w:val="0"/>
                    <w:jc w:val="center"/>
                    <w:rPr>
                      <w:bCs/>
                      <w:szCs w:val="21"/>
                    </w:rPr>
                  </w:pPr>
                  <w:r>
                    <w:rPr>
                      <w:rFonts w:hint="eastAsia"/>
                      <w:bCs/>
                      <w:szCs w:val="21"/>
                    </w:rPr>
                    <w:t>515</w:t>
                  </w:r>
                </w:p>
              </w:tc>
            </w:tr>
          </w:tbl>
          <w:p>
            <w:pPr>
              <w:spacing w:line="360" w:lineRule="auto"/>
              <w:rPr>
                <w:u w:val="single"/>
              </w:rPr>
            </w:pPr>
          </w:p>
        </w:tc>
      </w:tr>
    </w:tbl>
    <w:p>
      <w:pPr>
        <w:rPr>
          <w:u w:val="single"/>
        </w:rPr>
        <w:sectPr>
          <w:pgSz w:w="11907" w:h="16840"/>
          <w:pgMar w:top="1701" w:right="1531" w:bottom="2127" w:left="1531" w:header="851" w:footer="851" w:gutter="0"/>
          <w:cols w:space="720" w:num="1"/>
          <w:docGrid w:linePitch="312" w:charSpace="0"/>
        </w:sectPr>
      </w:pPr>
    </w:p>
    <w:p>
      <w:pPr>
        <w:pStyle w:val="28"/>
        <w:numPr>
          <w:ilvl w:val="0"/>
          <w:numId w:val="8"/>
        </w:numPr>
        <w:spacing w:before="120" w:beforeLines="50" w:beforeAutospacing="0" w:after="120" w:afterLines="50" w:afterAutospacing="0"/>
        <w:jc w:val="center"/>
        <w:outlineLvl w:val="0"/>
        <w:rPr>
          <w:rFonts w:ascii="Times New Roman" w:hAnsi="Times New Roman" w:eastAsia="黑体"/>
          <w:snapToGrid w:val="0"/>
          <w:sz w:val="30"/>
          <w:szCs w:val="30"/>
        </w:rPr>
      </w:pPr>
      <w:bookmarkStart w:id="12" w:name="_Hlk54167917"/>
      <w:bookmarkStart w:id="13" w:name="_Toc28805"/>
      <w:r>
        <w:rPr>
          <w:rFonts w:ascii="Times New Roman" w:hAnsi="Times New Roman" w:eastAsia="黑体"/>
          <w:snapToGrid w:val="0"/>
          <w:sz w:val="30"/>
          <w:szCs w:val="30"/>
        </w:rPr>
        <w:t>环境保护措施监督检查清单</w:t>
      </w:r>
      <w:bookmarkEnd w:id="12"/>
      <w:bookmarkEnd w:id="13"/>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265"/>
        <w:gridCol w:w="2025"/>
        <w:gridCol w:w="19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szCs w:val="21"/>
              </w:rPr>
            </w:pPr>
            <w:r>
              <w:rPr>
                <w:szCs w:val="21"/>
              </w:rPr>
              <w:t>内容</w:t>
            </w:r>
          </w:p>
          <w:p>
            <w:pPr>
              <w:adjustRightInd w:val="0"/>
              <w:snapToGrid w:val="0"/>
              <w:rPr>
                <w:szCs w:val="21"/>
              </w:rPr>
            </w:pPr>
            <w:r>
              <w:rPr>
                <w:szCs w:val="21"/>
              </w:rPr>
              <w:t>要素</w:t>
            </w:r>
          </w:p>
        </w:tc>
        <w:tc>
          <w:tcPr>
            <w:tcW w:w="1755" w:type="dxa"/>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1265" w:type="dxa"/>
            <w:vAlign w:val="center"/>
          </w:tcPr>
          <w:p>
            <w:pPr>
              <w:adjustRightInd w:val="0"/>
              <w:snapToGrid w:val="0"/>
              <w:jc w:val="center"/>
              <w:rPr>
                <w:szCs w:val="21"/>
              </w:rPr>
            </w:pPr>
            <w:r>
              <w:rPr>
                <w:szCs w:val="21"/>
              </w:rPr>
              <w:t>污染物项目</w:t>
            </w:r>
          </w:p>
        </w:tc>
        <w:tc>
          <w:tcPr>
            <w:tcW w:w="2025" w:type="dxa"/>
            <w:vAlign w:val="center"/>
          </w:tcPr>
          <w:p>
            <w:pPr>
              <w:adjustRightInd w:val="0"/>
              <w:snapToGrid w:val="0"/>
              <w:jc w:val="center"/>
              <w:rPr>
                <w:szCs w:val="21"/>
              </w:rPr>
            </w:pPr>
            <w:r>
              <w:rPr>
                <w:szCs w:val="21"/>
              </w:rPr>
              <w:t>环境保护措施</w:t>
            </w:r>
          </w:p>
        </w:tc>
        <w:tc>
          <w:tcPr>
            <w:tcW w:w="1977" w:type="dxa"/>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tcBorders>
              <w:left w:val="single" w:color="auto" w:sz="4" w:space="0"/>
            </w:tcBorders>
            <w:vAlign w:val="center"/>
          </w:tcPr>
          <w:p>
            <w:pPr>
              <w:adjustRightInd w:val="0"/>
              <w:snapToGrid w:val="0"/>
              <w:jc w:val="center"/>
              <w:rPr>
                <w:szCs w:val="21"/>
              </w:rPr>
            </w:pPr>
            <w:r>
              <w:rPr>
                <w:szCs w:val="21"/>
              </w:rPr>
              <w:t>大气环境</w:t>
            </w:r>
          </w:p>
        </w:tc>
        <w:tc>
          <w:tcPr>
            <w:tcW w:w="1755" w:type="dxa"/>
            <w:tcBorders>
              <w:bottom w:val="single" w:color="auto" w:sz="4" w:space="0"/>
            </w:tcBorders>
            <w:vAlign w:val="center"/>
          </w:tcPr>
          <w:p>
            <w:pPr>
              <w:snapToGrid w:val="0"/>
              <w:jc w:val="center"/>
              <w:rPr>
                <w:bCs/>
                <w:szCs w:val="21"/>
              </w:rPr>
            </w:pPr>
            <w:r>
              <w:rPr>
                <w:rFonts w:hint="eastAsia"/>
                <w:bCs/>
                <w:szCs w:val="21"/>
              </w:rPr>
              <w:t>下料</w:t>
            </w:r>
          </w:p>
        </w:tc>
        <w:tc>
          <w:tcPr>
            <w:tcW w:w="1265" w:type="dxa"/>
            <w:tcBorders>
              <w:bottom w:val="single" w:color="auto" w:sz="4" w:space="0"/>
            </w:tcBorders>
            <w:vAlign w:val="center"/>
          </w:tcPr>
          <w:p>
            <w:pPr>
              <w:widowControl/>
              <w:spacing w:line="0" w:lineRule="atLeast"/>
              <w:jc w:val="center"/>
              <w:textAlignment w:val="center"/>
              <w:rPr>
                <w:szCs w:val="21"/>
              </w:rPr>
            </w:pPr>
            <w:r>
              <w:rPr>
                <w:rFonts w:hint="eastAsia"/>
                <w:szCs w:val="21"/>
              </w:rPr>
              <w:t>颗粒物</w:t>
            </w:r>
          </w:p>
        </w:tc>
        <w:tc>
          <w:tcPr>
            <w:tcW w:w="2025" w:type="dxa"/>
            <w:tcBorders>
              <w:bottom w:val="single" w:color="auto" w:sz="4" w:space="0"/>
            </w:tcBorders>
            <w:vAlign w:val="center"/>
          </w:tcPr>
          <w:p>
            <w:pPr>
              <w:snapToGrid w:val="0"/>
              <w:jc w:val="center"/>
              <w:rPr>
                <w:bCs/>
                <w:szCs w:val="21"/>
              </w:rPr>
            </w:pPr>
            <w:r>
              <w:rPr>
                <w:rFonts w:hint="eastAsia"/>
                <w:szCs w:val="21"/>
              </w:rPr>
              <w:t>集气罩+布袋除尘+15m高排气筒</w:t>
            </w:r>
          </w:p>
        </w:tc>
        <w:tc>
          <w:tcPr>
            <w:tcW w:w="1977" w:type="dxa"/>
            <w:vMerge w:val="restart"/>
            <w:tcBorders>
              <w:right w:val="single" w:color="auto" w:sz="4" w:space="0"/>
            </w:tcBorders>
            <w:vAlign w:val="center"/>
          </w:tcPr>
          <w:p>
            <w:pPr>
              <w:widowControl/>
              <w:spacing w:line="0" w:lineRule="atLeast"/>
              <w:jc w:val="center"/>
              <w:textAlignment w:val="center"/>
              <w:rPr>
                <w:szCs w:val="21"/>
              </w:rPr>
            </w:pPr>
            <w:r>
              <w:rPr>
                <w:rFonts w:hint="eastAsia"/>
                <w:szCs w:val="21"/>
              </w:rPr>
              <w:t>颗粒物《大气污染物综合排放标准》（GB16297-1996）、非甲烷总烃、苯系物执行《家具制造行业挥发性有机物排放标准》（DB43/13</w:t>
            </w:r>
            <w:r>
              <w:rPr>
                <w:rFonts w:hint="default"/>
                <w:szCs w:val="21"/>
                <w:lang w:val="en-US"/>
              </w:rPr>
              <w:t>5</w:t>
            </w:r>
            <w:r>
              <w:rPr>
                <w:rFonts w:hint="eastAsia"/>
                <w:szCs w:val="21"/>
              </w:rPr>
              <w:t>5-2017）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4" w:space="0"/>
            </w:tcBorders>
            <w:vAlign w:val="center"/>
          </w:tcPr>
          <w:p>
            <w:pPr>
              <w:adjustRightInd w:val="0"/>
              <w:snapToGrid w:val="0"/>
              <w:jc w:val="center"/>
              <w:rPr>
                <w:szCs w:val="21"/>
              </w:rPr>
            </w:pPr>
          </w:p>
        </w:tc>
        <w:tc>
          <w:tcPr>
            <w:tcW w:w="1755" w:type="dxa"/>
            <w:tcBorders>
              <w:bottom w:val="single" w:color="auto" w:sz="4" w:space="0"/>
            </w:tcBorders>
            <w:vAlign w:val="center"/>
          </w:tcPr>
          <w:p>
            <w:pPr>
              <w:snapToGrid w:val="0"/>
              <w:jc w:val="center"/>
              <w:rPr>
                <w:bCs/>
                <w:szCs w:val="21"/>
              </w:rPr>
            </w:pPr>
            <w:r>
              <w:rPr>
                <w:rFonts w:hint="eastAsia"/>
                <w:bCs/>
                <w:szCs w:val="21"/>
              </w:rPr>
              <w:t>砂光</w:t>
            </w:r>
          </w:p>
        </w:tc>
        <w:tc>
          <w:tcPr>
            <w:tcW w:w="1265" w:type="dxa"/>
            <w:tcBorders>
              <w:bottom w:val="single" w:color="auto" w:sz="4" w:space="0"/>
            </w:tcBorders>
            <w:vAlign w:val="center"/>
          </w:tcPr>
          <w:p>
            <w:pPr>
              <w:widowControl/>
              <w:spacing w:line="0" w:lineRule="atLeast"/>
              <w:jc w:val="center"/>
              <w:textAlignment w:val="center"/>
              <w:rPr>
                <w:szCs w:val="21"/>
              </w:rPr>
            </w:pPr>
            <w:r>
              <w:rPr>
                <w:rFonts w:hint="eastAsia"/>
                <w:szCs w:val="21"/>
              </w:rPr>
              <w:t>颗粒物</w:t>
            </w:r>
          </w:p>
        </w:tc>
        <w:tc>
          <w:tcPr>
            <w:tcW w:w="2025" w:type="dxa"/>
            <w:tcBorders>
              <w:bottom w:val="single" w:color="auto" w:sz="4" w:space="0"/>
            </w:tcBorders>
            <w:vAlign w:val="center"/>
          </w:tcPr>
          <w:p>
            <w:pPr>
              <w:snapToGrid w:val="0"/>
              <w:jc w:val="center"/>
              <w:rPr>
                <w:szCs w:val="21"/>
              </w:rPr>
            </w:pPr>
            <w:r>
              <w:rPr>
                <w:rFonts w:hint="eastAsia"/>
                <w:szCs w:val="21"/>
              </w:rPr>
              <w:t>设备自带集尘设施+布袋除尘+15m高排气筒</w:t>
            </w:r>
          </w:p>
        </w:tc>
        <w:tc>
          <w:tcPr>
            <w:tcW w:w="1977" w:type="dxa"/>
            <w:vMerge w:val="continue"/>
            <w:tcBorders>
              <w:right w:val="single" w:color="auto" w:sz="4" w:space="0"/>
            </w:tcBorders>
            <w:vAlign w:val="center"/>
          </w:tcPr>
          <w:p>
            <w:pPr>
              <w:widowControl/>
              <w:spacing w:line="0" w:lineRule="atLeast"/>
              <w:jc w:val="center"/>
              <w:textAlignment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4" w:space="0"/>
            </w:tcBorders>
            <w:vAlign w:val="center"/>
          </w:tcPr>
          <w:p>
            <w:pPr>
              <w:adjustRightInd w:val="0"/>
              <w:snapToGrid w:val="0"/>
              <w:jc w:val="center"/>
              <w:rPr>
                <w:szCs w:val="21"/>
              </w:rPr>
            </w:pPr>
          </w:p>
        </w:tc>
        <w:tc>
          <w:tcPr>
            <w:tcW w:w="1755" w:type="dxa"/>
            <w:tcBorders>
              <w:bottom w:val="single" w:color="auto" w:sz="4" w:space="0"/>
            </w:tcBorders>
            <w:vAlign w:val="center"/>
          </w:tcPr>
          <w:p>
            <w:pPr>
              <w:snapToGrid w:val="0"/>
              <w:jc w:val="center"/>
              <w:rPr>
                <w:bCs/>
                <w:szCs w:val="21"/>
              </w:rPr>
            </w:pPr>
            <w:r>
              <w:rPr>
                <w:rFonts w:hint="eastAsia"/>
                <w:bCs/>
                <w:szCs w:val="21"/>
              </w:rPr>
              <w:t>热压</w:t>
            </w:r>
          </w:p>
        </w:tc>
        <w:tc>
          <w:tcPr>
            <w:tcW w:w="1265" w:type="dxa"/>
            <w:tcBorders>
              <w:bottom w:val="single" w:color="auto" w:sz="4" w:space="0"/>
            </w:tcBorders>
            <w:vAlign w:val="center"/>
          </w:tcPr>
          <w:p>
            <w:pPr>
              <w:widowControl/>
              <w:spacing w:line="0" w:lineRule="atLeast"/>
              <w:jc w:val="center"/>
              <w:textAlignment w:val="center"/>
              <w:rPr>
                <w:szCs w:val="21"/>
              </w:rPr>
            </w:pPr>
            <w:r>
              <w:rPr>
                <w:rFonts w:hint="eastAsia"/>
                <w:szCs w:val="21"/>
              </w:rPr>
              <w:t>非甲烷总烃</w:t>
            </w:r>
          </w:p>
        </w:tc>
        <w:tc>
          <w:tcPr>
            <w:tcW w:w="2025" w:type="dxa"/>
            <w:tcBorders>
              <w:bottom w:val="single" w:color="auto" w:sz="4" w:space="0"/>
            </w:tcBorders>
            <w:vAlign w:val="center"/>
          </w:tcPr>
          <w:p>
            <w:pPr>
              <w:snapToGrid w:val="0"/>
              <w:jc w:val="center"/>
              <w:rPr>
                <w:szCs w:val="21"/>
              </w:rPr>
            </w:pPr>
            <w:r>
              <w:rPr>
                <w:rFonts w:hint="eastAsia"/>
                <w:szCs w:val="21"/>
              </w:rPr>
              <w:t>/</w:t>
            </w:r>
          </w:p>
        </w:tc>
        <w:tc>
          <w:tcPr>
            <w:tcW w:w="1977" w:type="dxa"/>
            <w:vMerge w:val="continue"/>
            <w:tcBorders>
              <w:right w:val="single" w:color="auto" w:sz="4" w:space="0"/>
            </w:tcBorders>
            <w:vAlign w:val="center"/>
          </w:tcPr>
          <w:p>
            <w:pPr>
              <w:widowControl/>
              <w:spacing w:line="0" w:lineRule="atLeast"/>
              <w:jc w:val="center"/>
              <w:textAlignment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4" w:space="0"/>
            </w:tcBorders>
            <w:vAlign w:val="center"/>
          </w:tcPr>
          <w:p>
            <w:pPr>
              <w:adjustRightInd w:val="0"/>
              <w:snapToGrid w:val="0"/>
              <w:jc w:val="center"/>
              <w:rPr>
                <w:szCs w:val="21"/>
              </w:rPr>
            </w:pPr>
          </w:p>
        </w:tc>
        <w:tc>
          <w:tcPr>
            <w:tcW w:w="1755" w:type="dxa"/>
            <w:tcBorders>
              <w:bottom w:val="single" w:color="auto" w:sz="4" w:space="0"/>
            </w:tcBorders>
            <w:vAlign w:val="center"/>
          </w:tcPr>
          <w:p>
            <w:pPr>
              <w:snapToGrid w:val="0"/>
              <w:jc w:val="center"/>
              <w:rPr>
                <w:bCs/>
                <w:szCs w:val="21"/>
              </w:rPr>
            </w:pPr>
            <w:r>
              <w:rPr>
                <w:rFonts w:hint="eastAsia"/>
                <w:bCs/>
                <w:szCs w:val="21"/>
              </w:rPr>
              <w:t>机加工</w:t>
            </w:r>
          </w:p>
        </w:tc>
        <w:tc>
          <w:tcPr>
            <w:tcW w:w="1265" w:type="dxa"/>
            <w:tcBorders>
              <w:bottom w:val="single" w:color="auto" w:sz="4" w:space="0"/>
            </w:tcBorders>
            <w:vAlign w:val="center"/>
          </w:tcPr>
          <w:p>
            <w:pPr>
              <w:widowControl/>
              <w:spacing w:line="0" w:lineRule="atLeast"/>
              <w:jc w:val="center"/>
              <w:textAlignment w:val="center"/>
              <w:rPr>
                <w:szCs w:val="21"/>
              </w:rPr>
            </w:pPr>
            <w:r>
              <w:rPr>
                <w:rFonts w:hint="eastAsia"/>
                <w:szCs w:val="21"/>
              </w:rPr>
              <w:t>颗粒物</w:t>
            </w:r>
          </w:p>
        </w:tc>
        <w:tc>
          <w:tcPr>
            <w:tcW w:w="2025" w:type="dxa"/>
            <w:tcBorders>
              <w:bottom w:val="single" w:color="auto" w:sz="4" w:space="0"/>
            </w:tcBorders>
            <w:vAlign w:val="center"/>
          </w:tcPr>
          <w:p>
            <w:pPr>
              <w:snapToGrid w:val="0"/>
              <w:jc w:val="center"/>
              <w:rPr>
                <w:szCs w:val="21"/>
              </w:rPr>
            </w:pPr>
            <w:r>
              <w:rPr>
                <w:rFonts w:hint="eastAsia"/>
                <w:szCs w:val="21"/>
              </w:rPr>
              <w:t>集气罩+布袋除尘+15m高排气筒</w:t>
            </w:r>
          </w:p>
        </w:tc>
        <w:tc>
          <w:tcPr>
            <w:tcW w:w="1977" w:type="dxa"/>
            <w:vMerge w:val="continue"/>
            <w:tcBorders>
              <w:right w:val="single" w:color="auto" w:sz="4" w:space="0"/>
            </w:tcBorders>
            <w:vAlign w:val="center"/>
          </w:tcPr>
          <w:p>
            <w:pPr>
              <w:widowControl/>
              <w:spacing w:line="0" w:lineRule="atLeast"/>
              <w:jc w:val="center"/>
              <w:textAlignment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4" w:space="0"/>
            </w:tcBorders>
            <w:vAlign w:val="center"/>
          </w:tcPr>
          <w:p>
            <w:pPr>
              <w:adjustRightInd w:val="0"/>
              <w:snapToGrid w:val="0"/>
              <w:jc w:val="center"/>
              <w:rPr>
                <w:szCs w:val="21"/>
              </w:rPr>
            </w:pPr>
          </w:p>
        </w:tc>
        <w:tc>
          <w:tcPr>
            <w:tcW w:w="1755" w:type="dxa"/>
            <w:tcBorders>
              <w:bottom w:val="single" w:color="auto" w:sz="4" w:space="0"/>
            </w:tcBorders>
            <w:vAlign w:val="center"/>
          </w:tcPr>
          <w:p>
            <w:pPr>
              <w:snapToGrid w:val="0"/>
              <w:jc w:val="center"/>
              <w:rPr>
                <w:bCs/>
                <w:szCs w:val="21"/>
              </w:rPr>
            </w:pPr>
            <w:r>
              <w:rPr>
                <w:rFonts w:hint="eastAsia"/>
                <w:bCs/>
                <w:szCs w:val="21"/>
              </w:rPr>
              <w:t>腻子粉打磨</w:t>
            </w:r>
          </w:p>
        </w:tc>
        <w:tc>
          <w:tcPr>
            <w:tcW w:w="1265" w:type="dxa"/>
            <w:tcBorders>
              <w:bottom w:val="single" w:color="auto" w:sz="4" w:space="0"/>
            </w:tcBorders>
            <w:vAlign w:val="center"/>
          </w:tcPr>
          <w:p>
            <w:pPr>
              <w:widowControl/>
              <w:spacing w:line="0" w:lineRule="atLeast"/>
              <w:jc w:val="center"/>
              <w:textAlignment w:val="center"/>
              <w:rPr>
                <w:szCs w:val="21"/>
              </w:rPr>
            </w:pPr>
            <w:r>
              <w:rPr>
                <w:rFonts w:hint="eastAsia"/>
                <w:szCs w:val="21"/>
              </w:rPr>
              <w:t>颗粒物</w:t>
            </w:r>
          </w:p>
        </w:tc>
        <w:tc>
          <w:tcPr>
            <w:tcW w:w="2025" w:type="dxa"/>
            <w:tcBorders>
              <w:bottom w:val="single" w:color="auto" w:sz="4" w:space="0"/>
            </w:tcBorders>
            <w:vAlign w:val="center"/>
          </w:tcPr>
          <w:p>
            <w:pPr>
              <w:snapToGrid w:val="0"/>
              <w:jc w:val="center"/>
              <w:rPr>
                <w:szCs w:val="21"/>
              </w:rPr>
            </w:pPr>
            <w:r>
              <w:rPr>
                <w:rFonts w:hint="eastAsia"/>
                <w:szCs w:val="21"/>
              </w:rPr>
              <w:t>集气罩+布袋除尘+15m高排气筒</w:t>
            </w:r>
          </w:p>
        </w:tc>
        <w:tc>
          <w:tcPr>
            <w:tcW w:w="1977" w:type="dxa"/>
            <w:vMerge w:val="continue"/>
            <w:tcBorders>
              <w:right w:val="single" w:color="auto" w:sz="4" w:space="0"/>
            </w:tcBorders>
            <w:vAlign w:val="center"/>
          </w:tcPr>
          <w:p>
            <w:pPr>
              <w:widowControl/>
              <w:spacing w:line="0" w:lineRule="atLeast"/>
              <w:jc w:val="center"/>
              <w:textAlignment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4" w:space="0"/>
              <w:bottom w:val="single" w:color="auto" w:sz="4" w:space="0"/>
            </w:tcBorders>
            <w:vAlign w:val="center"/>
          </w:tcPr>
          <w:p>
            <w:pPr>
              <w:adjustRightInd w:val="0"/>
              <w:snapToGrid w:val="0"/>
              <w:jc w:val="center"/>
              <w:rPr>
                <w:szCs w:val="21"/>
              </w:rPr>
            </w:pPr>
          </w:p>
        </w:tc>
        <w:tc>
          <w:tcPr>
            <w:tcW w:w="1755" w:type="dxa"/>
            <w:tcBorders>
              <w:bottom w:val="single" w:color="auto" w:sz="4" w:space="0"/>
            </w:tcBorders>
            <w:vAlign w:val="center"/>
          </w:tcPr>
          <w:p>
            <w:pPr>
              <w:snapToGrid w:val="0"/>
              <w:jc w:val="center"/>
              <w:rPr>
                <w:bCs/>
                <w:szCs w:val="21"/>
              </w:rPr>
            </w:pPr>
            <w:r>
              <w:rPr>
                <w:rFonts w:hint="eastAsia"/>
                <w:bCs/>
                <w:szCs w:val="21"/>
              </w:rPr>
              <w:t>喷漆、晾干</w:t>
            </w:r>
          </w:p>
        </w:tc>
        <w:tc>
          <w:tcPr>
            <w:tcW w:w="1265" w:type="dxa"/>
            <w:tcBorders>
              <w:bottom w:val="single" w:color="auto" w:sz="4" w:space="0"/>
            </w:tcBorders>
            <w:vAlign w:val="center"/>
          </w:tcPr>
          <w:p>
            <w:pPr>
              <w:widowControl/>
              <w:spacing w:line="0" w:lineRule="atLeast"/>
              <w:jc w:val="center"/>
              <w:textAlignment w:val="center"/>
              <w:rPr>
                <w:szCs w:val="21"/>
              </w:rPr>
            </w:pPr>
            <w:r>
              <w:rPr>
                <w:rFonts w:hint="eastAsia"/>
                <w:szCs w:val="21"/>
              </w:rPr>
              <w:t>非甲烷总烃、苯系物、颗粒物</w:t>
            </w:r>
          </w:p>
        </w:tc>
        <w:tc>
          <w:tcPr>
            <w:tcW w:w="2025" w:type="dxa"/>
            <w:tcBorders>
              <w:bottom w:val="single" w:color="auto" w:sz="4" w:space="0"/>
            </w:tcBorders>
            <w:vAlign w:val="center"/>
          </w:tcPr>
          <w:p>
            <w:pPr>
              <w:snapToGrid w:val="0"/>
              <w:jc w:val="center"/>
              <w:rPr>
                <w:bCs/>
                <w:szCs w:val="21"/>
              </w:rPr>
            </w:pPr>
            <w:r>
              <w:rPr>
                <w:rFonts w:hint="eastAsia"/>
                <w:bCs/>
                <w:szCs w:val="21"/>
              </w:rPr>
              <w:t>密闭作业空间、水帘柜+过滤棉+</w:t>
            </w:r>
            <w:r>
              <w:rPr>
                <w:rFonts w:hint="eastAsia"/>
                <w:color w:val="000000"/>
                <w:szCs w:val="21"/>
              </w:rPr>
              <w:t>旋转式分子筛吸附+脱附</w:t>
            </w:r>
            <w:r>
              <w:rPr>
                <w:rFonts w:hint="eastAsia"/>
                <w:bCs/>
                <w:szCs w:val="21"/>
              </w:rPr>
              <w:t>+RCO催化燃烧</w:t>
            </w:r>
          </w:p>
        </w:tc>
        <w:tc>
          <w:tcPr>
            <w:tcW w:w="1977" w:type="dxa"/>
            <w:vMerge w:val="continue"/>
            <w:tcBorders>
              <w:bottom w:val="single" w:color="auto" w:sz="4" w:space="0"/>
              <w:right w:val="single" w:color="auto" w:sz="4" w:space="0"/>
            </w:tcBorders>
            <w:vAlign w:val="center"/>
          </w:tcPr>
          <w:p>
            <w:pPr>
              <w:widowControl/>
              <w:spacing w:line="0" w:lineRule="atLeast"/>
              <w:jc w:val="center"/>
              <w:textAlignment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left w:val="single" w:color="auto" w:sz="4" w:space="0"/>
              <w:bottom w:val="single" w:color="auto" w:sz="4" w:space="0"/>
            </w:tcBorders>
            <w:vAlign w:val="center"/>
          </w:tcPr>
          <w:p>
            <w:pPr>
              <w:adjustRightInd w:val="0"/>
              <w:snapToGrid w:val="0"/>
              <w:jc w:val="center"/>
              <w:rPr>
                <w:szCs w:val="21"/>
              </w:rPr>
            </w:pPr>
          </w:p>
        </w:tc>
        <w:tc>
          <w:tcPr>
            <w:tcW w:w="1755" w:type="dxa"/>
            <w:tcBorders>
              <w:bottom w:val="single" w:color="auto" w:sz="4" w:space="0"/>
            </w:tcBorders>
            <w:vAlign w:val="center"/>
          </w:tcPr>
          <w:p>
            <w:pPr>
              <w:snapToGrid w:val="0"/>
              <w:jc w:val="center"/>
              <w:rPr>
                <w:rFonts w:hint="default" w:eastAsia="宋体"/>
                <w:bCs/>
                <w:szCs w:val="21"/>
                <w:lang w:val="en-US" w:eastAsia="zh-CN"/>
              </w:rPr>
            </w:pPr>
            <w:r>
              <w:rPr>
                <w:rFonts w:hint="eastAsia"/>
                <w:bCs/>
                <w:szCs w:val="21"/>
                <w:lang w:val="en-US" w:eastAsia="zh-CN"/>
              </w:rPr>
              <w:t>食堂油烟</w:t>
            </w:r>
          </w:p>
        </w:tc>
        <w:tc>
          <w:tcPr>
            <w:tcW w:w="1265" w:type="dxa"/>
            <w:tcBorders>
              <w:bottom w:val="single" w:color="auto" w:sz="4" w:space="0"/>
            </w:tcBorders>
            <w:vAlign w:val="center"/>
          </w:tcPr>
          <w:p>
            <w:pPr>
              <w:widowControl/>
              <w:spacing w:line="0" w:lineRule="atLeast"/>
              <w:jc w:val="center"/>
              <w:textAlignment w:val="center"/>
              <w:rPr>
                <w:rFonts w:hint="eastAsia" w:eastAsia="宋体"/>
                <w:szCs w:val="21"/>
                <w:lang w:val="en-US" w:eastAsia="zh-CN"/>
              </w:rPr>
            </w:pPr>
            <w:r>
              <w:rPr>
                <w:rFonts w:hint="eastAsia"/>
                <w:szCs w:val="21"/>
                <w:lang w:val="en-US" w:eastAsia="zh-CN"/>
              </w:rPr>
              <w:t>油烟</w:t>
            </w:r>
          </w:p>
        </w:tc>
        <w:tc>
          <w:tcPr>
            <w:tcW w:w="2025" w:type="dxa"/>
            <w:tcBorders>
              <w:bottom w:val="single" w:color="auto" w:sz="4" w:space="0"/>
            </w:tcBorders>
            <w:vAlign w:val="center"/>
          </w:tcPr>
          <w:p>
            <w:pPr>
              <w:widowControl/>
              <w:spacing w:line="0" w:lineRule="atLeast"/>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油烟净化器+高出屋顶排气筒</w:t>
            </w:r>
          </w:p>
        </w:tc>
        <w:tc>
          <w:tcPr>
            <w:tcW w:w="1977" w:type="dxa"/>
            <w:tcBorders>
              <w:bottom w:val="single" w:color="auto" w:sz="4" w:space="0"/>
              <w:right w:val="single" w:color="auto" w:sz="4" w:space="0"/>
            </w:tcBorders>
            <w:vAlign w:val="center"/>
          </w:tcPr>
          <w:p>
            <w:pPr>
              <w:widowControl/>
              <w:spacing w:line="0" w:lineRule="atLeast"/>
              <w:jc w:val="center"/>
              <w:textAlignment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《饮食业油烟排放标准》</w:t>
            </w:r>
            <w:r>
              <w:rPr>
                <w:rFonts w:hint="eastAsia" w:ascii="Times New Roman" w:hAnsi="Times New Roman" w:eastAsia="宋体" w:cs="Times New Roman"/>
                <w:szCs w:val="21"/>
                <w:lang w:val="en-US" w:eastAsia="zh-CN"/>
              </w:rPr>
              <w:t>（GB18483-2001）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778" w:type="dxa"/>
            <w:vMerge w:val="restart"/>
            <w:tcBorders>
              <w:top w:val="single" w:color="auto" w:sz="4" w:space="0"/>
              <w:left w:val="single" w:color="auto" w:sz="4" w:space="0"/>
            </w:tcBorders>
            <w:vAlign w:val="center"/>
          </w:tcPr>
          <w:p>
            <w:pPr>
              <w:adjustRightInd w:val="0"/>
              <w:snapToGrid w:val="0"/>
              <w:jc w:val="center"/>
              <w:rPr>
                <w:szCs w:val="21"/>
              </w:rPr>
            </w:pPr>
            <w:r>
              <w:rPr>
                <w:szCs w:val="21"/>
              </w:rPr>
              <w:t>地表水环境</w:t>
            </w:r>
          </w:p>
        </w:tc>
        <w:tc>
          <w:tcPr>
            <w:tcW w:w="1755" w:type="dxa"/>
            <w:tcBorders>
              <w:top w:val="single" w:color="auto" w:sz="4" w:space="0"/>
            </w:tcBorders>
            <w:vAlign w:val="center"/>
          </w:tcPr>
          <w:p>
            <w:pPr>
              <w:adjustRightInd w:val="0"/>
              <w:snapToGrid w:val="0"/>
              <w:jc w:val="center"/>
              <w:rPr>
                <w:szCs w:val="21"/>
              </w:rPr>
            </w:pPr>
            <w:r>
              <w:rPr>
                <w:szCs w:val="21"/>
              </w:rPr>
              <w:t>DW00</w:t>
            </w:r>
            <w:r>
              <w:rPr>
                <w:rFonts w:hint="eastAsia"/>
                <w:szCs w:val="21"/>
              </w:rPr>
              <w:t>1</w:t>
            </w:r>
            <w:r>
              <w:rPr>
                <w:szCs w:val="21"/>
              </w:rPr>
              <w:t>（</w:t>
            </w:r>
            <w:r>
              <w:rPr>
                <w:rFonts w:hint="eastAsia"/>
                <w:szCs w:val="21"/>
              </w:rPr>
              <w:t>生活污水</w:t>
            </w:r>
            <w:r>
              <w:rPr>
                <w:szCs w:val="21"/>
              </w:rPr>
              <w:t>排口）</w:t>
            </w:r>
          </w:p>
        </w:tc>
        <w:tc>
          <w:tcPr>
            <w:tcW w:w="1265" w:type="dxa"/>
            <w:tcBorders>
              <w:top w:val="single" w:color="auto" w:sz="4" w:space="0"/>
            </w:tcBorders>
            <w:vAlign w:val="center"/>
          </w:tcPr>
          <w:p>
            <w:pPr>
              <w:adjustRightInd w:val="0"/>
              <w:snapToGrid w:val="0"/>
              <w:jc w:val="center"/>
              <w:rPr>
                <w:szCs w:val="21"/>
              </w:rPr>
            </w:pPr>
            <w:r>
              <w:rPr>
                <w:rFonts w:hint="eastAsia"/>
                <w:szCs w:val="21"/>
              </w:rPr>
              <w:t>COD、氨氮、SS、总磷、总氮、BOD</w:t>
            </w:r>
            <w:r>
              <w:rPr>
                <w:rFonts w:hint="eastAsia"/>
                <w:szCs w:val="21"/>
                <w:vertAlign w:val="subscript"/>
              </w:rPr>
              <w:t>5</w:t>
            </w:r>
            <w:r>
              <w:rPr>
                <w:rFonts w:hint="eastAsia"/>
                <w:szCs w:val="21"/>
              </w:rPr>
              <w:t>、动植物油、pH</w:t>
            </w:r>
          </w:p>
        </w:tc>
        <w:tc>
          <w:tcPr>
            <w:tcW w:w="2025" w:type="dxa"/>
            <w:tcBorders>
              <w:top w:val="single" w:color="auto" w:sz="4" w:space="0"/>
              <w:bottom w:val="single" w:color="auto" w:sz="4" w:space="0"/>
            </w:tcBorders>
            <w:vAlign w:val="center"/>
          </w:tcPr>
          <w:p>
            <w:pPr>
              <w:adjustRightInd w:val="0"/>
              <w:snapToGrid w:val="0"/>
              <w:jc w:val="center"/>
              <w:rPr>
                <w:szCs w:val="21"/>
              </w:rPr>
            </w:pPr>
            <w:r>
              <w:rPr>
                <w:rFonts w:hint="eastAsia"/>
                <w:szCs w:val="21"/>
              </w:rPr>
              <w:t>三级化粪池</w:t>
            </w:r>
            <w:r>
              <w:rPr>
                <w:rFonts w:hint="eastAsia"/>
                <w:lang w:eastAsia="zh-CN"/>
              </w:rPr>
              <w:t>（</w:t>
            </w:r>
            <w:r>
              <w:rPr>
                <w:rFonts w:hint="eastAsia"/>
                <w:lang w:val="en-US" w:eastAsia="zh-CN"/>
              </w:rPr>
              <w:t>食堂污水先经隔油池处理</w:t>
            </w:r>
            <w:r>
              <w:rPr>
                <w:rFonts w:hint="eastAsia"/>
                <w:lang w:eastAsia="zh-CN"/>
              </w:rPr>
              <w:t>）</w:t>
            </w:r>
          </w:p>
        </w:tc>
        <w:tc>
          <w:tcPr>
            <w:tcW w:w="1977" w:type="dxa"/>
            <w:tcBorders>
              <w:top w:val="single" w:color="auto" w:sz="4" w:space="0"/>
              <w:bottom w:val="single" w:color="auto" w:sz="4" w:space="0"/>
              <w:right w:val="single" w:color="auto" w:sz="4" w:space="0"/>
            </w:tcBorders>
            <w:vAlign w:val="center"/>
          </w:tcPr>
          <w:p>
            <w:pPr>
              <w:adjustRightInd w:val="0"/>
              <w:snapToGrid w:val="0"/>
              <w:jc w:val="center"/>
              <w:rPr>
                <w:szCs w:val="21"/>
              </w:rPr>
            </w:pPr>
            <w:r>
              <w:rPr>
                <w:rFonts w:hint="eastAsia"/>
              </w:rPr>
              <w:t>《污水综合排放标准》（GB8978-1996）中三级标准及湘阴县第二污水处理厂进水水质要求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778" w:type="dxa"/>
            <w:vMerge w:val="continue"/>
            <w:tcBorders>
              <w:left w:val="single" w:color="auto" w:sz="4" w:space="0"/>
              <w:bottom w:val="single" w:color="auto" w:sz="4" w:space="0"/>
            </w:tcBorders>
            <w:vAlign w:val="center"/>
          </w:tcPr>
          <w:p>
            <w:pPr>
              <w:adjustRightInd w:val="0"/>
              <w:snapToGrid w:val="0"/>
              <w:jc w:val="center"/>
              <w:rPr>
                <w:szCs w:val="21"/>
              </w:rPr>
            </w:pPr>
          </w:p>
        </w:tc>
        <w:tc>
          <w:tcPr>
            <w:tcW w:w="1755" w:type="dxa"/>
            <w:tcBorders>
              <w:top w:val="single" w:color="auto" w:sz="4" w:space="0"/>
            </w:tcBorders>
            <w:vAlign w:val="center"/>
          </w:tcPr>
          <w:p>
            <w:pPr>
              <w:adjustRightInd w:val="0"/>
              <w:snapToGrid w:val="0"/>
              <w:jc w:val="center"/>
              <w:rPr>
                <w:szCs w:val="21"/>
              </w:rPr>
            </w:pPr>
            <w:r>
              <w:rPr>
                <w:rFonts w:hint="eastAsia"/>
                <w:szCs w:val="21"/>
              </w:rPr>
              <w:t>生产废水</w:t>
            </w:r>
          </w:p>
        </w:tc>
        <w:tc>
          <w:tcPr>
            <w:tcW w:w="1265" w:type="dxa"/>
            <w:tcBorders>
              <w:top w:val="single" w:color="auto" w:sz="4" w:space="0"/>
            </w:tcBorders>
            <w:vAlign w:val="center"/>
          </w:tcPr>
          <w:p>
            <w:pPr>
              <w:adjustRightInd w:val="0"/>
              <w:snapToGrid w:val="0"/>
              <w:jc w:val="center"/>
              <w:rPr>
                <w:szCs w:val="21"/>
              </w:rPr>
            </w:pPr>
            <w:r>
              <w:rPr>
                <w:rFonts w:hint="eastAsia"/>
                <w:szCs w:val="21"/>
              </w:rPr>
              <w:t>COD、SS</w:t>
            </w:r>
          </w:p>
        </w:tc>
        <w:tc>
          <w:tcPr>
            <w:tcW w:w="2025" w:type="dxa"/>
            <w:tcBorders>
              <w:top w:val="single" w:color="auto" w:sz="4" w:space="0"/>
              <w:bottom w:val="single" w:color="auto" w:sz="4" w:space="0"/>
            </w:tcBorders>
            <w:vAlign w:val="center"/>
          </w:tcPr>
          <w:p>
            <w:pPr>
              <w:adjustRightInd w:val="0"/>
              <w:snapToGrid w:val="0"/>
              <w:jc w:val="center"/>
              <w:rPr>
                <w:szCs w:val="21"/>
              </w:rPr>
            </w:pPr>
            <w:r>
              <w:rPr>
                <w:rFonts w:hint="eastAsia"/>
                <w:szCs w:val="21"/>
              </w:rPr>
              <w:t>沉淀池</w:t>
            </w:r>
          </w:p>
        </w:tc>
        <w:tc>
          <w:tcPr>
            <w:tcW w:w="1977" w:type="dxa"/>
            <w:tcBorders>
              <w:top w:val="single" w:color="auto" w:sz="4" w:space="0"/>
              <w:bottom w:val="single" w:color="auto" w:sz="4" w:space="0"/>
              <w:right w:val="single" w:color="auto" w:sz="4" w:space="0"/>
            </w:tcBorders>
            <w:vAlign w:val="center"/>
          </w:tcPr>
          <w:p>
            <w:pPr>
              <w:adjustRightInd w:val="0"/>
              <w:snapToGrid w:val="0"/>
              <w:jc w:val="center"/>
            </w:pPr>
            <w:r>
              <w:rPr>
                <w:rFonts w:hint="eastAsia"/>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op w:val="single" w:color="auto" w:sz="4" w:space="0"/>
              <w:left w:val="single" w:color="auto" w:sz="4" w:space="0"/>
            </w:tcBorders>
            <w:vAlign w:val="center"/>
          </w:tcPr>
          <w:p>
            <w:pPr>
              <w:adjustRightInd w:val="0"/>
              <w:snapToGrid w:val="0"/>
              <w:jc w:val="center"/>
              <w:rPr>
                <w:szCs w:val="21"/>
              </w:rPr>
            </w:pPr>
            <w:r>
              <w:rPr>
                <w:szCs w:val="21"/>
              </w:rPr>
              <w:t>声环境</w:t>
            </w:r>
          </w:p>
        </w:tc>
        <w:tc>
          <w:tcPr>
            <w:tcW w:w="1755" w:type="dxa"/>
            <w:tcBorders>
              <w:top w:val="single" w:color="auto" w:sz="4" w:space="0"/>
            </w:tcBorders>
            <w:vAlign w:val="center"/>
          </w:tcPr>
          <w:p>
            <w:pPr>
              <w:adjustRightInd w:val="0"/>
              <w:snapToGrid w:val="0"/>
              <w:jc w:val="center"/>
              <w:rPr>
                <w:szCs w:val="21"/>
              </w:rPr>
            </w:pPr>
            <w:r>
              <w:rPr>
                <w:rFonts w:hint="eastAsia"/>
                <w:szCs w:val="21"/>
              </w:rPr>
              <w:t>各类</w:t>
            </w:r>
            <w:r>
              <w:rPr>
                <w:szCs w:val="21"/>
              </w:rPr>
              <w:t>设备</w:t>
            </w:r>
          </w:p>
        </w:tc>
        <w:tc>
          <w:tcPr>
            <w:tcW w:w="1265" w:type="dxa"/>
            <w:tcBorders>
              <w:top w:val="single" w:color="auto" w:sz="4" w:space="0"/>
            </w:tcBorders>
            <w:vAlign w:val="center"/>
          </w:tcPr>
          <w:p>
            <w:pPr>
              <w:adjustRightInd w:val="0"/>
              <w:snapToGrid w:val="0"/>
              <w:jc w:val="center"/>
              <w:rPr>
                <w:szCs w:val="21"/>
              </w:rPr>
            </w:pPr>
            <w:r>
              <w:rPr>
                <w:szCs w:val="21"/>
              </w:rPr>
              <w:t>噪声</w:t>
            </w:r>
          </w:p>
        </w:tc>
        <w:tc>
          <w:tcPr>
            <w:tcW w:w="2025" w:type="dxa"/>
            <w:tcBorders>
              <w:top w:val="single" w:color="auto" w:sz="4" w:space="0"/>
            </w:tcBorders>
            <w:vAlign w:val="center"/>
          </w:tcPr>
          <w:p>
            <w:pPr>
              <w:adjustRightInd w:val="0"/>
              <w:snapToGrid w:val="0"/>
              <w:jc w:val="center"/>
              <w:rPr>
                <w:szCs w:val="21"/>
              </w:rPr>
            </w:pPr>
            <w:r>
              <w:rPr>
                <w:rFonts w:hint="eastAsia"/>
                <w:szCs w:val="21"/>
              </w:rPr>
              <w:t>采购低噪声设备、厂房隔声、减震等</w:t>
            </w:r>
            <w:r>
              <w:rPr>
                <w:szCs w:val="21"/>
              </w:rPr>
              <w:t>降噪措施</w:t>
            </w:r>
          </w:p>
        </w:tc>
        <w:tc>
          <w:tcPr>
            <w:tcW w:w="1977" w:type="dxa"/>
            <w:tcBorders>
              <w:top w:val="single" w:color="auto" w:sz="4" w:space="0"/>
              <w:right w:val="single" w:color="auto" w:sz="4" w:space="0"/>
            </w:tcBorders>
            <w:vAlign w:val="center"/>
          </w:tcPr>
          <w:p>
            <w:pPr>
              <w:adjustRightInd w:val="0"/>
              <w:snapToGrid w:val="0"/>
              <w:jc w:val="center"/>
              <w:rPr>
                <w:szCs w:val="21"/>
              </w:rPr>
            </w:pPr>
            <w:r>
              <w:rPr>
                <w:szCs w:val="21"/>
              </w:rPr>
              <w:t>《工业企业厂界环境噪声排放标准》（GB12348-2008）表1中3类标准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szCs w:val="21"/>
              </w:rPr>
            </w:pPr>
            <w:r>
              <w:rPr>
                <w:szCs w:val="21"/>
              </w:rPr>
              <w:t>电磁辐射</w:t>
            </w:r>
          </w:p>
        </w:tc>
        <w:tc>
          <w:tcPr>
            <w:tcW w:w="1755" w:type="dxa"/>
            <w:vAlign w:val="center"/>
          </w:tcPr>
          <w:p>
            <w:pPr>
              <w:adjustRightInd w:val="0"/>
              <w:snapToGrid w:val="0"/>
              <w:jc w:val="center"/>
              <w:rPr>
                <w:szCs w:val="21"/>
              </w:rPr>
            </w:pPr>
            <w:r>
              <w:rPr>
                <w:szCs w:val="21"/>
              </w:rPr>
              <w:t>/</w:t>
            </w:r>
          </w:p>
        </w:tc>
        <w:tc>
          <w:tcPr>
            <w:tcW w:w="1265" w:type="dxa"/>
            <w:vAlign w:val="center"/>
          </w:tcPr>
          <w:p>
            <w:pPr>
              <w:adjustRightInd w:val="0"/>
              <w:snapToGrid w:val="0"/>
              <w:jc w:val="center"/>
              <w:rPr>
                <w:szCs w:val="21"/>
              </w:rPr>
            </w:pPr>
            <w:r>
              <w:rPr>
                <w:szCs w:val="21"/>
              </w:rPr>
              <w:t>/</w:t>
            </w:r>
          </w:p>
        </w:tc>
        <w:tc>
          <w:tcPr>
            <w:tcW w:w="2025" w:type="dxa"/>
            <w:vAlign w:val="center"/>
          </w:tcPr>
          <w:p>
            <w:pPr>
              <w:adjustRightInd w:val="0"/>
              <w:snapToGrid w:val="0"/>
              <w:jc w:val="center"/>
              <w:rPr>
                <w:szCs w:val="21"/>
              </w:rPr>
            </w:pPr>
            <w:r>
              <w:rPr>
                <w:szCs w:val="21"/>
              </w:rPr>
              <w:t>/</w:t>
            </w:r>
          </w:p>
        </w:tc>
        <w:tc>
          <w:tcPr>
            <w:tcW w:w="1977" w:type="dxa"/>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spacing w:line="360" w:lineRule="exact"/>
              <w:jc w:val="center"/>
              <w:rPr>
                <w:szCs w:val="21"/>
              </w:rPr>
            </w:pPr>
            <w:r>
              <w:rPr>
                <w:szCs w:val="21"/>
              </w:rPr>
              <w:t>固体废物</w:t>
            </w:r>
          </w:p>
        </w:tc>
        <w:tc>
          <w:tcPr>
            <w:tcW w:w="7022" w:type="dxa"/>
            <w:gridSpan w:val="4"/>
            <w:vAlign w:val="center"/>
          </w:tcPr>
          <w:p>
            <w:pPr>
              <w:spacing w:line="360" w:lineRule="exact"/>
              <w:ind w:firstLine="420" w:firstLineChars="200"/>
              <w:rPr>
                <w:szCs w:val="21"/>
              </w:rPr>
            </w:pPr>
            <w:r>
              <w:rPr>
                <w:rFonts w:hint="eastAsia"/>
                <w:szCs w:val="21"/>
              </w:rPr>
              <w:t>（1）</w:t>
            </w:r>
            <w:r>
              <w:rPr>
                <w:szCs w:val="21"/>
              </w:rPr>
              <w:t>项目产生的各类固体废物分类收集并处置。一般工业固废设一处一般固废暂存间，一般固废收集后外售处置</w:t>
            </w:r>
            <w:r>
              <w:rPr>
                <w:rFonts w:hint="eastAsia"/>
                <w:szCs w:val="21"/>
              </w:rPr>
              <w:t>或者回收综合利用</w:t>
            </w:r>
            <w:r>
              <w:rPr>
                <w:szCs w:val="21"/>
              </w:rPr>
              <w:t>，可做</w:t>
            </w:r>
            <w:r>
              <w:rPr>
                <w:rFonts w:hint="eastAsia" w:ascii="宋体" w:hAnsi="宋体" w:cs="宋体"/>
                <w:szCs w:val="21"/>
              </w:rPr>
              <w:t>到“防扬散、防流失、防渗漏”</w:t>
            </w:r>
            <w:r>
              <w:rPr>
                <w:szCs w:val="21"/>
              </w:rPr>
              <w:t>，符合</w:t>
            </w:r>
            <w:r>
              <w:rPr>
                <w:kern w:val="0"/>
                <w:szCs w:val="21"/>
              </w:rPr>
              <w:t>《一般工业固废废物贮存和填埋污染控制标准》（GB18599-2020）</w:t>
            </w:r>
            <w:r>
              <w:rPr>
                <w:szCs w:val="21"/>
              </w:rPr>
              <w:t>的要求，固废全部合理处置。</w:t>
            </w:r>
          </w:p>
          <w:p>
            <w:pPr>
              <w:spacing w:line="360" w:lineRule="exact"/>
              <w:ind w:firstLine="420" w:firstLineChars="200"/>
              <w:jc w:val="left"/>
            </w:pPr>
            <w:r>
              <w:rPr>
                <w:szCs w:val="21"/>
              </w:rPr>
              <w:t>（</w:t>
            </w:r>
            <w:r>
              <w:rPr>
                <w:rFonts w:hint="eastAsia"/>
                <w:szCs w:val="21"/>
              </w:rPr>
              <w:t>2</w:t>
            </w:r>
            <w:r>
              <w:rPr>
                <w:szCs w:val="21"/>
              </w:rPr>
              <w:t>）厂内设置一定数量的垃圾桶，对生活垃圾进行分类收集；生活垃圾委托环卫部门进行统一清运处置，同时做到日产日清。</w:t>
            </w:r>
          </w:p>
          <w:p>
            <w:pPr>
              <w:spacing w:line="360" w:lineRule="exact"/>
              <w:ind w:firstLine="420" w:firstLineChars="200"/>
              <w:jc w:val="left"/>
            </w:pPr>
            <w:r>
              <w:rPr>
                <w:rFonts w:hint="eastAsia"/>
              </w:rPr>
              <w:t>（3）危险废物集中收集暂存危废间，定期交由有资质单位处理。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778" w:type="dxa"/>
            <w:vAlign w:val="center"/>
          </w:tcPr>
          <w:p>
            <w:pPr>
              <w:adjustRightInd w:val="0"/>
              <w:snapToGrid w:val="0"/>
              <w:spacing w:line="360" w:lineRule="exact"/>
              <w:jc w:val="center"/>
              <w:rPr>
                <w:szCs w:val="21"/>
              </w:rPr>
            </w:pPr>
            <w:r>
              <w:rPr>
                <w:szCs w:val="21"/>
              </w:rPr>
              <w:t>土壤及地下水污染防治措施</w:t>
            </w:r>
          </w:p>
        </w:tc>
        <w:tc>
          <w:tcPr>
            <w:tcW w:w="7022" w:type="dxa"/>
            <w:gridSpan w:val="4"/>
            <w:vAlign w:val="center"/>
          </w:tcPr>
          <w:p>
            <w:pPr>
              <w:adjustRightInd w:val="0"/>
              <w:snapToGrid w:val="0"/>
              <w:spacing w:line="360" w:lineRule="exact"/>
              <w:ind w:firstLine="420" w:firstLineChars="200"/>
              <w:jc w:val="left"/>
              <w:rPr>
                <w:szCs w:val="21"/>
              </w:rPr>
            </w:pPr>
            <w:r>
              <w:rPr>
                <w:rFonts w:hint="eastAsia"/>
              </w:rPr>
              <w:t>化粪池、危废间、油品间、加工车间等做好防渗防漏措施。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778" w:type="dxa"/>
            <w:vAlign w:val="center"/>
          </w:tcPr>
          <w:p>
            <w:pPr>
              <w:adjustRightInd w:val="0"/>
              <w:snapToGrid w:val="0"/>
              <w:spacing w:line="360" w:lineRule="exact"/>
              <w:jc w:val="center"/>
              <w:rPr>
                <w:szCs w:val="21"/>
              </w:rPr>
            </w:pPr>
            <w:r>
              <w:rPr>
                <w:szCs w:val="21"/>
              </w:rPr>
              <w:t>生态保护措施</w:t>
            </w:r>
          </w:p>
        </w:tc>
        <w:tc>
          <w:tcPr>
            <w:tcW w:w="7022" w:type="dxa"/>
            <w:gridSpan w:val="4"/>
            <w:vAlign w:val="center"/>
          </w:tcPr>
          <w:p>
            <w:pPr>
              <w:adjustRightInd w:val="0"/>
              <w:snapToGrid w:val="0"/>
              <w:spacing w:line="360" w:lineRule="exact"/>
              <w:ind w:firstLine="420" w:firstLineChars="200"/>
              <w:jc w:val="left"/>
              <w:rPr>
                <w:szCs w:val="21"/>
              </w:rPr>
            </w:pPr>
            <w:r>
              <w:rPr>
                <w:szCs w:val="21"/>
              </w:rPr>
              <w:t>项目所在地周围没有需要特殊保护的生态环境，本项目的建设不会对周边生态环境造成明显不利影响</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778" w:type="dxa"/>
            <w:vAlign w:val="center"/>
          </w:tcPr>
          <w:p>
            <w:pPr>
              <w:adjustRightInd w:val="0"/>
              <w:snapToGrid w:val="0"/>
              <w:spacing w:line="360" w:lineRule="exact"/>
              <w:jc w:val="center"/>
              <w:rPr>
                <w:spacing w:val="-8"/>
                <w:szCs w:val="21"/>
              </w:rPr>
            </w:pPr>
            <w:r>
              <w:rPr>
                <w:spacing w:val="-8"/>
                <w:szCs w:val="21"/>
              </w:rPr>
              <w:t>环境风险防范措施</w:t>
            </w:r>
          </w:p>
        </w:tc>
        <w:tc>
          <w:tcPr>
            <w:tcW w:w="7022" w:type="dxa"/>
            <w:gridSpan w:val="4"/>
            <w:vAlign w:val="center"/>
          </w:tcPr>
          <w:p>
            <w:pPr>
              <w:adjustRightInd w:val="0"/>
              <w:snapToGrid w:val="0"/>
              <w:spacing w:line="360" w:lineRule="exact"/>
              <w:ind w:firstLine="412" w:firstLineChars="200"/>
              <w:jc w:val="left"/>
              <w:rPr>
                <w:szCs w:val="21"/>
              </w:rPr>
            </w:pPr>
            <w:r>
              <w:rPr>
                <w:spacing w:val="-2"/>
                <w:szCs w:val="21"/>
              </w:rPr>
              <w:t>①严格按照本环评的要求，落实相关的环境风险设施及设备；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spacing w:line="360" w:lineRule="exact"/>
              <w:jc w:val="center"/>
              <w:rPr>
                <w:spacing w:val="-8"/>
                <w:szCs w:val="21"/>
              </w:rPr>
            </w:pPr>
            <w:r>
              <w:rPr>
                <w:spacing w:val="-8"/>
                <w:szCs w:val="21"/>
              </w:rPr>
              <w:t>其他环境</w:t>
            </w:r>
          </w:p>
          <w:p>
            <w:pPr>
              <w:adjustRightInd w:val="0"/>
              <w:snapToGrid w:val="0"/>
              <w:spacing w:line="360" w:lineRule="exact"/>
              <w:jc w:val="center"/>
              <w:rPr>
                <w:spacing w:val="-8"/>
                <w:szCs w:val="21"/>
              </w:rPr>
            </w:pPr>
            <w:r>
              <w:rPr>
                <w:spacing w:val="-8"/>
                <w:szCs w:val="21"/>
              </w:rPr>
              <w:t>管理要求</w:t>
            </w:r>
          </w:p>
        </w:tc>
        <w:tc>
          <w:tcPr>
            <w:tcW w:w="7022" w:type="dxa"/>
            <w:gridSpan w:val="4"/>
            <w:vAlign w:val="center"/>
          </w:tcPr>
          <w:p>
            <w:pPr>
              <w:adjustRightInd w:val="0"/>
              <w:snapToGrid w:val="0"/>
              <w:spacing w:line="360" w:lineRule="exact"/>
              <w:ind w:firstLine="420" w:firstLineChars="200"/>
              <w:jc w:val="left"/>
              <w:rPr>
                <w:szCs w:val="21"/>
              </w:rPr>
            </w:pPr>
            <w:r>
              <w:rPr>
                <w:rFonts w:hint="eastAsia"/>
                <w:szCs w:val="21"/>
              </w:rPr>
              <w:t>1.本项目竣工后，需根据《排污许可管理条例》及相关规范的要求，及时进行项目排污许可证的申领，同时应落实废气、废水、噪声制定的监测计划，环境管理制度等；</w:t>
            </w:r>
          </w:p>
          <w:p>
            <w:pPr>
              <w:adjustRightInd w:val="0"/>
              <w:snapToGrid w:val="0"/>
              <w:spacing w:line="360" w:lineRule="exact"/>
              <w:ind w:firstLine="420" w:firstLineChars="200"/>
              <w:jc w:val="left"/>
              <w:rPr>
                <w:szCs w:val="21"/>
              </w:rPr>
            </w:pPr>
            <w:r>
              <w:rPr>
                <w:rFonts w:hint="eastAsia"/>
                <w:szCs w:val="21"/>
              </w:rPr>
              <w:t>2.根据国家及省市环境管理部门有关文件精神，项目废气排放口、噪声排放源及固废贮存场所必须实施规范化整治，该项工作是实施污染物总量控制计划的基础工作之一。排污口规范化整治技术要求如下：</w:t>
            </w:r>
          </w:p>
          <w:p>
            <w:pPr>
              <w:adjustRightInd w:val="0"/>
              <w:snapToGrid w:val="0"/>
              <w:spacing w:line="360" w:lineRule="exact"/>
              <w:ind w:firstLine="420" w:firstLineChars="200"/>
              <w:jc w:val="left"/>
              <w:rPr>
                <w:szCs w:val="21"/>
              </w:rPr>
            </w:pPr>
            <w:r>
              <w:rPr>
                <w:rFonts w:hint="eastAsia"/>
                <w:szCs w:val="21"/>
              </w:rPr>
              <w:t>①合理设置排污口位置，排污口应按规范设计，并按《污染源监测技术规范》设置采样点，以便环保部门监督管理；</w:t>
            </w:r>
          </w:p>
          <w:p>
            <w:pPr>
              <w:adjustRightInd w:val="0"/>
              <w:snapToGrid w:val="0"/>
              <w:spacing w:line="360" w:lineRule="exact"/>
              <w:ind w:firstLine="420" w:firstLineChars="200"/>
              <w:jc w:val="left"/>
              <w:rPr>
                <w:szCs w:val="21"/>
              </w:rPr>
            </w:pPr>
            <w:r>
              <w:rPr>
                <w:rFonts w:hint="eastAsia"/>
                <w:szCs w:val="21"/>
              </w:rPr>
              <w:t>②按照《环境保护图形标志》(GB15562.1-1995)及(GB15562.2-1995)的规定，规范化整治的排污口应设置相应的环境图形标志；</w:t>
            </w:r>
          </w:p>
          <w:p>
            <w:pPr>
              <w:adjustRightInd w:val="0"/>
              <w:snapToGrid w:val="0"/>
              <w:spacing w:line="360" w:lineRule="exact"/>
              <w:ind w:firstLine="420" w:firstLineChars="200"/>
              <w:jc w:val="left"/>
              <w:rPr>
                <w:szCs w:val="21"/>
              </w:rPr>
            </w:pPr>
            <w:r>
              <w:rPr>
                <w:rFonts w:hint="eastAsia"/>
                <w:szCs w:val="21"/>
              </w:rPr>
              <w:t>③按照要求填写由国家环境保护总局（现已更名“中华人民共和国生态环境部”）统一印制的《中华人民共和国规范化排污口标志登记证》；</w:t>
            </w:r>
          </w:p>
          <w:p>
            <w:pPr>
              <w:adjustRightInd w:val="0"/>
              <w:snapToGrid w:val="0"/>
              <w:spacing w:line="360" w:lineRule="exact"/>
              <w:ind w:firstLine="420" w:firstLineChars="200"/>
              <w:jc w:val="left"/>
              <w:rPr>
                <w:szCs w:val="21"/>
              </w:rPr>
            </w:pPr>
            <w:r>
              <w:rPr>
                <w:rFonts w:hint="eastAsia"/>
                <w:szCs w:val="21"/>
              </w:rPr>
              <w:t>④规范化整治的排污口有关设施属环境保护设施，应将其纳入本单位设备管理，并选派具有专业知识的专职或兼职人员对排污口进行管理。</w:t>
            </w:r>
          </w:p>
          <w:p>
            <w:pPr>
              <w:adjustRightInd w:val="0"/>
              <w:snapToGrid w:val="0"/>
              <w:spacing w:line="360" w:lineRule="exact"/>
              <w:ind w:firstLine="420" w:firstLineChars="200"/>
              <w:jc w:val="left"/>
              <w:rPr>
                <w:szCs w:val="21"/>
              </w:rPr>
            </w:pPr>
            <w:r>
              <w:rPr>
                <w:szCs w:val="21"/>
              </w:rPr>
              <w:t>本项目环境保护图形符号见表5-</w:t>
            </w:r>
            <w:r>
              <w:rPr>
                <w:rFonts w:hint="eastAsia"/>
                <w:szCs w:val="21"/>
              </w:rPr>
              <w:t>1</w:t>
            </w:r>
            <w:r>
              <w:rPr>
                <w:szCs w:val="21"/>
              </w:rPr>
              <w:t>。</w:t>
            </w:r>
          </w:p>
          <w:p>
            <w:pPr>
              <w:widowControl/>
              <w:jc w:val="center"/>
              <w:rPr>
                <w:rFonts w:cs="宋体"/>
                <w:b/>
                <w:bCs/>
                <w:kern w:val="0"/>
                <w:szCs w:val="20"/>
                <w:lang w:bidi="ar"/>
              </w:rPr>
            </w:pPr>
            <w:r>
              <w:rPr>
                <w:rFonts w:cs="宋体"/>
                <w:b/>
                <w:bCs/>
                <w:kern w:val="0"/>
                <w:szCs w:val="20"/>
                <w:lang w:bidi="ar"/>
              </w:rPr>
              <w:t>表5-</w:t>
            </w:r>
            <w:r>
              <w:rPr>
                <w:rFonts w:hint="eastAsia" w:cs="宋体"/>
                <w:b/>
                <w:bCs/>
                <w:kern w:val="0"/>
                <w:szCs w:val="20"/>
                <w:lang w:bidi="ar"/>
              </w:rPr>
              <w:t>1</w:t>
            </w:r>
            <w:r>
              <w:rPr>
                <w:rFonts w:cs="宋体"/>
                <w:b/>
                <w:bCs/>
                <w:kern w:val="0"/>
                <w:szCs w:val="20"/>
                <w:lang w:bidi="ar"/>
              </w:rPr>
              <w:t xml:space="preserve">  环境保护图形符号一览表</w:t>
            </w:r>
          </w:p>
          <w:tbl>
            <w:tblPr>
              <w:tblStyle w:val="32"/>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510"/>
              <w:gridCol w:w="1679"/>
              <w:gridCol w:w="1229"/>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tcBorders>
                    <w:tl2br w:val="nil"/>
                    <w:tr2bl w:val="nil"/>
                  </w:tcBorders>
                  <w:vAlign w:val="center"/>
                </w:tcPr>
                <w:p>
                  <w:pPr>
                    <w:adjustRightInd w:val="0"/>
                    <w:snapToGrid w:val="0"/>
                    <w:jc w:val="center"/>
                    <w:rPr>
                      <w:sz w:val="18"/>
                      <w:szCs w:val="18"/>
                    </w:rPr>
                  </w:pPr>
                  <w:r>
                    <w:rPr>
                      <w:sz w:val="18"/>
                      <w:szCs w:val="18"/>
                    </w:rPr>
                    <w:t>序号</w:t>
                  </w:r>
                </w:p>
              </w:tc>
              <w:tc>
                <w:tcPr>
                  <w:tcW w:w="1111" w:type="pct"/>
                  <w:tcBorders>
                    <w:tl2br w:val="nil"/>
                    <w:tr2bl w:val="nil"/>
                  </w:tcBorders>
                  <w:vAlign w:val="center"/>
                </w:tcPr>
                <w:p>
                  <w:pPr>
                    <w:adjustRightInd w:val="0"/>
                    <w:snapToGrid w:val="0"/>
                    <w:jc w:val="center"/>
                    <w:rPr>
                      <w:sz w:val="18"/>
                      <w:szCs w:val="18"/>
                    </w:rPr>
                  </w:pPr>
                  <w:r>
                    <w:rPr>
                      <w:sz w:val="18"/>
                      <w:szCs w:val="18"/>
                    </w:rPr>
                    <w:t>提示图形符号</w:t>
                  </w:r>
                </w:p>
              </w:tc>
              <w:tc>
                <w:tcPr>
                  <w:tcW w:w="1236" w:type="pct"/>
                  <w:tcBorders>
                    <w:tl2br w:val="nil"/>
                    <w:tr2bl w:val="nil"/>
                  </w:tcBorders>
                  <w:vAlign w:val="center"/>
                </w:tcPr>
                <w:p>
                  <w:pPr>
                    <w:adjustRightInd w:val="0"/>
                    <w:snapToGrid w:val="0"/>
                    <w:jc w:val="center"/>
                    <w:rPr>
                      <w:sz w:val="18"/>
                      <w:szCs w:val="18"/>
                    </w:rPr>
                  </w:pPr>
                  <w:r>
                    <w:rPr>
                      <w:sz w:val="18"/>
                      <w:szCs w:val="18"/>
                    </w:rPr>
                    <w:t>警告图形符号</w:t>
                  </w:r>
                </w:p>
              </w:tc>
              <w:tc>
                <w:tcPr>
                  <w:tcW w:w="905" w:type="pct"/>
                  <w:tcBorders>
                    <w:tl2br w:val="nil"/>
                    <w:tr2bl w:val="nil"/>
                  </w:tcBorders>
                  <w:vAlign w:val="center"/>
                </w:tcPr>
                <w:p>
                  <w:pPr>
                    <w:adjustRightInd w:val="0"/>
                    <w:snapToGrid w:val="0"/>
                    <w:jc w:val="center"/>
                    <w:rPr>
                      <w:sz w:val="18"/>
                      <w:szCs w:val="18"/>
                    </w:rPr>
                  </w:pPr>
                  <w:r>
                    <w:rPr>
                      <w:sz w:val="18"/>
                      <w:szCs w:val="18"/>
                    </w:rPr>
                    <w:t>名称</w:t>
                  </w:r>
                </w:p>
              </w:tc>
              <w:tc>
                <w:tcPr>
                  <w:tcW w:w="1353" w:type="pct"/>
                  <w:tcBorders>
                    <w:tl2br w:val="nil"/>
                    <w:tr2bl w:val="nil"/>
                  </w:tcBorders>
                  <w:vAlign w:val="center"/>
                </w:tcPr>
                <w:p>
                  <w:pPr>
                    <w:adjustRightInd w:val="0"/>
                    <w:snapToGrid w:val="0"/>
                    <w:jc w:val="center"/>
                    <w:rPr>
                      <w:sz w:val="18"/>
                      <w:szCs w:val="18"/>
                    </w:rPr>
                  </w:pPr>
                  <w:r>
                    <w:rPr>
                      <w:sz w:val="18"/>
                      <w:szCs w:val="18"/>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393" w:type="pct"/>
                  <w:tcBorders>
                    <w:tl2br w:val="nil"/>
                    <w:tr2bl w:val="nil"/>
                  </w:tcBorders>
                  <w:vAlign w:val="center"/>
                </w:tcPr>
                <w:p>
                  <w:pPr>
                    <w:pStyle w:val="142"/>
                    <w:snapToGrid w:val="0"/>
                    <w:rPr>
                      <w:sz w:val="18"/>
                      <w:szCs w:val="18"/>
                    </w:rPr>
                  </w:pPr>
                  <w:r>
                    <w:rPr>
                      <w:sz w:val="18"/>
                      <w:szCs w:val="18"/>
                    </w:rPr>
                    <w:t>1</w:t>
                  </w:r>
                </w:p>
              </w:tc>
              <w:tc>
                <w:tcPr>
                  <w:tcW w:w="1111" w:type="pct"/>
                  <w:tcBorders>
                    <w:tl2br w:val="nil"/>
                    <w:tr2bl w:val="nil"/>
                  </w:tcBorders>
                  <w:vAlign w:val="center"/>
                </w:tcPr>
                <w:p>
                  <w:pPr>
                    <w:pStyle w:val="142"/>
                    <w:snapToGrid w:val="0"/>
                    <w:rPr>
                      <w:sz w:val="18"/>
                      <w:szCs w:val="18"/>
                    </w:rPr>
                  </w:pPr>
                  <w:r>
                    <w:rPr>
                      <w:sz w:val="18"/>
                      <w:szCs w:val="18"/>
                    </w:rPr>
                    <w:drawing>
                      <wp:inline distT="0" distB="0" distL="114300" distR="114300">
                        <wp:extent cx="846455" cy="777240"/>
                        <wp:effectExtent l="0" t="0" r="10795" b="3810"/>
                        <wp:docPr id="16" name="图片 206"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6" descr="废气排放口"/>
                                <pic:cNvPicPr>
                                  <a:picLocks noChangeAspect="1"/>
                                </pic:cNvPicPr>
                              </pic:nvPicPr>
                              <pic:blipFill>
                                <a:blip r:embed="rId27"/>
                                <a:stretch>
                                  <a:fillRect/>
                                </a:stretch>
                              </pic:blipFill>
                              <pic:spPr>
                                <a:xfrm>
                                  <a:off x="0" y="0"/>
                                  <a:ext cx="846455" cy="777240"/>
                                </a:xfrm>
                                <a:prstGeom prst="rect">
                                  <a:avLst/>
                                </a:prstGeom>
                                <a:noFill/>
                                <a:ln>
                                  <a:noFill/>
                                </a:ln>
                              </pic:spPr>
                            </pic:pic>
                          </a:graphicData>
                        </a:graphic>
                      </wp:inline>
                    </w:drawing>
                  </w:r>
                </w:p>
              </w:tc>
              <w:tc>
                <w:tcPr>
                  <w:tcW w:w="1236" w:type="pct"/>
                  <w:tcBorders>
                    <w:tl2br w:val="nil"/>
                    <w:tr2bl w:val="nil"/>
                  </w:tcBorders>
                  <w:vAlign w:val="center"/>
                </w:tcPr>
                <w:p>
                  <w:pPr>
                    <w:pStyle w:val="142"/>
                    <w:snapToGrid w:val="0"/>
                    <w:rPr>
                      <w:sz w:val="18"/>
                      <w:szCs w:val="18"/>
                    </w:rPr>
                  </w:pPr>
                  <w:r>
                    <w:rPr>
                      <w:sz w:val="18"/>
                      <w:szCs w:val="18"/>
                    </w:rPr>
                    <w:drawing>
                      <wp:inline distT="0" distB="0" distL="114300" distR="114300">
                        <wp:extent cx="866140" cy="771525"/>
                        <wp:effectExtent l="0" t="0" r="10160" b="9525"/>
                        <wp:docPr id="17" name="图片 207"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7" descr="废气排放口"/>
                                <pic:cNvPicPr>
                                  <a:picLocks noChangeAspect="1"/>
                                </pic:cNvPicPr>
                              </pic:nvPicPr>
                              <pic:blipFill>
                                <a:blip r:embed="rId28"/>
                                <a:stretch>
                                  <a:fillRect/>
                                </a:stretch>
                              </pic:blipFill>
                              <pic:spPr>
                                <a:xfrm>
                                  <a:off x="0" y="0"/>
                                  <a:ext cx="866140" cy="771525"/>
                                </a:xfrm>
                                <a:prstGeom prst="rect">
                                  <a:avLst/>
                                </a:prstGeom>
                                <a:noFill/>
                                <a:ln>
                                  <a:noFill/>
                                </a:ln>
                              </pic:spPr>
                            </pic:pic>
                          </a:graphicData>
                        </a:graphic>
                      </wp:inline>
                    </w:drawing>
                  </w:r>
                </w:p>
              </w:tc>
              <w:tc>
                <w:tcPr>
                  <w:tcW w:w="905" w:type="pct"/>
                  <w:tcBorders>
                    <w:tl2br w:val="nil"/>
                    <w:tr2bl w:val="nil"/>
                  </w:tcBorders>
                  <w:vAlign w:val="center"/>
                </w:tcPr>
                <w:p>
                  <w:pPr>
                    <w:pStyle w:val="142"/>
                    <w:snapToGrid w:val="0"/>
                    <w:rPr>
                      <w:sz w:val="18"/>
                      <w:szCs w:val="18"/>
                    </w:rPr>
                  </w:pPr>
                  <w:r>
                    <w:rPr>
                      <w:sz w:val="18"/>
                      <w:szCs w:val="18"/>
                    </w:rPr>
                    <w:t>废气排放口</w:t>
                  </w:r>
                </w:p>
              </w:tc>
              <w:tc>
                <w:tcPr>
                  <w:tcW w:w="1353" w:type="pct"/>
                  <w:tcBorders>
                    <w:tl2br w:val="nil"/>
                    <w:tr2bl w:val="nil"/>
                  </w:tcBorders>
                  <w:vAlign w:val="center"/>
                </w:tcPr>
                <w:p>
                  <w:pPr>
                    <w:pStyle w:val="142"/>
                    <w:snapToGrid w:val="0"/>
                    <w:rPr>
                      <w:sz w:val="18"/>
                      <w:szCs w:val="18"/>
                    </w:rPr>
                  </w:pPr>
                  <w:r>
                    <w:rPr>
                      <w:sz w:val="18"/>
                      <w:szCs w:val="18"/>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393" w:type="pct"/>
                  <w:tcBorders>
                    <w:tl2br w:val="nil"/>
                    <w:tr2bl w:val="nil"/>
                  </w:tcBorders>
                  <w:vAlign w:val="center"/>
                </w:tcPr>
                <w:p>
                  <w:pPr>
                    <w:adjustRightInd w:val="0"/>
                    <w:snapToGrid w:val="0"/>
                    <w:jc w:val="center"/>
                    <w:rPr>
                      <w:sz w:val="18"/>
                      <w:szCs w:val="18"/>
                    </w:rPr>
                  </w:pPr>
                  <w:r>
                    <w:rPr>
                      <w:sz w:val="18"/>
                      <w:szCs w:val="18"/>
                    </w:rPr>
                    <w:t>2</w:t>
                  </w:r>
                </w:p>
              </w:tc>
              <w:tc>
                <w:tcPr>
                  <w:tcW w:w="1111" w:type="pct"/>
                  <w:tcBorders>
                    <w:tl2br w:val="nil"/>
                    <w:tr2bl w:val="nil"/>
                  </w:tcBorders>
                  <w:vAlign w:val="center"/>
                </w:tcPr>
                <w:p>
                  <w:pPr>
                    <w:adjustRightInd w:val="0"/>
                    <w:snapToGrid w:val="0"/>
                    <w:jc w:val="center"/>
                    <w:rPr>
                      <w:sz w:val="18"/>
                      <w:szCs w:val="18"/>
                    </w:rPr>
                  </w:pPr>
                  <w:r>
                    <w:rPr>
                      <w:sz w:val="18"/>
                      <w:szCs w:val="18"/>
                    </w:rPr>
                    <w:drawing>
                      <wp:inline distT="0" distB="0" distL="114300" distR="114300">
                        <wp:extent cx="836295" cy="836295"/>
                        <wp:effectExtent l="0" t="0" r="1905" b="1905"/>
                        <wp:docPr id="1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8"/>
                                <pic:cNvPicPr>
                                  <a:picLocks noChangeAspect="1"/>
                                </pic:cNvPicPr>
                              </pic:nvPicPr>
                              <pic:blipFill>
                                <a:blip r:embed="rId29"/>
                                <a:stretch>
                                  <a:fillRect/>
                                </a:stretch>
                              </pic:blipFill>
                              <pic:spPr>
                                <a:xfrm>
                                  <a:off x="0" y="0"/>
                                  <a:ext cx="836295" cy="836295"/>
                                </a:xfrm>
                                <a:prstGeom prst="rect">
                                  <a:avLst/>
                                </a:prstGeom>
                                <a:noFill/>
                                <a:ln>
                                  <a:noFill/>
                                </a:ln>
                              </pic:spPr>
                            </pic:pic>
                          </a:graphicData>
                        </a:graphic>
                      </wp:inline>
                    </w:drawing>
                  </w:r>
                </w:p>
              </w:tc>
              <w:tc>
                <w:tcPr>
                  <w:tcW w:w="1236" w:type="pct"/>
                  <w:tcBorders>
                    <w:tl2br w:val="nil"/>
                    <w:tr2bl w:val="nil"/>
                  </w:tcBorders>
                  <w:vAlign w:val="center"/>
                </w:tcPr>
                <w:p>
                  <w:pPr>
                    <w:adjustRightInd w:val="0"/>
                    <w:snapToGrid w:val="0"/>
                    <w:jc w:val="center"/>
                    <w:rPr>
                      <w:sz w:val="18"/>
                      <w:szCs w:val="18"/>
                    </w:rPr>
                  </w:pPr>
                  <w:r>
                    <w:rPr>
                      <w:sz w:val="18"/>
                      <w:szCs w:val="18"/>
                    </w:rPr>
                    <w:drawing>
                      <wp:inline distT="0" distB="0" distL="114300" distR="114300">
                        <wp:extent cx="849630" cy="754380"/>
                        <wp:effectExtent l="0" t="0" r="7620" b="7620"/>
                        <wp:docPr id="1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9"/>
                                <pic:cNvPicPr>
                                  <a:picLocks noChangeAspect="1"/>
                                </pic:cNvPicPr>
                              </pic:nvPicPr>
                              <pic:blipFill>
                                <a:blip r:embed="rId30"/>
                                <a:stretch>
                                  <a:fillRect/>
                                </a:stretch>
                              </pic:blipFill>
                              <pic:spPr>
                                <a:xfrm>
                                  <a:off x="0" y="0"/>
                                  <a:ext cx="849630" cy="754380"/>
                                </a:xfrm>
                                <a:prstGeom prst="rect">
                                  <a:avLst/>
                                </a:prstGeom>
                                <a:noFill/>
                                <a:ln>
                                  <a:noFill/>
                                </a:ln>
                              </pic:spPr>
                            </pic:pic>
                          </a:graphicData>
                        </a:graphic>
                      </wp:inline>
                    </w:drawing>
                  </w:r>
                </w:p>
              </w:tc>
              <w:tc>
                <w:tcPr>
                  <w:tcW w:w="905" w:type="pct"/>
                  <w:tcBorders>
                    <w:tl2br w:val="nil"/>
                    <w:tr2bl w:val="nil"/>
                  </w:tcBorders>
                  <w:vAlign w:val="center"/>
                </w:tcPr>
                <w:p>
                  <w:pPr>
                    <w:adjustRightInd w:val="0"/>
                    <w:snapToGrid w:val="0"/>
                    <w:jc w:val="center"/>
                    <w:rPr>
                      <w:sz w:val="18"/>
                      <w:szCs w:val="18"/>
                    </w:rPr>
                  </w:pPr>
                  <w:r>
                    <w:rPr>
                      <w:sz w:val="18"/>
                      <w:szCs w:val="18"/>
                    </w:rPr>
                    <w:t>噪声排放源</w:t>
                  </w:r>
                </w:p>
              </w:tc>
              <w:tc>
                <w:tcPr>
                  <w:tcW w:w="1353" w:type="pct"/>
                  <w:tcBorders>
                    <w:tl2br w:val="nil"/>
                    <w:tr2bl w:val="nil"/>
                  </w:tcBorders>
                  <w:vAlign w:val="center"/>
                </w:tcPr>
                <w:p>
                  <w:pPr>
                    <w:adjustRightInd w:val="0"/>
                    <w:snapToGrid w:val="0"/>
                    <w:jc w:val="center"/>
                    <w:rPr>
                      <w:sz w:val="18"/>
                      <w:szCs w:val="18"/>
                    </w:rPr>
                  </w:pPr>
                  <w:r>
                    <w:rPr>
                      <w:sz w:val="18"/>
                      <w:szCs w:val="18"/>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393" w:type="pct"/>
                  <w:tcBorders>
                    <w:tl2br w:val="nil"/>
                    <w:tr2bl w:val="nil"/>
                  </w:tcBorders>
                  <w:vAlign w:val="center"/>
                </w:tcPr>
                <w:p>
                  <w:pPr>
                    <w:adjustRightInd w:val="0"/>
                    <w:snapToGrid w:val="0"/>
                    <w:jc w:val="center"/>
                    <w:rPr>
                      <w:sz w:val="18"/>
                      <w:szCs w:val="18"/>
                    </w:rPr>
                  </w:pPr>
                  <w:r>
                    <w:rPr>
                      <w:sz w:val="18"/>
                      <w:szCs w:val="18"/>
                    </w:rPr>
                    <w:t>3</w:t>
                  </w:r>
                </w:p>
              </w:tc>
              <w:tc>
                <w:tcPr>
                  <w:tcW w:w="1111" w:type="pct"/>
                  <w:tcBorders>
                    <w:tl2br w:val="nil"/>
                    <w:tr2bl w:val="nil"/>
                  </w:tcBorders>
                  <w:vAlign w:val="center"/>
                </w:tcPr>
                <w:p>
                  <w:pPr>
                    <w:adjustRightInd w:val="0"/>
                    <w:snapToGrid w:val="0"/>
                    <w:jc w:val="center"/>
                    <w:rPr>
                      <w:sz w:val="18"/>
                      <w:szCs w:val="18"/>
                    </w:rPr>
                  </w:pPr>
                  <w:r>
                    <w:rPr>
                      <w:sz w:val="18"/>
                      <w:szCs w:val="18"/>
                    </w:rPr>
                    <w:drawing>
                      <wp:inline distT="0" distB="0" distL="114300" distR="114300">
                        <wp:extent cx="808355" cy="775335"/>
                        <wp:effectExtent l="0" t="0" r="10795" b="5715"/>
                        <wp:docPr id="20" name="图片 2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0" descr="111"/>
                                <pic:cNvPicPr>
                                  <a:picLocks noChangeAspect="1"/>
                                </pic:cNvPicPr>
                              </pic:nvPicPr>
                              <pic:blipFill>
                                <a:blip r:embed="rId31"/>
                                <a:stretch>
                                  <a:fillRect/>
                                </a:stretch>
                              </pic:blipFill>
                              <pic:spPr>
                                <a:xfrm>
                                  <a:off x="0" y="0"/>
                                  <a:ext cx="808355" cy="775335"/>
                                </a:xfrm>
                                <a:prstGeom prst="rect">
                                  <a:avLst/>
                                </a:prstGeom>
                                <a:noFill/>
                                <a:ln>
                                  <a:noFill/>
                                </a:ln>
                              </pic:spPr>
                            </pic:pic>
                          </a:graphicData>
                        </a:graphic>
                      </wp:inline>
                    </w:drawing>
                  </w:r>
                </w:p>
              </w:tc>
              <w:tc>
                <w:tcPr>
                  <w:tcW w:w="1236" w:type="pct"/>
                  <w:tcBorders>
                    <w:tl2br w:val="nil"/>
                    <w:tr2bl w:val="nil"/>
                  </w:tcBorders>
                  <w:vAlign w:val="center"/>
                </w:tcPr>
                <w:p>
                  <w:pPr>
                    <w:adjustRightInd w:val="0"/>
                    <w:snapToGrid w:val="0"/>
                    <w:jc w:val="center"/>
                    <w:rPr>
                      <w:sz w:val="18"/>
                      <w:szCs w:val="18"/>
                    </w:rPr>
                  </w:pPr>
                  <w:r>
                    <w:rPr>
                      <w:sz w:val="18"/>
                      <w:szCs w:val="18"/>
                    </w:rPr>
                    <w:drawing>
                      <wp:inline distT="0" distB="0" distL="114300" distR="114300">
                        <wp:extent cx="888365" cy="758825"/>
                        <wp:effectExtent l="0" t="0" r="6985" b="3175"/>
                        <wp:docPr id="21" name="图片 211"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1" descr="333"/>
                                <pic:cNvPicPr>
                                  <a:picLocks noChangeAspect="1"/>
                                </pic:cNvPicPr>
                              </pic:nvPicPr>
                              <pic:blipFill>
                                <a:blip r:embed="rId32"/>
                                <a:stretch>
                                  <a:fillRect/>
                                </a:stretch>
                              </pic:blipFill>
                              <pic:spPr>
                                <a:xfrm>
                                  <a:off x="0" y="0"/>
                                  <a:ext cx="888365" cy="758825"/>
                                </a:xfrm>
                                <a:prstGeom prst="rect">
                                  <a:avLst/>
                                </a:prstGeom>
                                <a:noFill/>
                                <a:ln>
                                  <a:noFill/>
                                </a:ln>
                              </pic:spPr>
                            </pic:pic>
                          </a:graphicData>
                        </a:graphic>
                      </wp:inline>
                    </w:drawing>
                  </w:r>
                </w:p>
              </w:tc>
              <w:tc>
                <w:tcPr>
                  <w:tcW w:w="905" w:type="pct"/>
                  <w:tcBorders>
                    <w:tl2br w:val="nil"/>
                    <w:tr2bl w:val="nil"/>
                  </w:tcBorders>
                  <w:vAlign w:val="center"/>
                </w:tcPr>
                <w:p>
                  <w:pPr>
                    <w:adjustRightInd w:val="0"/>
                    <w:snapToGrid w:val="0"/>
                    <w:jc w:val="center"/>
                    <w:rPr>
                      <w:sz w:val="18"/>
                      <w:szCs w:val="18"/>
                    </w:rPr>
                  </w:pPr>
                  <w:r>
                    <w:rPr>
                      <w:sz w:val="18"/>
                      <w:szCs w:val="18"/>
                    </w:rPr>
                    <w:t>污水排放口</w:t>
                  </w:r>
                </w:p>
              </w:tc>
              <w:tc>
                <w:tcPr>
                  <w:tcW w:w="1353" w:type="pct"/>
                  <w:tcBorders>
                    <w:tl2br w:val="nil"/>
                    <w:tr2bl w:val="nil"/>
                  </w:tcBorders>
                  <w:vAlign w:val="center"/>
                </w:tcPr>
                <w:p>
                  <w:pPr>
                    <w:adjustRightInd w:val="0"/>
                    <w:snapToGrid w:val="0"/>
                    <w:jc w:val="center"/>
                    <w:rPr>
                      <w:sz w:val="18"/>
                      <w:szCs w:val="18"/>
                    </w:rPr>
                  </w:pPr>
                  <w:r>
                    <w:rPr>
                      <w:sz w:val="18"/>
                      <w:szCs w:val="18"/>
                    </w:rPr>
                    <w:t>表示污水向外环境排放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93" w:type="pct"/>
                  <w:tcBorders>
                    <w:tl2br w:val="nil"/>
                    <w:tr2bl w:val="nil"/>
                  </w:tcBorders>
                  <w:vAlign w:val="center"/>
                </w:tcPr>
                <w:p>
                  <w:pPr>
                    <w:adjustRightInd w:val="0"/>
                    <w:snapToGrid w:val="0"/>
                    <w:jc w:val="center"/>
                    <w:rPr>
                      <w:sz w:val="18"/>
                      <w:szCs w:val="18"/>
                    </w:rPr>
                  </w:pPr>
                  <w:r>
                    <w:rPr>
                      <w:sz w:val="18"/>
                      <w:szCs w:val="18"/>
                    </w:rPr>
                    <w:t>4</w:t>
                  </w:r>
                </w:p>
              </w:tc>
              <w:tc>
                <w:tcPr>
                  <w:tcW w:w="1111" w:type="pct"/>
                  <w:tcBorders>
                    <w:tl2br w:val="nil"/>
                    <w:tr2bl w:val="nil"/>
                  </w:tcBorders>
                  <w:vAlign w:val="center"/>
                </w:tcPr>
                <w:p>
                  <w:pPr>
                    <w:adjustRightInd w:val="0"/>
                    <w:snapToGrid w:val="0"/>
                    <w:jc w:val="center"/>
                    <w:rPr>
                      <w:sz w:val="18"/>
                      <w:szCs w:val="18"/>
                    </w:rPr>
                  </w:pPr>
                  <w:r>
                    <w:rPr>
                      <w:sz w:val="18"/>
                      <w:szCs w:val="18"/>
                    </w:rPr>
                    <w:drawing>
                      <wp:inline distT="0" distB="0" distL="114300" distR="114300">
                        <wp:extent cx="847725" cy="854075"/>
                        <wp:effectExtent l="0" t="0" r="9525" b="3175"/>
                        <wp:docPr id="2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2"/>
                                <pic:cNvPicPr>
                                  <a:picLocks noChangeAspect="1"/>
                                </pic:cNvPicPr>
                              </pic:nvPicPr>
                              <pic:blipFill>
                                <a:blip r:embed="rId33"/>
                                <a:stretch>
                                  <a:fillRect/>
                                </a:stretch>
                              </pic:blipFill>
                              <pic:spPr>
                                <a:xfrm>
                                  <a:off x="0" y="0"/>
                                  <a:ext cx="847725" cy="854075"/>
                                </a:xfrm>
                                <a:prstGeom prst="rect">
                                  <a:avLst/>
                                </a:prstGeom>
                                <a:noFill/>
                                <a:ln>
                                  <a:noFill/>
                                </a:ln>
                              </pic:spPr>
                            </pic:pic>
                          </a:graphicData>
                        </a:graphic>
                      </wp:inline>
                    </w:drawing>
                  </w:r>
                </w:p>
              </w:tc>
              <w:tc>
                <w:tcPr>
                  <w:tcW w:w="1236" w:type="pct"/>
                  <w:tcBorders>
                    <w:tl2br w:val="nil"/>
                    <w:tr2bl w:val="nil"/>
                  </w:tcBorders>
                  <w:vAlign w:val="center"/>
                </w:tcPr>
                <w:p>
                  <w:pPr>
                    <w:adjustRightInd w:val="0"/>
                    <w:snapToGrid w:val="0"/>
                    <w:jc w:val="center"/>
                    <w:rPr>
                      <w:sz w:val="18"/>
                      <w:szCs w:val="18"/>
                    </w:rPr>
                  </w:pPr>
                  <w:r>
                    <w:rPr>
                      <w:sz w:val="18"/>
                      <w:szCs w:val="18"/>
                    </w:rPr>
                    <w:drawing>
                      <wp:inline distT="0" distB="0" distL="114300" distR="114300">
                        <wp:extent cx="735330" cy="626745"/>
                        <wp:effectExtent l="0" t="0" r="7620" b="1905"/>
                        <wp:docPr id="2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3"/>
                                <pic:cNvPicPr>
                                  <a:picLocks noChangeAspect="1"/>
                                </pic:cNvPicPr>
                              </pic:nvPicPr>
                              <pic:blipFill>
                                <a:blip r:embed="rId34"/>
                                <a:srcRect t="4637"/>
                                <a:stretch>
                                  <a:fillRect/>
                                </a:stretch>
                              </pic:blipFill>
                              <pic:spPr>
                                <a:xfrm>
                                  <a:off x="0" y="0"/>
                                  <a:ext cx="735330" cy="626745"/>
                                </a:xfrm>
                                <a:prstGeom prst="rect">
                                  <a:avLst/>
                                </a:prstGeom>
                                <a:noFill/>
                                <a:ln>
                                  <a:noFill/>
                                </a:ln>
                              </pic:spPr>
                            </pic:pic>
                          </a:graphicData>
                        </a:graphic>
                      </wp:inline>
                    </w:drawing>
                  </w:r>
                </w:p>
              </w:tc>
              <w:tc>
                <w:tcPr>
                  <w:tcW w:w="905" w:type="pct"/>
                  <w:tcBorders>
                    <w:tl2br w:val="nil"/>
                    <w:tr2bl w:val="nil"/>
                  </w:tcBorders>
                  <w:vAlign w:val="center"/>
                </w:tcPr>
                <w:p>
                  <w:pPr>
                    <w:adjustRightInd w:val="0"/>
                    <w:snapToGrid w:val="0"/>
                    <w:jc w:val="center"/>
                    <w:rPr>
                      <w:sz w:val="18"/>
                      <w:szCs w:val="18"/>
                    </w:rPr>
                  </w:pPr>
                  <w:r>
                    <w:rPr>
                      <w:sz w:val="18"/>
                      <w:szCs w:val="18"/>
                    </w:rPr>
                    <w:t>一般固体废物</w:t>
                  </w:r>
                </w:p>
              </w:tc>
              <w:tc>
                <w:tcPr>
                  <w:tcW w:w="1353" w:type="pct"/>
                  <w:tcBorders>
                    <w:tl2br w:val="nil"/>
                    <w:tr2bl w:val="nil"/>
                  </w:tcBorders>
                  <w:vAlign w:val="center"/>
                </w:tcPr>
                <w:p>
                  <w:pPr>
                    <w:adjustRightInd w:val="0"/>
                    <w:snapToGrid w:val="0"/>
                    <w:jc w:val="center"/>
                    <w:rPr>
                      <w:sz w:val="18"/>
                      <w:szCs w:val="18"/>
                    </w:rPr>
                  </w:pPr>
                  <w:r>
                    <w:rPr>
                      <w:sz w:val="18"/>
                      <w:szCs w:val="18"/>
                    </w:rPr>
                    <w:t>表示一般固体废物贮存、处置场</w:t>
                  </w:r>
                </w:p>
              </w:tc>
            </w:tr>
          </w:tbl>
          <w:p>
            <w:pPr>
              <w:pStyle w:val="142"/>
              <w:spacing w:line="360" w:lineRule="auto"/>
              <w:ind w:firstLine="440" w:firstLineChars="200"/>
              <w:jc w:val="left"/>
            </w:pPr>
            <w:r>
              <w:rPr>
                <w:spacing w:val="0"/>
                <w:kern w:val="2"/>
                <w:sz w:val="22"/>
                <w:szCs w:val="22"/>
              </w:rPr>
              <w:t>4</w:t>
            </w:r>
            <w:r>
              <w:rPr>
                <w:rFonts w:hint="eastAsia"/>
                <w:spacing w:val="0"/>
                <w:kern w:val="2"/>
                <w:sz w:val="22"/>
                <w:szCs w:val="22"/>
              </w:rPr>
              <w:t>.</w:t>
            </w:r>
            <w:r>
              <w:rPr>
                <w:spacing w:val="0"/>
                <w:kern w:val="2"/>
                <w:sz w:val="22"/>
                <w:szCs w:val="22"/>
              </w:rPr>
              <w:t>本项目竣工后，建设单位应当按照国务院环境保护行政主管部门规定的标准和程序，对配套建设的环境保护设施进行自主验收，编制验收报告</w:t>
            </w:r>
            <w:r>
              <w:rPr>
                <w:rFonts w:hint="eastAsia"/>
                <w:spacing w:val="0"/>
                <w:kern w:val="2"/>
                <w:sz w:val="22"/>
                <w:szCs w:val="22"/>
              </w:rPr>
              <w:t>。</w:t>
            </w:r>
          </w:p>
        </w:tc>
      </w:tr>
    </w:tbl>
    <w:p>
      <w:pPr>
        <w:pStyle w:val="28"/>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snapToGrid w:val="0"/>
          <w:sz w:val="21"/>
          <w:szCs w:val="16"/>
        </w:rPr>
        <w:br w:type="page"/>
      </w:r>
      <w:bookmarkStart w:id="14" w:name="_Toc25015"/>
      <w:r>
        <w:rPr>
          <w:rFonts w:ascii="Times New Roman" w:hAnsi="Times New Roman" w:eastAsia="黑体"/>
          <w:snapToGrid w:val="0"/>
          <w:sz w:val="30"/>
          <w:szCs w:val="30"/>
        </w:rPr>
        <w:t>六、结论</w:t>
      </w:r>
      <w:bookmarkEnd w:id="14"/>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9" w:hRule="atLeast"/>
          <w:jc w:val="center"/>
        </w:trPr>
        <w:tc>
          <w:tcPr>
            <w:tcW w:w="8865" w:type="dxa"/>
            <w:vAlign w:val="center"/>
          </w:tcPr>
          <w:p>
            <w:pPr>
              <w:spacing w:before="120" w:beforeLines="50" w:line="360" w:lineRule="auto"/>
              <w:ind w:firstLine="480" w:firstLineChars="200"/>
            </w:pPr>
            <w:r>
              <w:rPr>
                <w:rFonts w:hint="eastAsia"/>
                <w:bCs/>
                <w:sz w:val="24"/>
              </w:rPr>
              <w:t>本</w:t>
            </w:r>
            <w:r>
              <w:rPr>
                <w:rFonts w:hint="eastAsia"/>
                <w:sz w:val="24"/>
              </w:rPr>
              <w:t>项目</w:t>
            </w:r>
            <w:r>
              <w:rPr>
                <w:bCs/>
                <w:sz w:val="24"/>
              </w:rPr>
              <w:t>的建设符合国家及地方产业政策，符合用地规划、</w:t>
            </w:r>
            <w:r>
              <w:rPr>
                <w:rFonts w:hint="eastAsia"/>
                <w:bCs/>
                <w:sz w:val="24"/>
              </w:rPr>
              <w:t>生态环境</w:t>
            </w:r>
            <w:r>
              <w:rPr>
                <w:rFonts w:hint="default"/>
                <w:bCs/>
                <w:sz w:val="24"/>
                <w:lang w:val="en-US" w:eastAsia="zh-CN"/>
              </w:rPr>
              <w:t>风险</w:t>
            </w:r>
            <w:r>
              <w:rPr>
                <w:rFonts w:hint="eastAsia"/>
                <w:bCs/>
                <w:sz w:val="24"/>
              </w:rPr>
              <w:t>管控</w:t>
            </w:r>
            <w:r>
              <w:rPr>
                <w:bCs/>
                <w:sz w:val="24"/>
              </w:rPr>
              <w:t>等相关要求；项目排放的各类污染物均可以做到稳定达标排放，对周边环境影响较小，不会造成区域环境功能的改变；项目环境风险可控。从环保角度分析，建设单位在认真落实本报告提出的各项污染防治措施、风险防范措施以及加强环境管理的基础上，项目的建设是可行的。</w:t>
            </w:r>
          </w:p>
        </w:tc>
      </w:tr>
    </w:tbl>
    <w:p>
      <w:pPr>
        <w:sectPr>
          <w:pgSz w:w="11906" w:h="16838"/>
          <w:pgMar w:top="1701" w:right="1531" w:bottom="1701" w:left="1531" w:header="851" w:footer="851" w:gutter="0"/>
          <w:cols w:space="720" w:num="1"/>
          <w:docGrid w:linePitch="312" w:charSpace="0"/>
        </w:sectPr>
      </w:pPr>
    </w:p>
    <w:p>
      <w:pPr>
        <w:pStyle w:val="28"/>
        <w:adjustRightInd w:val="0"/>
        <w:spacing w:before="0" w:beforeAutospacing="0" w:after="0" w:afterAutospacing="0"/>
        <w:rPr>
          <w:rFonts w:ascii="Times New Roman" w:hAnsi="Times New Roman" w:eastAsia="黑体"/>
          <w:snapToGrid w:val="0"/>
          <w:sz w:val="28"/>
          <w:szCs w:val="28"/>
        </w:rPr>
      </w:pPr>
      <w:r>
        <w:rPr>
          <w:rFonts w:ascii="Times New Roman" w:hAnsi="Times New Roman" w:eastAsia="黑体"/>
          <w:snapToGrid w:val="0"/>
          <w:sz w:val="28"/>
          <w:szCs w:val="28"/>
        </w:rPr>
        <w:t>附表</w:t>
      </w:r>
    </w:p>
    <w:p>
      <w:pPr>
        <w:pStyle w:val="28"/>
        <w:adjustRightInd w:val="0"/>
        <w:spacing w:before="0" w:beforeAutospacing="0" w:after="0" w:afterAutospacing="0"/>
        <w:jc w:val="center"/>
        <w:rPr>
          <w:rFonts w:ascii="Times New Roman" w:hAnsi="Times New Roman" w:eastAsia="方正小标宋_GBK"/>
          <w:snapToGrid w:val="0"/>
          <w:sz w:val="28"/>
          <w:szCs w:val="28"/>
        </w:rPr>
      </w:pPr>
      <w:r>
        <w:rPr>
          <w:rFonts w:hint="eastAsia" w:cs="宋体"/>
          <w:b/>
          <w:bCs/>
          <w:snapToGrid w:val="0"/>
          <w:sz w:val="28"/>
          <w:szCs w:val="28"/>
        </w:rPr>
        <w:t xml:space="preserve">建设项目污染物排放量汇总表 </w:t>
      </w:r>
      <w:r>
        <w:rPr>
          <w:rFonts w:ascii="Times New Roman" w:hAnsi="Times New Roman" w:eastAsia="方正小标宋_GBK"/>
          <w:snapToGrid w:val="0"/>
          <w:sz w:val="28"/>
          <w:szCs w:val="28"/>
        </w:rPr>
        <w:t xml:space="preserve">     单位：t/a</w:t>
      </w:r>
    </w:p>
    <w:tbl>
      <w:tblPr>
        <w:tblStyle w:val="32"/>
        <w:tblW w:w="141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701"/>
        <w:gridCol w:w="1633"/>
        <w:gridCol w:w="1312"/>
        <w:gridCol w:w="1749"/>
        <w:gridCol w:w="1603"/>
        <w:gridCol w:w="1810"/>
        <w:gridCol w:w="1816"/>
        <w:gridCol w:w="10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tcBorders>
              <w:tl2br w:val="single" w:color="auto" w:sz="4" w:space="0"/>
            </w:tcBorders>
            <w:tcMar>
              <w:left w:w="28" w:type="dxa"/>
              <w:right w:w="28" w:type="dxa"/>
            </w:tcMar>
            <w:vAlign w:val="center"/>
          </w:tcPr>
          <w:p>
            <w:pPr>
              <w:pStyle w:val="65"/>
              <w:adjustRightInd/>
              <w:snapToGrid/>
              <w:spacing w:beforeLines="0" w:afterLines="0" w:line="240" w:lineRule="auto"/>
              <w:ind w:left="0" w:leftChars="0" w:firstLine="0" w:firstLineChars="0"/>
              <w:jc w:val="right"/>
              <w:rPr>
                <w:rFonts w:hint="eastAsia" w:hAnsi="宋体" w:cs="宋体"/>
                <w:snapToGrid w:val="0"/>
                <w:spacing w:val="-6"/>
                <w:kern w:val="21"/>
                <w:szCs w:val="21"/>
              </w:rPr>
            </w:pPr>
            <w:r>
              <w:rPr>
                <w:rFonts w:hint="eastAsia" w:hAnsi="宋体" w:cs="宋体"/>
                <w:snapToGrid w:val="0"/>
                <w:spacing w:val="-6"/>
                <w:kern w:val="21"/>
                <w:szCs w:val="21"/>
              </w:rPr>
              <w:t>项目</w:t>
            </w:r>
          </w:p>
          <w:p>
            <w:pPr>
              <w:pStyle w:val="65"/>
              <w:adjustRightInd/>
              <w:snapToGrid/>
              <w:spacing w:beforeLines="0" w:afterLines="0" w:line="240" w:lineRule="auto"/>
              <w:ind w:left="0" w:leftChars="0" w:firstLine="0" w:firstLineChars="0"/>
              <w:jc w:val="left"/>
              <w:rPr>
                <w:rFonts w:hint="eastAsia" w:hAnsi="宋体" w:cs="宋体"/>
                <w:snapToGrid w:val="0"/>
                <w:spacing w:val="-6"/>
                <w:kern w:val="21"/>
                <w:szCs w:val="21"/>
              </w:rPr>
            </w:pPr>
            <w:r>
              <w:rPr>
                <w:rFonts w:hint="eastAsia" w:hAnsi="宋体" w:cs="宋体"/>
                <w:snapToGrid w:val="0"/>
                <w:spacing w:val="-6"/>
                <w:kern w:val="21"/>
                <w:szCs w:val="21"/>
              </w:rPr>
              <w:t>分类</w:t>
            </w:r>
          </w:p>
        </w:tc>
        <w:tc>
          <w:tcPr>
            <w:tcW w:w="1701" w:type="dxa"/>
            <w:tcMar>
              <w:left w:w="28" w:type="dxa"/>
              <w:right w:w="28" w:type="dxa"/>
            </w:tcMar>
            <w:vAlign w:val="center"/>
          </w:tcPr>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t>污染物名称</w:t>
            </w:r>
          </w:p>
        </w:tc>
        <w:tc>
          <w:tcPr>
            <w:tcW w:w="1633" w:type="dxa"/>
            <w:tcMar>
              <w:left w:w="28" w:type="dxa"/>
              <w:right w:w="28" w:type="dxa"/>
            </w:tcMar>
            <w:vAlign w:val="center"/>
          </w:tcPr>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t>现有工程</w:t>
            </w:r>
          </w:p>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t>排放量（固体废物产生量）</w:t>
            </w:r>
            <w:r>
              <w:rPr>
                <w:rFonts w:hint="eastAsia" w:hAnsi="宋体" w:cs="宋体"/>
                <w:snapToGrid w:val="0"/>
                <w:spacing w:val="-6"/>
                <w:kern w:val="21"/>
                <w:szCs w:val="21"/>
              </w:rPr>
              <w:fldChar w:fldCharType="begin"/>
            </w:r>
            <w:r>
              <w:rPr>
                <w:rFonts w:hint="eastAsia" w:hAnsi="宋体" w:cs="宋体"/>
                <w:snapToGrid w:val="0"/>
                <w:spacing w:val="-6"/>
                <w:kern w:val="21"/>
                <w:szCs w:val="21"/>
              </w:rPr>
              <w:instrText xml:space="preserve"> = 1 \* GB3 \* MERGEFORMAT </w:instrText>
            </w:r>
            <w:r>
              <w:rPr>
                <w:rFonts w:hint="eastAsia" w:hAnsi="宋体" w:cs="宋体"/>
                <w:snapToGrid w:val="0"/>
                <w:spacing w:val="-6"/>
                <w:kern w:val="21"/>
                <w:szCs w:val="21"/>
              </w:rPr>
              <w:fldChar w:fldCharType="separate"/>
            </w:r>
            <w:r>
              <w:rPr>
                <w:rFonts w:hint="eastAsia" w:hAnsi="宋体" w:cs="宋体"/>
                <w:kern w:val="2"/>
                <w:szCs w:val="21"/>
              </w:rPr>
              <w:t>①</w:t>
            </w:r>
            <w:r>
              <w:rPr>
                <w:rFonts w:hint="eastAsia" w:hAnsi="宋体" w:cs="宋体"/>
                <w:snapToGrid w:val="0"/>
                <w:spacing w:val="-6"/>
                <w:kern w:val="21"/>
                <w:szCs w:val="21"/>
              </w:rPr>
              <w:fldChar w:fldCharType="end"/>
            </w:r>
          </w:p>
        </w:tc>
        <w:tc>
          <w:tcPr>
            <w:tcW w:w="1312" w:type="dxa"/>
            <w:tcMar>
              <w:left w:w="28" w:type="dxa"/>
              <w:right w:w="28" w:type="dxa"/>
            </w:tcMar>
            <w:vAlign w:val="center"/>
          </w:tcPr>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t>现有工程</w:t>
            </w:r>
          </w:p>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t>许可排放量</w:t>
            </w:r>
          </w:p>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fldChar w:fldCharType="begin"/>
            </w:r>
            <w:r>
              <w:rPr>
                <w:rFonts w:hint="eastAsia" w:hAnsi="宋体" w:cs="宋体"/>
                <w:snapToGrid w:val="0"/>
                <w:spacing w:val="-6"/>
                <w:kern w:val="21"/>
                <w:szCs w:val="21"/>
              </w:rPr>
              <w:instrText xml:space="preserve"> = 2 \* GB3 \* MERGEFORMAT </w:instrText>
            </w:r>
            <w:r>
              <w:rPr>
                <w:rFonts w:hint="eastAsia" w:hAnsi="宋体" w:cs="宋体"/>
                <w:snapToGrid w:val="0"/>
                <w:spacing w:val="-6"/>
                <w:kern w:val="21"/>
                <w:szCs w:val="21"/>
              </w:rPr>
              <w:fldChar w:fldCharType="separate"/>
            </w:r>
            <w:r>
              <w:rPr>
                <w:rFonts w:hint="eastAsia" w:hAnsi="宋体" w:cs="宋体"/>
                <w:snapToGrid w:val="0"/>
                <w:spacing w:val="-6"/>
                <w:kern w:val="21"/>
                <w:szCs w:val="21"/>
              </w:rPr>
              <w:t>②</w:t>
            </w:r>
            <w:r>
              <w:rPr>
                <w:rFonts w:hint="eastAsia" w:hAnsi="宋体" w:cs="宋体"/>
                <w:snapToGrid w:val="0"/>
                <w:spacing w:val="-6"/>
                <w:kern w:val="21"/>
                <w:szCs w:val="21"/>
              </w:rPr>
              <w:fldChar w:fldCharType="end"/>
            </w:r>
          </w:p>
        </w:tc>
        <w:tc>
          <w:tcPr>
            <w:tcW w:w="1749" w:type="dxa"/>
            <w:tcMar>
              <w:left w:w="28" w:type="dxa"/>
              <w:right w:w="28" w:type="dxa"/>
            </w:tcMar>
            <w:vAlign w:val="center"/>
          </w:tcPr>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t>在建工程</w:t>
            </w:r>
          </w:p>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t>排放量（固体废物产生量）</w:t>
            </w:r>
            <w:r>
              <w:rPr>
                <w:rFonts w:hint="eastAsia" w:hAnsi="宋体" w:cs="宋体"/>
                <w:snapToGrid w:val="0"/>
                <w:spacing w:val="-6"/>
                <w:kern w:val="21"/>
                <w:szCs w:val="21"/>
              </w:rPr>
              <w:fldChar w:fldCharType="begin"/>
            </w:r>
            <w:r>
              <w:rPr>
                <w:rFonts w:hint="eastAsia" w:hAnsi="宋体" w:cs="宋体"/>
                <w:snapToGrid w:val="0"/>
                <w:spacing w:val="-6"/>
                <w:kern w:val="21"/>
                <w:szCs w:val="21"/>
              </w:rPr>
              <w:instrText xml:space="preserve"> = 3 \* GB3 \* MERGEFORMAT </w:instrText>
            </w:r>
            <w:r>
              <w:rPr>
                <w:rFonts w:hint="eastAsia" w:hAnsi="宋体" w:cs="宋体"/>
                <w:snapToGrid w:val="0"/>
                <w:spacing w:val="-6"/>
                <w:kern w:val="21"/>
                <w:szCs w:val="21"/>
              </w:rPr>
              <w:fldChar w:fldCharType="separate"/>
            </w:r>
            <w:r>
              <w:rPr>
                <w:rFonts w:hint="eastAsia" w:hAnsi="宋体" w:cs="宋体"/>
                <w:kern w:val="2"/>
                <w:szCs w:val="21"/>
              </w:rPr>
              <w:t>③</w:t>
            </w:r>
            <w:r>
              <w:rPr>
                <w:rFonts w:hint="eastAsia" w:hAnsi="宋体" w:cs="宋体"/>
                <w:snapToGrid w:val="0"/>
                <w:spacing w:val="-6"/>
                <w:kern w:val="21"/>
                <w:szCs w:val="21"/>
              </w:rPr>
              <w:fldChar w:fldCharType="end"/>
            </w:r>
          </w:p>
        </w:tc>
        <w:tc>
          <w:tcPr>
            <w:tcW w:w="1603" w:type="dxa"/>
            <w:tcMar>
              <w:left w:w="28" w:type="dxa"/>
              <w:right w:w="28" w:type="dxa"/>
            </w:tcMar>
            <w:vAlign w:val="center"/>
          </w:tcPr>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t>本项目</w:t>
            </w:r>
          </w:p>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t>排放量（固体废物产生量）</w:t>
            </w:r>
            <w:r>
              <w:rPr>
                <w:rFonts w:hint="eastAsia" w:hAnsi="宋体" w:cs="宋体"/>
                <w:snapToGrid w:val="0"/>
                <w:spacing w:val="-6"/>
                <w:kern w:val="21"/>
                <w:szCs w:val="21"/>
              </w:rPr>
              <w:fldChar w:fldCharType="begin"/>
            </w:r>
            <w:r>
              <w:rPr>
                <w:rFonts w:hint="eastAsia" w:hAnsi="宋体" w:cs="宋体"/>
                <w:snapToGrid w:val="0"/>
                <w:spacing w:val="-6"/>
                <w:kern w:val="21"/>
                <w:szCs w:val="21"/>
              </w:rPr>
              <w:instrText xml:space="preserve"> = 4 \* GB3 \* MERGEFORMAT </w:instrText>
            </w:r>
            <w:r>
              <w:rPr>
                <w:rFonts w:hint="eastAsia" w:hAnsi="宋体" w:cs="宋体"/>
                <w:snapToGrid w:val="0"/>
                <w:spacing w:val="-6"/>
                <w:kern w:val="21"/>
                <w:szCs w:val="21"/>
              </w:rPr>
              <w:fldChar w:fldCharType="separate"/>
            </w:r>
            <w:r>
              <w:rPr>
                <w:rFonts w:hint="eastAsia" w:hAnsi="宋体" w:cs="宋体"/>
                <w:kern w:val="2"/>
                <w:szCs w:val="21"/>
              </w:rPr>
              <w:t>④</w:t>
            </w:r>
            <w:r>
              <w:rPr>
                <w:rFonts w:hint="eastAsia" w:hAnsi="宋体" w:cs="宋体"/>
                <w:snapToGrid w:val="0"/>
                <w:spacing w:val="-6"/>
                <w:kern w:val="21"/>
                <w:szCs w:val="21"/>
              </w:rPr>
              <w:fldChar w:fldCharType="end"/>
            </w:r>
          </w:p>
        </w:tc>
        <w:tc>
          <w:tcPr>
            <w:tcW w:w="1810" w:type="dxa"/>
            <w:tcMar>
              <w:left w:w="28" w:type="dxa"/>
              <w:right w:w="28" w:type="dxa"/>
            </w:tcMar>
            <w:vAlign w:val="center"/>
          </w:tcPr>
          <w:p>
            <w:pPr>
              <w:pStyle w:val="65"/>
              <w:adjustRightInd/>
              <w:snapToGrid/>
              <w:spacing w:beforeLines="0" w:afterLines="0" w:line="240" w:lineRule="auto"/>
              <w:ind w:left="0" w:leftChars="0" w:firstLine="0" w:firstLineChars="0"/>
              <w:rPr>
                <w:rFonts w:hint="eastAsia" w:hAnsi="宋体" w:cs="宋体"/>
                <w:snapToGrid w:val="0"/>
                <w:spacing w:val="-16"/>
                <w:kern w:val="21"/>
                <w:szCs w:val="21"/>
              </w:rPr>
            </w:pPr>
            <w:r>
              <w:rPr>
                <w:rFonts w:hint="eastAsia" w:hAnsi="宋体" w:cs="宋体"/>
                <w:snapToGrid w:val="0"/>
                <w:spacing w:val="-16"/>
                <w:kern w:val="21"/>
                <w:szCs w:val="21"/>
              </w:rPr>
              <w:t>以新带老削减量</w:t>
            </w:r>
          </w:p>
          <w:p>
            <w:pPr>
              <w:pStyle w:val="65"/>
              <w:adjustRightInd/>
              <w:snapToGrid/>
              <w:spacing w:beforeLines="0" w:afterLines="0" w:line="240" w:lineRule="auto"/>
              <w:ind w:left="0" w:leftChars="0" w:firstLine="0" w:firstLineChars="0"/>
              <w:rPr>
                <w:rFonts w:hint="eastAsia" w:hAnsi="宋体" w:cs="宋体"/>
                <w:snapToGrid w:val="0"/>
                <w:spacing w:val="-16"/>
                <w:kern w:val="21"/>
                <w:szCs w:val="21"/>
              </w:rPr>
            </w:pPr>
            <w:r>
              <w:rPr>
                <w:rFonts w:hint="eastAsia" w:hAnsi="宋体" w:cs="宋体"/>
                <w:snapToGrid w:val="0"/>
                <w:spacing w:val="-16"/>
                <w:kern w:val="21"/>
                <w:szCs w:val="21"/>
              </w:rPr>
              <w:t>（新建项目不填）</w:t>
            </w:r>
            <w:r>
              <w:rPr>
                <w:rFonts w:hint="eastAsia" w:hAnsi="宋体" w:cs="宋体"/>
                <w:snapToGrid w:val="0"/>
                <w:spacing w:val="-16"/>
                <w:kern w:val="21"/>
                <w:szCs w:val="21"/>
              </w:rPr>
              <w:fldChar w:fldCharType="begin"/>
            </w:r>
            <w:r>
              <w:rPr>
                <w:rFonts w:hint="eastAsia" w:hAnsi="宋体" w:cs="宋体"/>
                <w:snapToGrid w:val="0"/>
                <w:spacing w:val="-16"/>
                <w:kern w:val="21"/>
                <w:szCs w:val="21"/>
              </w:rPr>
              <w:instrText xml:space="preserve"> = 5 \* GB3 \* MERGEFORMAT </w:instrText>
            </w:r>
            <w:r>
              <w:rPr>
                <w:rFonts w:hint="eastAsia" w:hAnsi="宋体" w:cs="宋体"/>
                <w:snapToGrid w:val="0"/>
                <w:spacing w:val="-16"/>
                <w:kern w:val="21"/>
                <w:szCs w:val="21"/>
              </w:rPr>
              <w:fldChar w:fldCharType="separate"/>
            </w:r>
            <w:r>
              <w:rPr>
                <w:rFonts w:hint="eastAsia" w:hAnsi="宋体" w:cs="宋体"/>
                <w:kern w:val="2"/>
                <w:szCs w:val="21"/>
              </w:rPr>
              <w:t>⑤</w:t>
            </w:r>
            <w:r>
              <w:rPr>
                <w:rFonts w:hint="eastAsia" w:hAnsi="宋体" w:cs="宋体"/>
                <w:snapToGrid w:val="0"/>
                <w:spacing w:val="-16"/>
                <w:kern w:val="21"/>
                <w:szCs w:val="21"/>
              </w:rPr>
              <w:fldChar w:fldCharType="end"/>
            </w:r>
          </w:p>
        </w:tc>
        <w:tc>
          <w:tcPr>
            <w:tcW w:w="1816" w:type="dxa"/>
            <w:tcMar>
              <w:left w:w="28" w:type="dxa"/>
              <w:right w:w="28" w:type="dxa"/>
            </w:tcMar>
            <w:vAlign w:val="center"/>
          </w:tcPr>
          <w:p>
            <w:pPr>
              <w:pStyle w:val="65"/>
              <w:adjustRightInd/>
              <w:snapToGrid/>
              <w:spacing w:beforeLines="0" w:afterLines="0" w:line="240" w:lineRule="auto"/>
              <w:ind w:left="0" w:leftChars="0" w:firstLine="0" w:firstLineChars="0"/>
              <w:rPr>
                <w:rFonts w:hint="eastAsia" w:hAnsi="宋体" w:cs="宋体"/>
                <w:snapToGrid w:val="0"/>
                <w:spacing w:val="-16"/>
                <w:kern w:val="21"/>
                <w:szCs w:val="21"/>
              </w:rPr>
            </w:pPr>
            <w:r>
              <w:rPr>
                <w:rFonts w:hint="eastAsia" w:hAnsi="宋体" w:cs="宋体"/>
                <w:snapToGrid w:val="0"/>
                <w:spacing w:val="-16"/>
                <w:kern w:val="21"/>
                <w:szCs w:val="21"/>
              </w:rPr>
              <w:t>本项目建成后</w:t>
            </w:r>
          </w:p>
          <w:p>
            <w:pPr>
              <w:pStyle w:val="65"/>
              <w:adjustRightInd/>
              <w:snapToGrid/>
              <w:spacing w:beforeLines="0" w:afterLines="0" w:line="240" w:lineRule="auto"/>
              <w:ind w:left="0" w:leftChars="0" w:firstLine="0" w:firstLineChars="0"/>
              <w:rPr>
                <w:rFonts w:hint="eastAsia" w:hAnsi="宋体" w:cs="宋体"/>
                <w:snapToGrid w:val="0"/>
                <w:spacing w:val="-16"/>
                <w:kern w:val="21"/>
                <w:szCs w:val="21"/>
              </w:rPr>
            </w:pPr>
            <w:r>
              <w:rPr>
                <w:rFonts w:hint="eastAsia" w:hAnsi="宋体" w:cs="宋体"/>
                <w:snapToGrid w:val="0"/>
                <w:spacing w:val="-16"/>
                <w:kern w:val="21"/>
                <w:szCs w:val="21"/>
              </w:rPr>
              <w:t>全厂排放量（固体废物产生量）</w:t>
            </w:r>
            <w:r>
              <w:rPr>
                <w:rFonts w:hint="eastAsia" w:hAnsi="宋体" w:cs="宋体"/>
                <w:snapToGrid w:val="0"/>
                <w:spacing w:val="-16"/>
                <w:kern w:val="21"/>
                <w:szCs w:val="21"/>
              </w:rPr>
              <w:fldChar w:fldCharType="begin"/>
            </w:r>
            <w:r>
              <w:rPr>
                <w:rFonts w:hint="eastAsia" w:hAnsi="宋体" w:cs="宋体"/>
                <w:snapToGrid w:val="0"/>
                <w:spacing w:val="-16"/>
                <w:kern w:val="21"/>
                <w:szCs w:val="21"/>
              </w:rPr>
              <w:instrText xml:space="preserve"> = 6 \* GB3 \* MERGEFORMAT </w:instrText>
            </w:r>
            <w:r>
              <w:rPr>
                <w:rFonts w:hint="eastAsia" w:hAnsi="宋体" w:cs="宋体"/>
                <w:snapToGrid w:val="0"/>
                <w:spacing w:val="-16"/>
                <w:kern w:val="21"/>
                <w:szCs w:val="21"/>
              </w:rPr>
              <w:fldChar w:fldCharType="separate"/>
            </w:r>
            <w:r>
              <w:rPr>
                <w:rFonts w:hint="eastAsia" w:hAnsi="宋体" w:cs="宋体"/>
                <w:kern w:val="2"/>
                <w:szCs w:val="21"/>
              </w:rPr>
              <w:t>⑥</w:t>
            </w:r>
            <w:r>
              <w:rPr>
                <w:rFonts w:hint="eastAsia" w:hAnsi="宋体" w:cs="宋体"/>
                <w:snapToGrid w:val="0"/>
                <w:spacing w:val="-16"/>
                <w:kern w:val="21"/>
                <w:szCs w:val="21"/>
              </w:rPr>
              <w:fldChar w:fldCharType="end"/>
            </w:r>
          </w:p>
        </w:tc>
        <w:tc>
          <w:tcPr>
            <w:tcW w:w="1047" w:type="dxa"/>
            <w:tcMar>
              <w:left w:w="28" w:type="dxa"/>
              <w:right w:w="28" w:type="dxa"/>
            </w:tcMar>
            <w:vAlign w:val="center"/>
          </w:tcPr>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t>变化量</w:t>
            </w:r>
          </w:p>
          <w:p>
            <w:pPr>
              <w:pStyle w:val="65"/>
              <w:adjustRightInd/>
              <w:snapToGrid/>
              <w:spacing w:beforeLines="0" w:afterLines="0" w:line="240" w:lineRule="auto"/>
              <w:ind w:left="0" w:leftChars="0" w:firstLine="0" w:firstLineChars="0"/>
              <w:rPr>
                <w:rFonts w:hint="eastAsia" w:hAnsi="宋体" w:cs="宋体"/>
                <w:snapToGrid w:val="0"/>
                <w:spacing w:val="-6"/>
                <w:kern w:val="21"/>
                <w:szCs w:val="21"/>
              </w:rPr>
            </w:pPr>
            <w:r>
              <w:rPr>
                <w:rFonts w:hint="eastAsia" w:hAnsi="宋体" w:cs="宋体"/>
                <w:snapToGrid w:val="0"/>
                <w:spacing w:val="-6"/>
                <w:kern w:val="21"/>
                <w:szCs w:val="21"/>
              </w:rPr>
              <w:fldChar w:fldCharType="begin"/>
            </w:r>
            <w:r>
              <w:rPr>
                <w:rFonts w:hint="eastAsia" w:hAnsi="宋体" w:cs="宋体"/>
                <w:snapToGrid w:val="0"/>
                <w:spacing w:val="-6"/>
                <w:kern w:val="21"/>
                <w:szCs w:val="21"/>
              </w:rPr>
              <w:instrText xml:space="preserve"> = 7 \* GB3 \* MERGEFORMAT </w:instrText>
            </w:r>
            <w:r>
              <w:rPr>
                <w:rFonts w:hint="eastAsia" w:hAnsi="宋体" w:cs="宋体"/>
                <w:snapToGrid w:val="0"/>
                <w:spacing w:val="-6"/>
                <w:kern w:val="21"/>
                <w:szCs w:val="21"/>
              </w:rPr>
              <w:fldChar w:fldCharType="separate"/>
            </w:r>
            <w:r>
              <w:rPr>
                <w:rFonts w:hint="eastAsia" w:hAnsi="宋体" w:cs="宋体"/>
                <w:kern w:val="2"/>
                <w:szCs w:val="21"/>
              </w:rPr>
              <w:t>⑦</w:t>
            </w:r>
            <w:r>
              <w:rPr>
                <w:rFonts w:hint="eastAsia" w:hAnsi="宋体" w:cs="宋体"/>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restart"/>
            <w:vAlign w:val="center"/>
          </w:tcPr>
          <w:p>
            <w:pPr>
              <w:pStyle w:val="65"/>
              <w:snapToGrid/>
              <w:spacing w:beforeLines="0" w:afterLines="0" w:line="260" w:lineRule="exact"/>
              <w:ind w:left="0" w:leftChars="0" w:firstLine="0" w:firstLineChars="0"/>
              <w:rPr>
                <w:rFonts w:ascii="Times New Roman"/>
                <w:snapToGrid w:val="0"/>
                <w:kern w:val="21"/>
                <w:szCs w:val="21"/>
              </w:rPr>
            </w:pPr>
            <w:r>
              <w:rPr>
                <w:rFonts w:ascii="Times New Roman"/>
                <w:snapToGrid w:val="0"/>
                <w:kern w:val="21"/>
                <w:szCs w:val="21"/>
              </w:rPr>
              <w:t>废气</w:t>
            </w:r>
          </w:p>
        </w:tc>
        <w:tc>
          <w:tcPr>
            <w:tcW w:w="1701" w:type="dxa"/>
            <w:vAlign w:val="center"/>
          </w:tcPr>
          <w:p>
            <w:pPr>
              <w:widowControl/>
              <w:spacing w:line="260" w:lineRule="exact"/>
              <w:jc w:val="center"/>
              <w:rPr>
                <w:szCs w:val="21"/>
              </w:rPr>
            </w:pPr>
            <w:r>
              <w:rPr>
                <w:rFonts w:hint="eastAsia"/>
                <w:szCs w:val="21"/>
              </w:rPr>
              <w:t>颗粒物</w:t>
            </w:r>
          </w:p>
        </w:tc>
        <w:tc>
          <w:tcPr>
            <w:tcW w:w="1633" w:type="dxa"/>
            <w:vAlign w:val="center"/>
          </w:tcPr>
          <w:p>
            <w:pPr>
              <w:jc w:val="center"/>
              <w:rPr>
                <w:rFonts w:hint="default"/>
                <w:snapToGrid w:val="0"/>
                <w:kern w:val="21"/>
                <w:szCs w:val="21"/>
                <w:lang w:val="en-US"/>
              </w:rPr>
            </w:pPr>
          </w:p>
        </w:tc>
        <w:tc>
          <w:tcPr>
            <w:tcW w:w="1312" w:type="dxa"/>
            <w:vAlign w:val="center"/>
          </w:tcPr>
          <w:p>
            <w:pPr>
              <w:jc w:val="center"/>
              <w:rPr>
                <w:szCs w:val="21"/>
              </w:rPr>
            </w:pPr>
          </w:p>
        </w:tc>
        <w:tc>
          <w:tcPr>
            <w:tcW w:w="1749" w:type="dxa"/>
            <w:vAlign w:val="center"/>
          </w:tcPr>
          <w:p>
            <w:pPr>
              <w:jc w:val="center"/>
              <w:rPr>
                <w:szCs w:val="21"/>
              </w:rPr>
            </w:pPr>
          </w:p>
        </w:tc>
        <w:tc>
          <w:tcPr>
            <w:tcW w:w="16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2.395 </w:t>
            </w:r>
          </w:p>
        </w:tc>
        <w:tc>
          <w:tcPr>
            <w:tcW w:w="1810" w:type="dxa"/>
            <w:vAlign w:val="center"/>
          </w:tcPr>
          <w:p>
            <w:pPr>
              <w:jc w:val="center"/>
              <w:rPr>
                <w:szCs w:val="21"/>
              </w:rPr>
            </w:pPr>
          </w:p>
        </w:tc>
        <w:tc>
          <w:tcPr>
            <w:tcW w:w="181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2.395 </w:t>
            </w:r>
          </w:p>
        </w:tc>
        <w:tc>
          <w:tcPr>
            <w:tcW w:w="10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kern w:val="21"/>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2.395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vAlign w:val="center"/>
          </w:tcPr>
          <w:p>
            <w:pPr>
              <w:pStyle w:val="65"/>
              <w:snapToGrid/>
              <w:spacing w:beforeLines="0" w:afterLines="0" w:line="260" w:lineRule="exact"/>
              <w:ind w:left="0" w:leftChars="0" w:firstLine="0" w:firstLineChars="0"/>
              <w:rPr>
                <w:rFonts w:ascii="Times New Roman"/>
                <w:snapToGrid w:val="0"/>
                <w:kern w:val="21"/>
                <w:szCs w:val="21"/>
              </w:rPr>
            </w:pPr>
          </w:p>
        </w:tc>
        <w:tc>
          <w:tcPr>
            <w:tcW w:w="1701" w:type="dxa"/>
            <w:vAlign w:val="center"/>
          </w:tcPr>
          <w:p>
            <w:pPr>
              <w:widowControl/>
              <w:spacing w:line="260" w:lineRule="exact"/>
              <w:jc w:val="center"/>
              <w:rPr>
                <w:rFonts w:hint="eastAsia" w:eastAsia="宋体"/>
                <w:szCs w:val="21"/>
                <w:lang w:val="en-US" w:eastAsia="zh-CN"/>
              </w:rPr>
            </w:pPr>
            <w:r>
              <w:rPr>
                <w:rFonts w:hint="eastAsia"/>
                <w:szCs w:val="21"/>
                <w:lang w:val="en-US" w:eastAsia="zh-CN"/>
              </w:rPr>
              <w:t>苯系物</w:t>
            </w:r>
          </w:p>
        </w:tc>
        <w:tc>
          <w:tcPr>
            <w:tcW w:w="1633" w:type="dxa"/>
            <w:vAlign w:val="center"/>
          </w:tcPr>
          <w:p>
            <w:pPr>
              <w:jc w:val="center"/>
              <w:rPr>
                <w:rFonts w:hint="default"/>
                <w:snapToGrid w:val="0"/>
                <w:kern w:val="21"/>
                <w:szCs w:val="21"/>
                <w:lang w:val="en-US"/>
              </w:rPr>
            </w:pPr>
          </w:p>
        </w:tc>
        <w:tc>
          <w:tcPr>
            <w:tcW w:w="1312" w:type="dxa"/>
            <w:vAlign w:val="center"/>
          </w:tcPr>
          <w:p>
            <w:pPr>
              <w:jc w:val="center"/>
              <w:rPr>
                <w:szCs w:val="21"/>
              </w:rPr>
            </w:pPr>
          </w:p>
        </w:tc>
        <w:tc>
          <w:tcPr>
            <w:tcW w:w="1749" w:type="dxa"/>
            <w:vAlign w:val="center"/>
          </w:tcPr>
          <w:p>
            <w:pPr>
              <w:jc w:val="center"/>
              <w:rPr>
                <w:szCs w:val="21"/>
              </w:rPr>
            </w:pPr>
          </w:p>
        </w:tc>
        <w:tc>
          <w:tcPr>
            <w:tcW w:w="16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0.066 </w:t>
            </w:r>
          </w:p>
        </w:tc>
        <w:tc>
          <w:tcPr>
            <w:tcW w:w="1810" w:type="dxa"/>
            <w:vAlign w:val="center"/>
          </w:tcPr>
          <w:p>
            <w:pPr>
              <w:jc w:val="center"/>
              <w:rPr>
                <w:szCs w:val="21"/>
              </w:rPr>
            </w:pPr>
          </w:p>
        </w:tc>
        <w:tc>
          <w:tcPr>
            <w:tcW w:w="181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0.066 </w:t>
            </w:r>
          </w:p>
        </w:tc>
        <w:tc>
          <w:tcPr>
            <w:tcW w:w="10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kern w:val="21"/>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0.066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vAlign w:val="center"/>
          </w:tcPr>
          <w:p>
            <w:pPr>
              <w:pStyle w:val="65"/>
              <w:snapToGrid/>
              <w:spacing w:beforeLines="0" w:afterLines="0" w:line="260" w:lineRule="exact"/>
              <w:ind w:left="0" w:leftChars="0" w:firstLine="0" w:firstLineChars="0"/>
              <w:rPr>
                <w:rFonts w:ascii="Times New Roman"/>
                <w:snapToGrid w:val="0"/>
                <w:kern w:val="21"/>
                <w:szCs w:val="21"/>
              </w:rPr>
            </w:pPr>
          </w:p>
        </w:tc>
        <w:tc>
          <w:tcPr>
            <w:tcW w:w="1701" w:type="dxa"/>
            <w:vAlign w:val="center"/>
          </w:tcPr>
          <w:p>
            <w:pPr>
              <w:widowControl/>
              <w:spacing w:line="260" w:lineRule="exact"/>
              <w:jc w:val="center"/>
              <w:rPr>
                <w:rFonts w:hint="default"/>
                <w:szCs w:val="21"/>
                <w:lang w:val="en-US" w:eastAsia="zh-CN"/>
              </w:rPr>
            </w:pPr>
            <w:r>
              <w:rPr>
                <w:rFonts w:hint="eastAsia"/>
                <w:szCs w:val="21"/>
                <w:lang w:val="en-US" w:eastAsia="zh-CN"/>
              </w:rPr>
              <w:t>非甲烷总烃</w:t>
            </w:r>
          </w:p>
        </w:tc>
        <w:tc>
          <w:tcPr>
            <w:tcW w:w="1633" w:type="dxa"/>
            <w:vAlign w:val="center"/>
          </w:tcPr>
          <w:p>
            <w:pPr>
              <w:jc w:val="center"/>
              <w:rPr>
                <w:rFonts w:hint="default"/>
                <w:snapToGrid w:val="0"/>
                <w:kern w:val="21"/>
                <w:szCs w:val="21"/>
                <w:lang w:val="en-US"/>
              </w:rPr>
            </w:pPr>
          </w:p>
        </w:tc>
        <w:tc>
          <w:tcPr>
            <w:tcW w:w="1312" w:type="dxa"/>
            <w:vAlign w:val="center"/>
          </w:tcPr>
          <w:p>
            <w:pPr>
              <w:jc w:val="center"/>
              <w:rPr>
                <w:szCs w:val="21"/>
              </w:rPr>
            </w:pPr>
          </w:p>
        </w:tc>
        <w:tc>
          <w:tcPr>
            <w:tcW w:w="1749" w:type="dxa"/>
            <w:vAlign w:val="center"/>
          </w:tcPr>
          <w:p>
            <w:pPr>
              <w:jc w:val="center"/>
              <w:rPr>
                <w:szCs w:val="21"/>
              </w:rPr>
            </w:pPr>
          </w:p>
        </w:tc>
        <w:tc>
          <w:tcPr>
            <w:tcW w:w="16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0.881 </w:t>
            </w:r>
          </w:p>
        </w:tc>
        <w:tc>
          <w:tcPr>
            <w:tcW w:w="1810" w:type="dxa"/>
            <w:vAlign w:val="center"/>
          </w:tcPr>
          <w:p>
            <w:pPr>
              <w:jc w:val="center"/>
              <w:rPr>
                <w:szCs w:val="21"/>
              </w:rPr>
            </w:pPr>
          </w:p>
        </w:tc>
        <w:tc>
          <w:tcPr>
            <w:tcW w:w="181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0.881 </w:t>
            </w:r>
          </w:p>
        </w:tc>
        <w:tc>
          <w:tcPr>
            <w:tcW w:w="104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kern w:val="21"/>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0.881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restart"/>
            <w:vAlign w:val="center"/>
          </w:tcPr>
          <w:p>
            <w:pPr>
              <w:pStyle w:val="65"/>
              <w:snapToGrid/>
              <w:spacing w:beforeLines="0" w:afterLines="0" w:line="260" w:lineRule="exact"/>
              <w:ind w:left="840" w:hanging="420"/>
              <w:rPr>
                <w:rFonts w:ascii="Times New Roman"/>
                <w:snapToGrid w:val="0"/>
                <w:kern w:val="21"/>
                <w:szCs w:val="21"/>
              </w:rPr>
            </w:pPr>
            <w:r>
              <w:rPr>
                <w:rFonts w:ascii="Times New Roman"/>
                <w:snapToGrid w:val="0"/>
                <w:kern w:val="21"/>
                <w:szCs w:val="21"/>
              </w:rPr>
              <w:t>废水</w:t>
            </w:r>
          </w:p>
        </w:tc>
        <w:tc>
          <w:tcPr>
            <w:tcW w:w="1701" w:type="dxa"/>
            <w:vAlign w:val="center"/>
          </w:tcPr>
          <w:p>
            <w:pPr>
              <w:widowControl/>
              <w:jc w:val="center"/>
              <w:textAlignment w:val="center"/>
              <w:rPr>
                <w:color w:val="000000"/>
                <w:szCs w:val="21"/>
              </w:rPr>
            </w:pPr>
            <w:r>
              <w:rPr>
                <w:color w:val="000000"/>
                <w:kern w:val="0"/>
                <w:szCs w:val="21"/>
                <w:lang w:bidi="ar"/>
              </w:rPr>
              <w:t>COD</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widowControl/>
              <w:jc w:val="center"/>
              <w:textAlignment w:val="center"/>
              <w:rPr>
                <w:rFonts w:hint="default"/>
                <w:color w:val="000000"/>
                <w:szCs w:val="21"/>
                <w:lang w:val="en-US"/>
              </w:rPr>
            </w:pPr>
            <w:r>
              <w:rPr>
                <w:rFonts w:hint="default"/>
                <w:color w:val="000000"/>
                <w:szCs w:val="21"/>
                <w:lang w:val="en-US"/>
              </w:rPr>
              <w:t>2.516</w:t>
            </w:r>
          </w:p>
        </w:tc>
        <w:tc>
          <w:tcPr>
            <w:tcW w:w="1810" w:type="dxa"/>
            <w:vAlign w:val="center"/>
          </w:tcPr>
          <w:p>
            <w:pPr>
              <w:jc w:val="center"/>
              <w:rPr>
                <w:szCs w:val="21"/>
              </w:rPr>
            </w:pPr>
          </w:p>
        </w:tc>
        <w:tc>
          <w:tcPr>
            <w:tcW w:w="1816" w:type="dxa"/>
            <w:shd w:val="clear" w:color="auto" w:fill="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color w:val="000000"/>
                <w:szCs w:val="21"/>
                <w:lang w:val="en-US"/>
              </w:rPr>
              <w:t>2.516</w:t>
            </w:r>
          </w:p>
        </w:tc>
        <w:tc>
          <w:tcPr>
            <w:tcW w:w="1047" w:type="dxa"/>
            <w:shd w:val="clear" w:color="auto" w:fill="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color w:val="000000"/>
                <w:szCs w:val="21"/>
                <w:lang w:val="en-US"/>
              </w:rPr>
              <w:t>+2.516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widowControl/>
              <w:jc w:val="center"/>
              <w:textAlignment w:val="center"/>
              <w:rPr>
                <w:color w:val="000000"/>
                <w:szCs w:val="21"/>
              </w:rPr>
            </w:pPr>
            <w:r>
              <w:rPr>
                <w:color w:val="000000"/>
                <w:kern w:val="0"/>
                <w:szCs w:val="21"/>
                <w:lang w:bidi="ar"/>
              </w:rPr>
              <w:t>NH</w:t>
            </w:r>
            <w:r>
              <w:rPr>
                <w:color w:val="000000"/>
                <w:kern w:val="0"/>
                <w:szCs w:val="21"/>
                <w:vertAlign w:val="subscript"/>
                <w:lang w:bidi="ar"/>
              </w:rPr>
              <w:t>3</w:t>
            </w:r>
            <w:r>
              <w:rPr>
                <w:color w:val="000000"/>
                <w:kern w:val="0"/>
                <w:szCs w:val="21"/>
                <w:lang w:bidi="ar"/>
              </w:rPr>
              <w:t>-N</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widowControl/>
              <w:jc w:val="center"/>
              <w:textAlignment w:val="center"/>
              <w:rPr>
                <w:rFonts w:hint="default"/>
                <w:color w:val="000000"/>
                <w:szCs w:val="21"/>
                <w:lang w:val="en-US"/>
              </w:rPr>
            </w:pPr>
            <w:r>
              <w:rPr>
                <w:rFonts w:hint="default"/>
                <w:color w:val="000000"/>
                <w:szCs w:val="21"/>
                <w:lang w:val="en-US"/>
              </w:rPr>
              <w:t>0.318</w:t>
            </w:r>
          </w:p>
        </w:tc>
        <w:tc>
          <w:tcPr>
            <w:tcW w:w="1810" w:type="dxa"/>
            <w:vAlign w:val="center"/>
          </w:tcPr>
          <w:p>
            <w:pPr>
              <w:jc w:val="center"/>
              <w:rPr>
                <w:szCs w:val="21"/>
              </w:rPr>
            </w:pPr>
          </w:p>
        </w:tc>
        <w:tc>
          <w:tcPr>
            <w:tcW w:w="1816" w:type="dxa"/>
            <w:shd w:val="clear" w:color="auto" w:fill="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color w:val="000000"/>
                <w:szCs w:val="21"/>
                <w:lang w:val="en-US"/>
              </w:rPr>
              <w:t>0.318</w:t>
            </w:r>
          </w:p>
        </w:tc>
        <w:tc>
          <w:tcPr>
            <w:tcW w:w="1047" w:type="dxa"/>
            <w:shd w:val="clear" w:color="auto" w:fill="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color w:val="000000"/>
                <w:szCs w:val="21"/>
                <w:lang w:val="en-US"/>
              </w:rPr>
              <w:t>+0.318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widowControl/>
              <w:jc w:val="center"/>
              <w:textAlignment w:val="center"/>
              <w:rPr>
                <w:color w:val="000000"/>
                <w:kern w:val="0"/>
                <w:szCs w:val="21"/>
                <w:lang w:bidi="ar"/>
              </w:rPr>
            </w:pPr>
            <w:r>
              <w:rPr>
                <w:color w:val="000000"/>
                <w:kern w:val="0"/>
                <w:szCs w:val="21"/>
                <w:lang w:bidi="ar"/>
              </w:rPr>
              <w:t>TN</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widowControl/>
              <w:jc w:val="center"/>
              <w:textAlignment w:val="center"/>
              <w:rPr>
                <w:rFonts w:hint="default"/>
                <w:color w:val="000000"/>
                <w:szCs w:val="21"/>
                <w:lang w:val="en-US"/>
              </w:rPr>
            </w:pPr>
            <w:r>
              <w:rPr>
                <w:rFonts w:hint="default"/>
                <w:color w:val="000000"/>
                <w:szCs w:val="21"/>
                <w:lang w:val="en-US"/>
              </w:rPr>
              <w:t>0.519</w:t>
            </w:r>
          </w:p>
        </w:tc>
        <w:tc>
          <w:tcPr>
            <w:tcW w:w="1810" w:type="dxa"/>
            <w:vAlign w:val="center"/>
          </w:tcPr>
          <w:p>
            <w:pPr>
              <w:jc w:val="center"/>
              <w:rPr>
                <w:szCs w:val="21"/>
              </w:rPr>
            </w:pPr>
          </w:p>
        </w:tc>
        <w:tc>
          <w:tcPr>
            <w:tcW w:w="1816" w:type="dxa"/>
            <w:shd w:val="clear" w:color="auto" w:fill="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color w:val="000000"/>
                <w:szCs w:val="21"/>
                <w:lang w:val="en-US"/>
              </w:rPr>
              <w:t>0.519</w:t>
            </w:r>
          </w:p>
        </w:tc>
        <w:tc>
          <w:tcPr>
            <w:tcW w:w="1047" w:type="dxa"/>
            <w:shd w:val="clear" w:color="auto" w:fill="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color w:val="000000"/>
                <w:szCs w:val="21"/>
                <w:lang w:val="en-US"/>
              </w:rPr>
              <w:t>+0.519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widowControl/>
              <w:jc w:val="center"/>
              <w:textAlignment w:val="center"/>
              <w:rPr>
                <w:color w:val="000000"/>
                <w:kern w:val="0"/>
                <w:szCs w:val="21"/>
                <w:lang w:bidi="ar"/>
              </w:rPr>
            </w:pPr>
            <w:r>
              <w:rPr>
                <w:color w:val="000000"/>
                <w:kern w:val="0"/>
                <w:szCs w:val="21"/>
                <w:lang w:bidi="ar"/>
              </w:rPr>
              <w:t>TP</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widowControl/>
              <w:jc w:val="center"/>
              <w:textAlignment w:val="center"/>
              <w:rPr>
                <w:rFonts w:hint="default"/>
                <w:color w:val="000000"/>
                <w:szCs w:val="21"/>
                <w:lang w:val="en-US"/>
              </w:rPr>
            </w:pPr>
            <w:r>
              <w:rPr>
                <w:rFonts w:hint="default"/>
                <w:color w:val="000000"/>
                <w:szCs w:val="21"/>
                <w:lang w:val="en-US"/>
              </w:rPr>
              <w:t>0.046</w:t>
            </w:r>
          </w:p>
        </w:tc>
        <w:tc>
          <w:tcPr>
            <w:tcW w:w="1810" w:type="dxa"/>
            <w:vAlign w:val="center"/>
          </w:tcPr>
          <w:p>
            <w:pPr>
              <w:jc w:val="center"/>
              <w:rPr>
                <w:szCs w:val="21"/>
              </w:rPr>
            </w:pPr>
          </w:p>
        </w:tc>
        <w:tc>
          <w:tcPr>
            <w:tcW w:w="1816" w:type="dxa"/>
            <w:shd w:val="clear" w:color="auto" w:fill="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color w:val="000000"/>
                <w:szCs w:val="21"/>
                <w:lang w:val="en-US"/>
              </w:rPr>
              <w:t>0.046</w:t>
            </w:r>
          </w:p>
        </w:tc>
        <w:tc>
          <w:tcPr>
            <w:tcW w:w="1047" w:type="dxa"/>
            <w:shd w:val="clear" w:color="auto" w:fill="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color w:val="000000"/>
                <w:szCs w:val="21"/>
                <w:lang w:val="en-US"/>
              </w:rPr>
              <w:t>+0.046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restart"/>
            <w:vAlign w:val="center"/>
          </w:tcPr>
          <w:p>
            <w:pPr>
              <w:pStyle w:val="65"/>
              <w:snapToGrid/>
              <w:spacing w:beforeLines="0" w:afterLines="0" w:line="260" w:lineRule="exact"/>
              <w:ind w:left="0" w:leftChars="0" w:firstLine="0" w:firstLineChars="0"/>
              <w:rPr>
                <w:rFonts w:ascii="Times New Roman"/>
                <w:snapToGrid w:val="0"/>
                <w:kern w:val="21"/>
                <w:szCs w:val="21"/>
              </w:rPr>
            </w:pPr>
            <w:r>
              <w:rPr>
                <w:rFonts w:ascii="Times New Roman"/>
                <w:snapToGrid w:val="0"/>
                <w:kern w:val="21"/>
                <w:szCs w:val="21"/>
              </w:rPr>
              <w:t>一般工业固体废物</w:t>
            </w:r>
          </w:p>
        </w:tc>
        <w:tc>
          <w:tcPr>
            <w:tcW w:w="1701" w:type="dxa"/>
            <w:vAlign w:val="center"/>
          </w:tcPr>
          <w:p>
            <w:pPr>
              <w:pStyle w:val="158"/>
              <w:spacing w:line="240" w:lineRule="auto"/>
              <w:ind w:firstLine="0" w:firstLineChars="0"/>
              <w:jc w:val="center"/>
              <w:rPr>
                <w:rFonts w:cs="Times New Roman"/>
                <w:color w:val="auto"/>
                <w:sz w:val="21"/>
                <w:szCs w:val="24"/>
              </w:rPr>
            </w:pPr>
            <w:r>
              <w:rPr>
                <w:rFonts w:hint="eastAsia" w:cs="Times New Roman"/>
                <w:color w:val="auto"/>
                <w:sz w:val="21"/>
                <w:szCs w:val="24"/>
              </w:rPr>
              <w:t>生活垃圾</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pStyle w:val="158"/>
              <w:spacing w:line="240" w:lineRule="auto"/>
              <w:ind w:firstLine="0" w:firstLineChars="0"/>
              <w:jc w:val="center"/>
              <w:rPr>
                <w:rFonts w:hint="default" w:cs="Times New Roman"/>
                <w:color w:val="auto"/>
                <w:sz w:val="21"/>
                <w:szCs w:val="24"/>
                <w:lang w:val="en-US"/>
              </w:rPr>
            </w:pPr>
            <w:r>
              <w:rPr>
                <w:rFonts w:hint="default" w:cs="Times New Roman"/>
                <w:color w:val="auto"/>
                <w:sz w:val="21"/>
                <w:szCs w:val="24"/>
                <w:lang w:val="en-US"/>
              </w:rPr>
              <w:t>45</w:t>
            </w:r>
          </w:p>
        </w:tc>
        <w:tc>
          <w:tcPr>
            <w:tcW w:w="1810" w:type="dxa"/>
            <w:vAlign w:val="center"/>
          </w:tcPr>
          <w:p>
            <w:pPr>
              <w:jc w:val="center"/>
              <w:rPr>
                <w:szCs w:val="21"/>
              </w:rPr>
            </w:pPr>
          </w:p>
        </w:tc>
        <w:tc>
          <w:tcPr>
            <w:tcW w:w="1816"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szCs w:val="24"/>
                <w:lang w:val="en-US"/>
              </w:rPr>
              <w:t>45</w:t>
            </w:r>
          </w:p>
        </w:tc>
        <w:tc>
          <w:tcPr>
            <w:tcW w:w="1047"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w:t>
            </w:r>
            <w:r>
              <w:rPr>
                <w:rFonts w:hint="default" w:cs="Times New Roman"/>
                <w:color w:val="auto"/>
                <w:sz w:val="21"/>
                <w:szCs w:val="24"/>
                <w:lang w:val="en-US"/>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pStyle w:val="139"/>
              <w:rPr>
                <w:bCs w:val="0"/>
                <w:color w:val="auto"/>
              </w:rPr>
            </w:pPr>
            <w:r>
              <w:rPr>
                <w:rFonts w:hint="eastAsia"/>
                <w:bCs w:val="0"/>
                <w:color w:val="auto"/>
              </w:rPr>
              <w:t>废包装材料</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pStyle w:val="139"/>
              <w:rPr>
                <w:rFonts w:hint="default"/>
                <w:bCs w:val="0"/>
                <w:color w:val="auto"/>
                <w:lang w:val="en-US"/>
              </w:rPr>
            </w:pPr>
            <w:r>
              <w:rPr>
                <w:rFonts w:hint="default"/>
                <w:bCs w:val="0"/>
                <w:color w:val="auto"/>
                <w:lang w:val="en-US"/>
              </w:rPr>
              <w:t>5</w:t>
            </w:r>
          </w:p>
        </w:tc>
        <w:tc>
          <w:tcPr>
            <w:tcW w:w="1810" w:type="dxa"/>
            <w:vAlign w:val="center"/>
          </w:tcPr>
          <w:p>
            <w:pPr>
              <w:jc w:val="center"/>
              <w:rPr>
                <w:szCs w:val="21"/>
              </w:rPr>
            </w:pPr>
          </w:p>
        </w:tc>
        <w:tc>
          <w:tcPr>
            <w:tcW w:w="1816" w:type="dxa"/>
            <w:shd w:val="clear" w:color="auto" w:fill="auto"/>
            <w:vAlign w:val="center"/>
          </w:tcPr>
          <w:p>
            <w:pPr>
              <w:pStyle w:val="139"/>
              <w:rPr>
                <w:rFonts w:hint="default" w:ascii="Times New Roman" w:hAnsi="Times New Roman" w:eastAsia="宋体" w:cs="Times New Roman"/>
                <w:bCs w:val="0"/>
                <w:color w:val="auto"/>
                <w:kern w:val="2"/>
                <w:sz w:val="21"/>
                <w:szCs w:val="24"/>
                <w:lang w:val="en-US" w:eastAsia="zh-CN" w:bidi="ar-SA"/>
              </w:rPr>
            </w:pPr>
            <w:r>
              <w:rPr>
                <w:rFonts w:hint="default"/>
                <w:bCs w:val="0"/>
                <w:color w:val="auto"/>
                <w:lang w:val="en-US"/>
              </w:rPr>
              <w:t>5</w:t>
            </w:r>
          </w:p>
        </w:tc>
        <w:tc>
          <w:tcPr>
            <w:tcW w:w="1047" w:type="dxa"/>
            <w:shd w:val="clear" w:color="auto" w:fill="auto"/>
            <w:vAlign w:val="center"/>
          </w:tcPr>
          <w:p>
            <w:pPr>
              <w:pStyle w:val="139"/>
              <w:rPr>
                <w:rFonts w:hint="default" w:ascii="Times New Roman" w:hAnsi="Times New Roman" w:eastAsia="宋体" w:cs="Times New Roman"/>
                <w:bCs w:val="0"/>
                <w:color w:val="auto"/>
                <w:kern w:val="2"/>
                <w:sz w:val="21"/>
                <w:szCs w:val="24"/>
                <w:lang w:val="en-US" w:eastAsia="zh-CN" w:bidi="ar-SA"/>
              </w:rPr>
            </w:pPr>
            <w:r>
              <w:rPr>
                <w:rFonts w:hint="eastAsia"/>
                <w:bCs w:val="0"/>
                <w:color w:val="auto"/>
                <w:lang w:val="en-US" w:eastAsia="zh-CN"/>
              </w:rPr>
              <w:t>+</w:t>
            </w:r>
            <w:r>
              <w:rPr>
                <w:rFonts w:hint="default"/>
                <w:bCs w:val="0"/>
                <w:color w:val="auto"/>
                <w:lang w:val="en-US"/>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pStyle w:val="139"/>
              <w:rPr>
                <w:rFonts w:hint="eastAsia" w:eastAsia="宋体"/>
                <w:bCs w:val="0"/>
                <w:color w:val="auto"/>
                <w:lang w:val="en-US" w:eastAsia="zh-CN"/>
              </w:rPr>
            </w:pPr>
            <w:r>
              <w:rPr>
                <w:rFonts w:hint="eastAsia"/>
                <w:bCs w:val="0"/>
                <w:color w:val="auto"/>
              </w:rPr>
              <w:t>废</w:t>
            </w:r>
            <w:r>
              <w:rPr>
                <w:rFonts w:hint="eastAsia"/>
                <w:bCs w:val="0"/>
                <w:color w:val="auto"/>
                <w:lang w:val="en-US" w:eastAsia="zh-CN"/>
              </w:rPr>
              <w:t>木屑</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pStyle w:val="139"/>
              <w:rPr>
                <w:rFonts w:hint="default" w:eastAsia="宋体"/>
                <w:bCs w:val="0"/>
                <w:color w:val="auto"/>
                <w:lang w:val="en-US" w:eastAsia="zh-CN"/>
              </w:rPr>
            </w:pPr>
            <w:r>
              <w:rPr>
                <w:rFonts w:hint="eastAsia"/>
                <w:bCs w:val="0"/>
                <w:color w:val="auto"/>
                <w:lang w:val="en-US" w:eastAsia="zh-CN"/>
              </w:rPr>
              <w:t>20</w:t>
            </w:r>
          </w:p>
        </w:tc>
        <w:tc>
          <w:tcPr>
            <w:tcW w:w="1810" w:type="dxa"/>
            <w:vAlign w:val="center"/>
          </w:tcPr>
          <w:p>
            <w:pPr>
              <w:jc w:val="center"/>
              <w:rPr>
                <w:szCs w:val="21"/>
              </w:rPr>
            </w:pPr>
          </w:p>
        </w:tc>
        <w:tc>
          <w:tcPr>
            <w:tcW w:w="1816" w:type="dxa"/>
            <w:shd w:val="clear" w:color="auto" w:fill="auto"/>
            <w:vAlign w:val="center"/>
          </w:tcPr>
          <w:p>
            <w:pPr>
              <w:pStyle w:val="139"/>
              <w:rPr>
                <w:rFonts w:hint="default" w:ascii="Times New Roman" w:hAnsi="Times New Roman" w:eastAsia="宋体" w:cs="Times New Roman"/>
                <w:bCs w:val="0"/>
                <w:color w:val="auto"/>
                <w:kern w:val="2"/>
                <w:sz w:val="21"/>
                <w:szCs w:val="24"/>
                <w:lang w:val="en-US" w:eastAsia="zh-CN" w:bidi="ar-SA"/>
              </w:rPr>
            </w:pPr>
            <w:r>
              <w:rPr>
                <w:rFonts w:hint="eastAsia"/>
                <w:bCs w:val="0"/>
                <w:color w:val="auto"/>
                <w:lang w:val="en-US" w:eastAsia="zh-CN"/>
              </w:rPr>
              <w:t>20</w:t>
            </w:r>
          </w:p>
        </w:tc>
        <w:tc>
          <w:tcPr>
            <w:tcW w:w="1047" w:type="dxa"/>
            <w:shd w:val="clear" w:color="auto" w:fill="auto"/>
            <w:vAlign w:val="center"/>
          </w:tcPr>
          <w:p>
            <w:pPr>
              <w:pStyle w:val="139"/>
              <w:rPr>
                <w:rFonts w:hint="default" w:ascii="Times New Roman" w:hAnsi="Times New Roman" w:eastAsia="宋体" w:cs="Times New Roman"/>
                <w:bCs w:val="0"/>
                <w:color w:val="auto"/>
                <w:kern w:val="2"/>
                <w:sz w:val="21"/>
                <w:szCs w:val="24"/>
                <w:lang w:val="en-US" w:eastAsia="zh-CN" w:bidi="ar-SA"/>
              </w:rPr>
            </w:pPr>
            <w:r>
              <w:rPr>
                <w:rFonts w:hint="eastAsia"/>
                <w:bCs w:val="0"/>
                <w:color w:val="auto"/>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pStyle w:val="139"/>
              <w:rPr>
                <w:rFonts w:hint="default" w:eastAsia="宋体"/>
                <w:bCs w:val="0"/>
                <w:color w:val="auto"/>
                <w:lang w:val="en-US" w:eastAsia="zh-CN"/>
              </w:rPr>
            </w:pPr>
            <w:r>
              <w:rPr>
                <w:rFonts w:hint="eastAsia"/>
                <w:bCs w:val="0"/>
                <w:color w:val="auto"/>
                <w:lang w:val="en-US" w:eastAsia="zh-CN"/>
              </w:rPr>
              <w:t>收集尘</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pStyle w:val="139"/>
              <w:rPr>
                <w:rFonts w:hint="default"/>
                <w:bCs w:val="0"/>
                <w:color w:val="auto"/>
                <w:lang w:val="en-US" w:eastAsia="zh-CN"/>
              </w:rPr>
            </w:pPr>
            <w:r>
              <w:rPr>
                <w:rFonts w:hint="eastAsia"/>
                <w:bCs w:val="0"/>
                <w:color w:val="auto"/>
                <w:lang w:val="en-US" w:eastAsia="zh-CN"/>
              </w:rPr>
              <w:t>5.5</w:t>
            </w:r>
          </w:p>
        </w:tc>
        <w:tc>
          <w:tcPr>
            <w:tcW w:w="1810" w:type="dxa"/>
            <w:vAlign w:val="center"/>
          </w:tcPr>
          <w:p>
            <w:pPr>
              <w:jc w:val="center"/>
              <w:rPr>
                <w:szCs w:val="21"/>
              </w:rPr>
            </w:pPr>
          </w:p>
        </w:tc>
        <w:tc>
          <w:tcPr>
            <w:tcW w:w="1816" w:type="dxa"/>
            <w:shd w:val="clear" w:color="auto" w:fill="auto"/>
            <w:vAlign w:val="center"/>
          </w:tcPr>
          <w:p>
            <w:pPr>
              <w:pStyle w:val="139"/>
              <w:rPr>
                <w:rFonts w:hint="default" w:ascii="Times New Roman" w:hAnsi="Times New Roman" w:eastAsia="宋体" w:cs="Times New Roman"/>
                <w:bCs w:val="0"/>
                <w:color w:val="auto"/>
                <w:kern w:val="2"/>
                <w:sz w:val="21"/>
                <w:szCs w:val="24"/>
                <w:lang w:val="en-US" w:eastAsia="zh-CN" w:bidi="ar-SA"/>
              </w:rPr>
            </w:pPr>
            <w:r>
              <w:rPr>
                <w:rFonts w:hint="eastAsia"/>
                <w:bCs w:val="0"/>
                <w:color w:val="auto"/>
                <w:lang w:val="en-US" w:eastAsia="zh-CN"/>
              </w:rPr>
              <w:t>5.5</w:t>
            </w:r>
          </w:p>
        </w:tc>
        <w:tc>
          <w:tcPr>
            <w:tcW w:w="1047" w:type="dxa"/>
            <w:shd w:val="clear" w:color="auto" w:fill="auto"/>
            <w:vAlign w:val="center"/>
          </w:tcPr>
          <w:p>
            <w:pPr>
              <w:pStyle w:val="139"/>
              <w:rPr>
                <w:rFonts w:hint="default" w:ascii="Times New Roman" w:hAnsi="Times New Roman" w:eastAsia="宋体" w:cs="Times New Roman"/>
                <w:bCs w:val="0"/>
                <w:color w:val="auto"/>
                <w:kern w:val="2"/>
                <w:sz w:val="21"/>
                <w:szCs w:val="24"/>
                <w:lang w:val="en-US" w:eastAsia="zh-CN" w:bidi="ar-SA"/>
              </w:rPr>
            </w:pPr>
            <w:r>
              <w:rPr>
                <w:rFonts w:hint="eastAsia"/>
                <w:bCs w:val="0"/>
                <w:color w:val="auto"/>
                <w:lang w:val="en-US" w:eastAsia="zh-CN"/>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pStyle w:val="139"/>
              <w:rPr>
                <w:rFonts w:hint="default"/>
                <w:bCs w:val="0"/>
                <w:color w:val="auto"/>
                <w:lang w:val="en-US" w:eastAsia="zh-CN"/>
              </w:rPr>
            </w:pPr>
            <w:r>
              <w:rPr>
                <w:rFonts w:hint="eastAsia"/>
                <w:bCs w:val="0"/>
                <w:color w:val="auto"/>
                <w:lang w:val="en-US" w:eastAsia="zh-CN"/>
              </w:rPr>
              <w:t>废砂纸</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pStyle w:val="139"/>
              <w:rPr>
                <w:rFonts w:hint="default"/>
                <w:bCs w:val="0"/>
                <w:color w:val="auto"/>
                <w:lang w:val="en-US" w:eastAsia="zh-CN"/>
              </w:rPr>
            </w:pPr>
            <w:r>
              <w:rPr>
                <w:rFonts w:hint="eastAsia"/>
                <w:bCs w:val="0"/>
                <w:color w:val="auto"/>
                <w:lang w:val="en-US" w:eastAsia="zh-CN"/>
              </w:rPr>
              <w:t>0.5</w:t>
            </w:r>
          </w:p>
        </w:tc>
        <w:tc>
          <w:tcPr>
            <w:tcW w:w="1810" w:type="dxa"/>
            <w:vAlign w:val="center"/>
          </w:tcPr>
          <w:p>
            <w:pPr>
              <w:jc w:val="center"/>
              <w:rPr>
                <w:szCs w:val="21"/>
              </w:rPr>
            </w:pPr>
          </w:p>
        </w:tc>
        <w:tc>
          <w:tcPr>
            <w:tcW w:w="1816" w:type="dxa"/>
            <w:shd w:val="clear" w:color="auto" w:fill="auto"/>
            <w:vAlign w:val="center"/>
          </w:tcPr>
          <w:p>
            <w:pPr>
              <w:pStyle w:val="139"/>
              <w:rPr>
                <w:rFonts w:hint="default" w:ascii="Times New Roman" w:hAnsi="Times New Roman" w:eastAsia="宋体" w:cs="Times New Roman"/>
                <w:bCs w:val="0"/>
                <w:color w:val="auto"/>
                <w:kern w:val="2"/>
                <w:sz w:val="21"/>
                <w:szCs w:val="24"/>
                <w:lang w:val="en-US" w:eastAsia="zh-CN" w:bidi="ar-SA"/>
              </w:rPr>
            </w:pPr>
            <w:r>
              <w:rPr>
                <w:rFonts w:hint="eastAsia"/>
                <w:bCs w:val="0"/>
                <w:color w:val="auto"/>
                <w:lang w:val="en-US" w:eastAsia="zh-CN"/>
              </w:rPr>
              <w:t>0.5</w:t>
            </w:r>
          </w:p>
        </w:tc>
        <w:tc>
          <w:tcPr>
            <w:tcW w:w="1047" w:type="dxa"/>
            <w:shd w:val="clear" w:color="auto" w:fill="auto"/>
            <w:vAlign w:val="center"/>
          </w:tcPr>
          <w:p>
            <w:pPr>
              <w:pStyle w:val="139"/>
              <w:rPr>
                <w:rFonts w:hint="default" w:ascii="Times New Roman" w:hAnsi="Times New Roman" w:eastAsia="宋体" w:cs="Times New Roman"/>
                <w:bCs w:val="0"/>
                <w:color w:val="auto"/>
                <w:kern w:val="2"/>
                <w:sz w:val="21"/>
                <w:szCs w:val="24"/>
                <w:lang w:val="en-US" w:eastAsia="zh-CN" w:bidi="ar-SA"/>
              </w:rPr>
            </w:pPr>
            <w:r>
              <w:rPr>
                <w:rFonts w:hint="eastAsia"/>
                <w:bCs w:val="0"/>
                <w:color w:val="auto"/>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504" w:type="dxa"/>
            <w:vMerge w:val="restart"/>
            <w:vAlign w:val="center"/>
          </w:tcPr>
          <w:p>
            <w:pPr>
              <w:pStyle w:val="65"/>
              <w:snapToGrid/>
              <w:spacing w:beforeLines="0" w:afterLines="0" w:line="260" w:lineRule="exact"/>
              <w:ind w:left="0" w:leftChars="0" w:firstLine="0" w:firstLineChars="0"/>
              <w:rPr>
                <w:rFonts w:ascii="Times New Roman"/>
                <w:snapToGrid w:val="0"/>
                <w:kern w:val="21"/>
                <w:szCs w:val="21"/>
              </w:rPr>
            </w:pPr>
            <w:r>
              <w:rPr>
                <w:rFonts w:ascii="Times New Roman"/>
                <w:snapToGrid w:val="0"/>
                <w:kern w:val="21"/>
                <w:szCs w:val="21"/>
              </w:rPr>
              <w:t>危险废物</w:t>
            </w:r>
          </w:p>
        </w:tc>
        <w:tc>
          <w:tcPr>
            <w:tcW w:w="1701" w:type="dxa"/>
            <w:vAlign w:val="center"/>
          </w:tcPr>
          <w:p>
            <w:pPr>
              <w:pStyle w:val="139"/>
              <w:rPr>
                <w:rFonts w:hint="eastAsia" w:eastAsia="宋体"/>
                <w:bCs w:val="0"/>
                <w:color w:val="auto"/>
                <w:lang w:eastAsia="zh-CN"/>
              </w:rPr>
            </w:pPr>
            <w:r>
              <w:rPr>
                <w:rFonts w:hint="eastAsia"/>
                <w:bCs w:val="0"/>
                <w:color w:val="auto"/>
              </w:rPr>
              <w:t>废</w:t>
            </w:r>
            <w:r>
              <w:rPr>
                <w:rFonts w:hint="eastAsia"/>
                <w:bCs w:val="0"/>
                <w:color w:val="auto"/>
                <w:lang w:val="en-US" w:eastAsia="zh-CN"/>
              </w:rPr>
              <w:t>润滑油</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pStyle w:val="158"/>
              <w:spacing w:line="240" w:lineRule="auto"/>
              <w:ind w:firstLine="0" w:firstLineChars="0"/>
              <w:jc w:val="center"/>
              <w:rPr>
                <w:rFonts w:hint="default" w:eastAsia="宋体" w:cs="Times New Roman"/>
                <w:color w:val="auto"/>
                <w:sz w:val="21"/>
                <w:szCs w:val="24"/>
                <w:lang w:val="en-US" w:eastAsia="zh-CN"/>
              </w:rPr>
            </w:pPr>
            <w:r>
              <w:rPr>
                <w:rFonts w:hint="eastAsia" w:cs="Times New Roman"/>
                <w:color w:val="auto"/>
                <w:sz w:val="21"/>
                <w:szCs w:val="24"/>
                <w:lang w:val="en-US" w:eastAsia="zh-CN"/>
              </w:rPr>
              <w:t>0.2</w:t>
            </w:r>
          </w:p>
        </w:tc>
        <w:tc>
          <w:tcPr>
            <w:tcW w:w="1810" w:type="dxa"/>
            <w:vAlign w:val="center"/>
          </w:tcPr>
          <w:p>
            <w:pPr>
              <w:jc w:val="center"/>
              <w:rPr>
                <w:szCs w:val="21"/>
              </w:rPr>
            </w:pPr>
          </w:p>
        </w:tc>
        <w:tc>
          <w:tcPr>
            <w:tcW w:w="1816"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0.2</w:t>
            </w:r>
          </w:p>
        </w:tc>
        <w:tc>
          <w:tcPr>
            <w:tcW w:w="1047"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pStyle w:val="139"/>
              <w:rPr>
                <w:rFonts w:hint="default" w:eastAsia="宋体"/>
                <w:bCs w:val="0"/>
                <w:color w:val="auto"/>
                <w:lang w:val="en-US" w:eastAsia="zh-CN"/>
              </w:rPr>
            </w:pPr>
            <w:r>
              <w:rPr>
                <w:rFonts w:hint="eastAsia"/>
                <w:bCs w:val="0"/>
                <w:color w:val="auto"/>
              </w:rPr>
              <w:t>废</w:t>
            </w:r>
            <w:r>
              <w:rPr>
                <w:rFonts w:hint="eastAsia"/>
                <w:bCs w:val="0"/>
                <w:color w:val="auto"/>
                <w:lang w:val="en-US" w:eastAsia="zh-CN"/>
              </w:rPr>
              <w:t>含油抹布</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pStyle w:val="158"/>
              <w:spacing w:line="240" w:lineRule="auto"/>
              <w:ind w:firstLine="0" w:firstLineChars="0"/>
              <w:jc w:val="center"/>
              <w:rPr>
                <w:rFonts w:hint="default" w:eastAsia="宋体" w:cs="Times New Roman"/>
                <w:color w:val="auto"/>
                <w:sz w:val="21"/>
                <w:szCs w:val="24"/>
                <w:lang w:val="en-US" w:eastAsia="zh-CN"/>
              </w:rPr>
            </w:pPr>
            <w:r>
              <w:rPr>
                <w:rFonts w:hint="eastAsia" w:cs="Times New Roman"/>
                <w:color w:val="auto"/>
                <w:sz w:val="21"/>
                <w:szCs w:val="24"/>
                <w:lang w:val="en-US" w:eastAsia="zh-CN"/>
              </w:rPr>
              <w:t>0.02</w:t>
            </w:r>
          </w:p>
        </w:tc>
        <w:tc>
          <w:tcPr>
            <w:tcW w:w="1810" w:type="dxa"/>
            <w:vAlign w:val="center"/>
          </w:tcPr>
          <w:p>
            <w:pPr>
              <w:jc w:val="center"/>
              <w:rPr>
                <w:szCs w:val="21"/>
              </w:rPr>
            </w:pPr>
          </w:p>
        </w:tc>
        <w:tc>
          <w:tcPr>
            <w:tcW w:w="1816"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0.02</w:t>
            </w:r>
          </w:p>
        </w:tc>
        <w:tc>
          <w:tcPr>
            <w:tcW w:w="1047"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pStyle w:val="139"/>
              <w:rPr>
                <w:rFonts w:hint="default" w:eastAsia="宋体"/>
                <w:bCs w:val="0"/>
                <w:color w:val="auto"/>
                <w:lang w:val="en-US" w:eastAsia="zh-CN"/>
              </w:rPr>
            </w:pPr>
            <w:r>
              <w:rPr>
                <w:rFonts w:hint="eastAsia"/>
                <w:bCs w:val="0"/>
                <w:color w:val="auto"/>
              </w:rPr>
              <w:t>废</w:t>
            </w:r>
            <w:r>
              <w:rPr>
                <w:rFonts w:hint="eastAsia"/>
                <w:bCs w:val="0"/>
                <w:color w:val="auto"/>
                <w:lang w:val="en-US" w:eastAsia="zh-CN"/>
              </w:rPr>
              <w:t>漆渣</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pStyle w:val="158"/>
              <w:spacing w:line="240" w:lineRule="auto"/>
              <w:ind w:firstLine="0" w:firstLineChars="0"/>
              <w:jc w:val="center"/>
              <w:rPr>
                <w:rFonts w:hint="default" w:eastAsia="宋体" w:cs="Times New Roman"/>
                <w:color w:val="auto"/>
                <w:sz w:val="21"/>
                <w:szCs w:val="24"/>
                <w:lang w:val="en-US" w:eastAsia="zh-CN"/>
              </w:rPr>
            </w:pPr>
            <w:r>
              <w:rPr>
                <w:rFonts w:hint="eastAsia" w:cs="Times New Roman"/>
                <w:color w:val="auto"/>
                <w:sz w:val="21"/>
                <w:szCs w:val="24"/>
                <w:lang w:val="en-US" w:eastAsia="zh-CN"/>
              </w:rPr>
              <w:t>1.0</w:t>
            </w:r>
          </w:p>
        </w:tc>
        <w:tc>
          <w:tcPr>
            <w:tcW w:w="1810" w:type="dxa"/>
            <w:vAlign w:val="center"/>
          </w:tcPr>
          <w:p>
            <w:pPr>
              <w:jc w:val="center"/>
              <w:rPr>
                <w:szCs w:val="21"/>
              </w:rPr>
            </w:pPr>
          </w:p>
        </w:tc>
        <w:tc>
          <w:tcPr>
            <w:tcW w:w="1816"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1.0</w:t>
            </w:r>
          </w:p>
        </w:tc>
        <w:tc>
          <w:tcPr>
            <w:tcW w:w="1047"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pStyle w:val="139"/>
              <w:rPr>
                <w:rFonts w:hint="eastAsia" w:eastAsia="宋体"/>
                <w:bCs w:val="0"/>
                <w:color w:val="auto"/>
                <w:lang w:eastAsia="zh-CN"/>
              </w:rPr>
            </w:pPr>
            <w:r>
              <w:rPr>
                <w:rFonts w:hint="eastAsia"/>
                <w:bCs w:val="0"/>
                <w:color w:val="auto"/>
              </w:rPr>
              <w:t>废</w:t>
            </w:r>
            <w:r>
              <w:rPr>
                <w:rFonts w:hint="eastAsia"/>
                <w:bCs w:val="0"/>
                <w:color w:val="auto"/>
                <w:lang w:val="en-US" w:eastAsia="zh-CN"/>
              </w:rPr>
              <w:t>油漆桶</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pStyle w:val="158"/>
              <w:spacing w:line="240" w:lineRule="auto"/>
              <w:ind w:firstLine="0" w:firstLineChars="0"/>
              <w:jc w:val="center"/>
              <w:rPr>
                <w:rFonts w:hint="default" w:eastAsia="宋体" w:cs="Times New Roman"/>
                <w:color w:val="auto"/>
                <w:sz w:val="21"/>
                <w:szCs w:val="24"/>
                <w:lang w:val="en-US" w:eastAsia="zh-CN"/>
              </w:rPr>
            </w:pPr>
            <w:r>
              <w:rPr>
                <w:rFonts w:hint="eastAsia" w:cs="Times New Roman"/>
                <w:color w:val="auto"/>
                <w:sz w:val="21"/>
                <w:szCs w:val="24"/>
                <w:lang w:val="en-US" w:eastAsia="zh-CN"/>
              </w:rPr>
              <w:t>0.1</w:t>
            </w:r>
          </w:p>
        </w:tc>
        <w:tc>
          <w:tcPr>
            <w:tcW w:w="1810" w:type="dxa"/>
            <w:vAlign w:val="center"/>
          </w:tcPr>
          <w:p>
            <w:pPr>
              <w:jc w:val="center"/>
              <w:rPr>
                <w:szCs w:val="21"/>
              </w:rPr>
            </w:pPr>
          </w:p>
        </w:tc>
        <w:tc>
          <w:tcPr>
            <w:tcW w:w="1816"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0.1</w:t>
            </w:r>
          </w:p>
        </w:tc>
        <w:tc>
          <w:tcPr>
            <w:tcW w:w="1047"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pStyle w:val="139"/>
              <w:rPr>
                <w:rFonts w:hint="default" w:eastAsia="宋体"/>
                <w:bCs w:val="0"/>
                <w:color w:val="auto"/>
                <w:lang w:val="en-US" w:eastAsia="zh-CN"/>
              </w:rPr>
            </w:pPr>
            <w:r>
              <w:rPr>
                <w:rFonts w:hint="eastAsia"/>
                <w:bCs w:val="0"/>
                <w:color w:val="auto"/>
              </w:rPr>
              <w:t>废</w:t>
            </w:r>
            <w:r>
              <w:rPr>
                <w:rFonts w:hint="eastAsia"/>
                <w:bCs w:val="0"/>
                <w:color w:val="auto"/>
                <w:lang w:val="en-US" w:eastAsia="zh-CN"/>
              </w:rPr>
              <w:t>水帘柜废液</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pStyle w:val="158"/>
              <w:spacing w:line="240" w:lineRule="auto"/>
              <w:ind w:firstLine="0" w:firstLineChars="0"/>
              <w:jc w:val="center"/>
              <w:rPr>
                <w:rFonts w:hint="eastAsia" w:eastAsia="宋体" w:cs="Times New Roman"/>
                <w:color w:val="auto"/>
                <w:sz w:val="21"/>
                <w:szCs w:val="24"/>
                <w:lang w:val="en-US" w:eastAsia="zh-CN"/>
              </w:rPr>
            </w:pPr>
            <w:r>
              <w:rPr>
                <w:rFonts w:hint="eastAsia" w:cs="Times New Roman"/>
                <w:color w:val="auto"/>
                <w:sz w:val="21"/>
                <w:szCs w:val="24"/>
                <w:lang w:val="en-US" w:eastAsia="zh-CN"/>
              </w:rPr>
              <w:t>6</w:t>
            </w:r>
          </w:p>
        </w:tc>
        <w:tc>
          <w:tcPr>
            <w:tcW w:w="1810" w:type="dxa"/>
            <w:vAlign w:val="center"/>
          </w:tcPr>
          <w:p>
            <w:pPr>
              <w:jc w:val="center"/>
              <w:rPr>
                <w:szCs w:val="21"/>
              </w:rPr>
            </w:pPr>
          </w:p>
        </w:tc>
        <w:tc>
          <w:tcPr>
            <w:tcW w:w="1816" w:type="dxa"/>
            <w:shd w:val="clear" w:color="auto" w:fill="auto"/>
            <w:vAlign w:val="center"/>
          </w:tcPr>
          <w:p>
            <w:pPr>
              <w:pStyle w:val="158"/>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6</w:t>
            </w:r>
          </w:p>
        </w:tc>
        <w:tc>
          <w:tcPr>
            <w:tcW w:w="1047" w:type="dxa"/>
            <w:shd w:val="clear" w:color="auto" w:fill="auto"/>
            <w:vAlign w:val="center"/>
          </w:tcPr>
          <w:p>
            <w:pPr>
              <w:pStyle w:val="158"/>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4" w:type="dxa"/>
            <w:vMerge w:val="continue"/>
            <w:vAlign w:val="center"/>
          </w:tcPr>
          <w:p>
            <w:pPr>
              <w:pStyle w:val="65"/>
              <w:snapToGrid/>
              <w:spacing w:beforeLines="0" w:afterLines="0" w:line="260" w:lineRule="exact"/>
              <w:ind w:left="840" w:hanging="420"/>
              <w:rPr>
                <w:rFonts w:ascii="Times New Roman"/>
                <w:snapToGrid w:val="0"/>
                <w:kern w:val="21"/>
                <w:szCs w:val="21"/>
              </w:rPr>
            </w:pPr>
          </w:p>
        </w:tc>
        <w:tc>
          <w:tcPr>
            <w:tcW w:w="1701" w:type="dxa"/>
            <w:vAlign w:val="center"/>
          </w:tcPr>
          <w:p>
            <w:pPr>
              <w:pStyle w:val="139"/>
              <w:rPr>
                <w:rFonts w:hint="default" w:eastAsia="宋体"/>
                <w:bCs w:val="0"/>
                <w:color w:val="auto"/>
                <w:lang w:val="en-US" w:eastAsia="zh-CN"/>
              </w:rPr>
            </w:pPr>
            <w:r>
              <w:rPr>
                <w:rFonts w:hint="eastAsia"/>
                <w:bCs w:val="0"/>
                <w:color w:val="auto"/>
                <w:lang w:val="en-US" w:eastAsia="zh-CN"/>
              </w:rPr>
              <w:t>废过滤棉</w:t>
            </w:r>
          </w:p>
        </w:tc>
        <w:tc>
          <w:tcPr>
            <w:tcW w:w="1633" w:type="dxa"/>
            <w:vAlign w:val="center"/>
          </w:tcPr>
          <w:p>
            <w:pPr>
              <w:jc w:val="center"/>
              <w:rPr>
                <w:snapToGrid w:val="0"/>
                <w:kern w:val="21"/>
                <w:szCs w:val="21"/>
              </w:rPr>
            </w:pPr>
          </w:p>
        </w:tc>
        <w:tc>
          <w:tcPr>
            <w:tcW w:w="1312" w:type="dxa"/>
            <w:vAlign w:val="center"/>
          </w:tcPr>
          <w:p>
            <w:pPr>
              <w:jc w:val="center"/>
              <w:rPr>
                <w:szCs w:val="21"/>
              </w:rPr>
            </w:pPr>
          </w:p>
        </w:tc>
        <w:tc>
          <w:tcPr>
            <w:tcW w:w="1749" w:type="dxa"/>
            <w:vAlign w:val="center"/>
          </w:tcPr>
          <w:p>
            <w:pPr>
              <w:jc w:val="center"/>
              <w:rPr>
                <w:szCs w:val="21"/>
              </w:rPr>
            </w:pPr>
          </w:p>
        </w:tc>
        <w:tc>
          <w:tcPr>
            <w:tcW w:w="1603" w:type="dxa"/>
            <w:vAlign w:val="center"/>
          </w:tcPr>
          <w:p>
            <w:pPr>
              <w:pStyle w:val="158"/>
              <w:spacing w:line="240" w:lineRule="auto"/>
              <w:ind w:firstLine="0" w:firstLineChars="0"/>
              <w:jc w:val="center"/>
              <w:rPr>
                <w:rFonts w:hint="default" w:cs="Times New Roman"/>
                <w:color w:val="auto"/>
                <w:sz w:val="21"/>
                <w:szCs w:val="24"/>
                <w:lang w:val="en-US" w:eastAsia="zh-CN"/>
              </w:rPr>
            </w:pPr>
            <w:r>
              <w:rPr>
                <w:rFonts w:hint="eastAsia" w:cs="Times New Roman"/>
                <w:color w:val="auto"/>
                <w:sz w:val="21"/>
                <w:szCs w:val="24"/>
                <w:lang w:val="en-US" w:eastAsia="zh-CN"/>
              </w:rPr>
              <w:t>0.2</w:t>
            </w:r>
          </w:p>
        </w:tc>
        <w:tc>
          <w:tcPr>
            <w:tcW w:w="1810" w:type="dxa"/>
            <w:vAlign w:val="center"/>
          </w:tcPr>
          <w:p>
            <w:pPr>
              <w:jc w:val="center"/>
              <w:rPr>
                <w:szCs w:val="21"/>
              </w:rPr>
            </w:pPr>
          </w:p>
        </w:tc>
        <w:tc>
          <w:tcPr>
            <w:tcW w:w="1816"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0.2</w:t>
            </w:r>
          </w:p>
        </w:tc>
        <w:tc>
          <w:tcPr>
            <w:tcW w:w="1047" w:type="dxa"/>
            <w:shd w:val="clear" w:color="auto" w:fill="auto"/>
            <w:vAlign w:val="center"/>
          </w:tcPr>
          <w:p>
            <w:pPr>
              <w:pStyle w:val="158"/>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4"/>
                <w:lang w:val="en-US" w:eastAsia="zh-CN"/>
              </w:rPr>
              <w:t>+0.2</w:t>
            </w:r>
          </w:p>
        </w:tc>
      </w:tr>
    </w:tbl>
    <w:p>
      <w:pPr>
        <w:pStyle w:val="65"/>
        <w:snapToGrid/>
        <w:spacing w:beforeLines="0" w:afterLines="0" w:line="240" w:lineRule="auto"/>
        <w:ind w:left="840" w:hanging="420"/>
        <w:jc w:val="left"/>
        <w:rPr>
          <w:rFonts w:ascii="Times New Roman"/>
        </w:rPr>
        <w:sectPr>
          <w:footerReference r:id="rId5" w:type="default"/>
          <w:pgSz w:w="16838" w:h="11906" w:orient="landscape"/>
          <w:pgMar w:top="850" w:right="1417" w:bottom="850" w:left="1417" w:header="851" w:footer="851" w:gutter="0"/>
          <w:cols w:space="720" w:num="1"/>
          <w:docGrid w:linePitch="312" w:charSpace="0"/>
        </w:sect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bookmarkStart w:id="15" w:name="_GoBack"/>
      <w:bookmarkEnd w:id="15"/>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eastAsia" w:ascii="Times New Roman" w:hAnsi="Times New Roman"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D330642-6DCC-4040-824B-24011731394A}"/>
  </w:font>
  <w:font w:name="黑体">
    <w:panose1 w:val="02010609060101010101"/>
    <w:charset w:val="86"/>
    <w:family w:val="auto"/>
    <w:pitch w:val="default"/>
    <w:sig w:usb0="800002BF" w:usb1="38CF7CFA" w:usb2="00000016" w:usb3="00000000" w:csb0="00040001" w:csb1="00000000"/>
    <w:embedRegular r:id="rId2" w:fontKey="{40620F6B-E125-44FA-BB66-677876224C9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87EBE9E-065F-47F4-8D45-3E56F800E71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83CB713E-59F9-403A-B986-0EFE690853F9}"/>
  </w:font>
  <w:font w:name="新宋体-18030">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7F" w:usb3="00000000" w:csb0="203F01FF" w:csb1="DFFF0000"/>
  </w:font>
  <w:font w:name="仿宋">
    <w:panose1 w:val="02010609060101010101"/>
    <w:charset w:val="86"/>
    <w:family w:val="modern"/>
    <w:pitch w:val="default"/>
    <w:sig w:usb0="800002BF" w:usb1="38CF7CFA" w:usb2="00000016" w:usb3="00000000" w:csb0="00040001" w:csb1="00000000"/>
    <w:embedRegular r:id="rId5" w:fontKey="{EA67BA0A-F2E8-4679-8717-AFE371307F5C}"/>
  </w:font>
  <w:font w:name="Segoe UI Symbol">
    <w:panose1 w:val="020B0502040204020203"/>
    <w:charset w:val="00"/>
    <w:family w:val="swiss"/>
    <w:pitch w:val="default"/>
    <w:sig w:usb0="800001E3" w:usb1="1200FFEF" w:usb2="00040000" w:usb3="04000000" w:csb0="00000001" w:csb1="40000000"/>
  </w:font>
  <w:font w:name="方正小标宋_GBK">
    <w:panose1 w:val="03000509000000000000"/>
    <w:charset w:val="86"/>
    <w:family w:val="script"/>
    <w:pitch w:val="default"/>
    <w:sig w:usb0="00000001" w:usb1="080E0000" w:usb2="00000000" w:usb3="00000000" w:csb0="00040000" w:csb1="00000000"/>
    <w:embedRegular r:id="rId6" w:fontKey="{A74DE569-5DE1-4480-984A-0E6B0689D863}"/>
  </w:font>
  <w:font w:name="楷体_GB2312">
    <w:panose1 w:val="02010609030101010101"/>
    <w:charset w:val="86"/>
    <w:family w:val="modern"/>
    <w:pitch w:val="default"/>
    <w:sig w:usb0="00000001" w:usb1="080E0000" w:usb2="00000000" w:usb3="00000000" w:csb0="00040000" w:csb1="00000000"/>
    <w:embedRegular r:id="rId7" w:fontKey="{85F373C6-63B6-4FD4-A68A-FC886CEA7219}"/>
  </w:font>
  <w:font w:name="华文仿宋">
    <w:panose1 w:val="02010600040101010101"/>
    <w:charset w:val="86"/>
    <w:family w:val="auto"/>
    <w:pitch w:val="default"/>
    <w:sig w:usb0="00000287" w:usb1="080F0000" w:usb2="00000000" w:usb3="00000000" w:csb0="0004009F" w:csb1="DFD70000"/>
    <w:embedRegular r:id="rId8" w:fontKey="{D9C4DABC-4906-40AE-93F5-D3B5F4D6FA46}"/>
  </w:font>
  <w:font w:name="Wingdings 2">
    <w:panose1 w:val="05020102010507070707"/>
    <w:charset w:val="02"/>
    <w:family w:val="roman"/>
    <w:pitch w:val="default"/>
    <w:sig w:usb0="00000000" w:usb1="00000000" w:usb2="00000000" w:usb3="00000000" w:csb0="80000000" w:csb1="00000000"/>
    <w:embedRegular r:id="rId9" w:fontKey="{23BC02F7-8A12-4F1A-9234-2DA1B5F38A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CzdVr7aAQAAtgMAAA4AAAAAAAAAAQAg&#10;AAAAHgEAAGRycy9lMm9Eb2MueG1sUEsFBgAAAAAGAAYAWQEAAGoFA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83</w:t>
                          </w:r>
                          <w:r>
                            <w:fldChar w:fldCharType="end"/>
                          </w:r>
                        </w:p>
                      </w:txbxContent>
                    </wps:txbx>
                    <wps:bodyPr vert="horz" wrap="none" lIns="0" tIns="0" rIns="0" bIns="0" anchor="t" anchorCtr="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jM/hF9kBAAC2AwAADgAAAAAAAAABACAA&#10;AAAeAQAAZHJzL2Uyb0RvYy54bWxQSwUGAAAAAAYABgBZAQAAaQU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1488F4"/>
    <w:multiLevelType w:val="singleLevel"/>
    <w:tmpl w:val="961488F4"/>
    <w:lvl w:ilvl="0" w:tentative="0">
      <w:start w:val="3"/>
      <w:numFmt w:val="decimal"/>
      <w:suff w:val="nothing"/>
      <w:lvlText w:val="%1、"/>
      <w:lvlJc w:val="left"/>
    </w:lvl>
  </w:abstractNum>
  <w:abstractNum w:abstractNumId="1">
    <w:nsid w:val="AFFB085E"/>
    <w:multiLevelType w:val="singleLevel"/>
    <w:tmpl w:val="AFFB085E"/>
    <w:lvl w:ilvl="0" w:tentative="0">
      <w:start w:val="2"/>
      <w:numFmt w:val="decimal"/>
      <w:suff w:val="nothing"/>
      <w:lvlText w:val="（%1）"/>
      <w:lvlJc w:val="left"/>
    </w:lvl>
  </w:abstractNum>
  <w:abstractNum w:abstractNumId="2">
    <w:nsid w:val="BE07BB3F"/>
    <w:multiLevelType w:val="singleLevel"/>
    <w:tmpl w:val="BE07BB3F"/>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3">
    <w:nsid w:val="17B232A8"/>
    <w:multiLevelType w:val="singleLevel"/>
    <w:tmpl w:val="17B232A8"/>
    <w:lvl w:ilvl="0" w:tentative="0">
      <w:start w:val="3"/>
      <w:numFmt w:val="decimal"/>
      <w:suff w:val="nothing"/>
      <w:lvlText w:val="%1、"/>
      <w:lvlJc w:val="left"/>
    </w:lvl>
  </w:abstractNum>
  <w:abstractNum w:abstractNumId="4">
    <w:nsid w:val="1E9A6093"/>
    <w:multiLevelType w:val="singleLevel"/>
    <w:tmpl w:val="1E9A6093"/>
    <w:lvl w:ilvl="0" w:tentative="0">
      <w:start w:val="9"/>
      <w:numFmt w:val="decimal"/>
      <w:suff w:val="nothing"/>
      <w:lvlText w:val="%1、"/>
      <w:lvlJc w:val="left"/>
    </w:lvl>
  </w:abstractNum>
  <w:abstractNum w:abstractNumId="5">
    <w:nsid w:val="27715350"/>
    <w:multiLevelType w:val="singleLevel"/>
    <w:tmpl w:val="27715350"/>
    <w:lvl w:ilvl="0" w:tentative="0">
      <w:start w:val="5"/>
      <w:numFmt w:val="chineseCounting"/>
      <w:suff w:val="nothing"/>
      <w:lvlText w:val="%1、"/>
      <w:lvlJc w:val="left"/>
      <w:rPr>
        <w:rFonts w:hint="eastAsia"/>
      </w:rPr>
    </w:lvl>
  </w:abstractNum>
  <w:abstractNum w:abstractNumId="6">
    <w:nsid w:val="47AC327D"/>
    <w:multiLevelType w:val="singleLevel"/>
    <w:tmpl w:val="47AC327D"/>
    <w:lvl w:ilvl="0" w:tentative="0">
      <w:start w:val="1"/>
      <w:numFmt w:val="decimal"/>
      <w:suff w:val="nothing"/>
      <w:lvlText w:val="（%1）"/>
      <w:lvlJc w:val="left"/>
    </w:lvl>
  </w:abstractNum>
  <w:abstractNum w:abstractNumId="7">
    <w:nsid w:val="586EF711"/>
    <w:multiLevelType w:val="singleLevel"/>
    <w:tmpl w:val="586EF711"/>
    <w:lvl w:ilvl="0" w:tentative="0">
      <w:start w:val="1"/>
      <w:numFmt w:val="decimal"/>
      <w:suff w:val="nothing"/>
      <w:lvlText w:val="（%1）"/>
      <w:lvlJc w:val="left"/>
    </w:lvl>
  </w:abstractNum>
  <w:num w:numId="1">
    <w:abstractNumId w:val="2"/>
  </w:num>
  <w:num w:numId="2">
    <w:abstractNumId w:val="4"/>
  </w:num>
  <w:num w:numId="3">
    <w:abstractNumId w:val="6"/>
  </w:num>
  <w:num w:numId="4">
    <w:abstractNumId w:val="7"/>
  </w:num>
  <w:num w:numId="5">
    <w:abstractNumId w:val="3"/>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xYjE4YTNmYTU3YjhlMGNiNTk5YTYzNzI4MjBiMjEifQ=="/>
  </w:docVars>
  <w:rsids>
    <w:rsidRoot w:val="00172A27"/>
    <w:rsid w:val="0000545C"/>
    <w:rsid w:val="000060B3"/>
    <w:rsid w:val="00017500"/>
    <w:rsid w:val="0003365A"/>
    <w:rsid w:val="0004364B"/>
    <w:rsid w:val="0004380E"/>
    <w:rsid w:val="00052C97"/>
    <w:rsid w:val="00053E24"/>
    <w:rsid w:val="00061B1F"/>
    <w:rsid w:val="000733C4"/>
    <w:rsid w:val="00074783"/>
    <w:rsid w:val="00077076"/>
    <w:rsid w:val="0008070B"/>
    <w:rsid w:val="000810AC"/>
    <w:rsid w:val="00081A02"/>
    <w:rsid w:val="00081E51"/>
    <w:rsid w:val="00082231"/>
    <w:rsid w:val="000917E8"/>
    <w:rsid w:val="00092D38"/>
    <w:rsid w:val="0009377B"/>
    <w:rsid w:val="00094D35"/>
    <w:rsid w:val="000A1087"/>
    <w:rsid w:val="000A20C9"/>
    <w:rsid w:val="000B058F"/>
    <w:rsid w:val="000B4467"/>
    <w:rsid w:val="000B4DB9"/>
    <w:rsid w:val="000C024B"/>
    <w:rsid w:val="000C09AC"/>
    <w:rsid w:val="000C767F"/>
    <w:rsid w:val="000D0FF1"/>
    <w:rsid w:val="000D5A44"/>
    <w:rsid w:val="000D69F1"/>
    <w:rsid w:val="000E3ED2"/>
    <w:rsid w:val="000E4EED"/>
    <w:rsid w:val="000F5A73"/>
    <w:rsid w:val="00112DDA"/>
    <w:rsid w:val="0011669C"/>
    <w:rsid w:val="00125D9A"/>
    <w:rsid w:val="001313D7"/>
    <w:rsid w:val="00131578"/>
    <w:rsid w:val="00131F42"/>
    <w:rsid w:val="001357F1"/>
    <w:rsid w:val="00140FA8"/>
    <w:rsid w:val="00142FEB"/>
    <w:rsid w:val="00143A2D"/>
    <w:rsid w:val="00145A41"/>
    <w:rsid w:val="00151675"/>
    <w:rsid w:val="001516AC"/>
    <w:rsid w:val="00157435"/>
    <w:rsid w:val="00161108"/>
    <w:rsid w:val="00167159"/>
    <w:rsid w:val="00170E55"/>
    <w:rsid w:val="00172A27"/>
    <w:rsid w:val="00173067"/>
    <w:rsid w:val="0017504D"/>
    <w:rsid w:val="0017671A"/>
    <w:rsid w:val="00177422"/>
    <w:rsid w:val="00182131"/>
    <w:rsid w:val="00184590"/>
    <w:rsid w:val="001870D1"/>
    <w:rsid w:val="0018781E"/>
    <w:rsid w:val="0019262D"/>
    <w:rsid w:val="001A1B35"/>
    <w:rsid w:val="001A48A2"/>
    <w:rsid w:val="001A605A"/>
    <w:rsid w:val="001A6F61"/>
    <w:rsid w:val="001B4B3F"/>
    <w:rsid w:val="001B50E5"/>
    <w:rsid w:val="001B72B8"/>
    <w:rsid w:val="001B7B80"/>
    <w:rsid w:val="001C0BC1"/>
    <w:rsid w:val="001C69B3"/>
    <w:rsid w:val="001D4DC4"/>
    <w:rsid w:val="001D5595"/>
    <w:rsid w:val="001D7874"/>
    <w:rsid w:val="001D7F22"/>
    <w:rsid w:val="001E105B"/>
    <w:rsid w:val="001F0F17"/>
    <w:rsid w:val="001F3347"/>
    <w:rsid w:val="001F69E4"/>
    <w:rsid w:val="001F7905"/>
    <w:rsid w:val="00202E80"/>
    <w:rsid w:val="002117FF"/>
    <w:rsid w:val="002125B4"/>
    <w:rsid w:val="002155B8"/>
    <w:rsid w:val="00224839"/>
    <w:rsid w:val="002249B2"/>
    <w:rsid w:val="00226574"/>
    <w:rsid w:val="002278EC"/>
    <w:rsid w:val="00227EE4"/>
    <w:rsid w:val="0023280E"/>
    <w:rsid w:val="002358C4"/>
    <w:rsid w:val="002377D1"/>
    <w:rsid w:val="0023791C"/>
    <w:rsid w:val="0024052D"/>
    <w:rsid w:val="00241789"/>
    <w:rsid w:val="00242624"/>
    <w:rsid w:val="002506BC"/>
    <w:rsid w:val="00254345"/>
    <w:rsid w:val="00264557"/>
    <w:rsid w:val="0026794A"/>
    <w:rsid w:val="00267A67"/>
    <w:rsid w:val="00273FE1"/>
    <w:rsid w:val="002805AB"/>
    <w:rsid w:val="00280AD6"/>
    <w:rsid w:val="00282943"/>
    <w:rsid w:val="00284204"/>
    <w:rsid w:val="00291773"/>
    <w:rsid w:val="00297DAF"/>
    <w:rsid w:val="002A168C"/>
    <w:rsid w:val="002A3DC7"/>
    <w:rsid w:val="002A5541"/>
    <w:rsid w:val="002A5F73"/>
    <w:rsid w:val="002B09C6"/>
    <w:rsid w:val="002B49E2"/>
    <w:rsid w:val="002B7B00"/>
    <w:rsid w:val="002B7C44"/>
    <w:rsid w:val="002C0A2B"/>
    <w:rsid w:val="002C2B17"/>
    <w:rsid w:val="002D2B1E"/>
    <w:rsid w:val="002D3DD0"/>
    <w:rsid w:val="002E1F3A"/>
    <w:rsid w:val="002E298A"/>
    <w:rsid w:val="002E6C18"/>
    <w:rsid w:val="002F6754"/>
    <w:rsid w:val="00301978"/>
    <w:rsid w:val="00303057"/>
    <w:rsid w:val="0030332C"/>
    <w:rsid w:val="003051C2"/>
    <w:rsid w:val="0030536B"/>
    <w:rsid w:val="00311A5F"/>
    <w:rsid w:val="00312296"/>
    <w:rsid w:val="00314A34"/>
    <w:rsid w:val="00314F0E"/>
    <w:rsid w:val="00321D8E"/>
    <w:rsid w:val="00325928"/>
    <w:rsid w:val="00332863"/>
    <w:rsid w:val="00332C07"/>
    <w:rsid w:val="0033684D"/>
    <w:rsid w:val="00337B42"/>
    <w:rsid w:val="00337F94"/>
    <w:rsid w:val="00340586"/>
    <w:rsid w:val="00341B42"/>
    <w:rsid w:val="00342994"/>
    <w:rsid w:val="0034348F"/>
    <w:rsid w:val="00343F49"/>
    <w:rsid w:val="00345E1C"/>
    <w:rsid w:val="003470CD"/>
    <w:rsid w:val="003516F0"/>
    <w:rsid w:val="00356653"/>
    <w:rsid w:val="0035743F"/>
    <w:rsid w:val="00357BE2"/>
    <w:rsid w:val="0036170C"/>
    <w:rsid w:val="00363C67"/>
    <w:rsid w:val="00366E0F"/>
    <w:rsid w:val="00374617"/>
    <w:rsid w:val="00381A72"/>
    <w:rsid w:val="00384676"/>
    <w:rsid w:val="00390604"/>
    <w:rsid w:val="00390857"/>
    <w:rsid w:val="003A4BF3"/>
    <w:rsid w:val="003B420D"/>
    <w:rsid w:val="003C4C5F"/>
    <w:rsid w:val="003C6878"/>
    <w:rsid w:val="003C6C16"/>
    <w:rsid w:val="003D2582"/>
    <w:rsid w:val="003D465E"/>
    <w:rsid w:val="003D71B2"/>
    <w:rsid w:val="003D794D"/>
    <w:rsid w:val="003E3058"/>
    <w:rsid w:val="003E3F98"/>
    <w:rsid w:val="003E76A9"/>
    <w:rsid w:val="003F0809"/>
    <w:rsid w:val="003F6A8C"/>
    <w:rsid w:val="003F755C"/>
    <w:rsid w:val="004026E4"/>
    <w:rsid w:val="004039E2"/>
    <w:rsid w:val="00406F01"/>
    <w:rsid w:val="004149AC"/>
    <w:rsid w:val="00416D50"/>
    <w:rsid w:val="00416FD5"/>
    <w:rsid w:val="00417772"/>
    <w:rsid w:val="00420E6A"/>
    <w:rsid w:val="004214F7"/>
    <w:rsid w:val="004224DA"/>
    <w:rsid w:val="00425791"/>
    <w:rsid w:val="00425A9E"/>
    <w:rsid w:val="00426D6B"/>
    <w:rsid w:val="00431E6C"/>
    <w:rsid w:val="004339F6"/>
    <w:rsid w:val="00433CE7"/>
    <w:rsid w:val="00433DB2"/>
    <w:rsid w:val="00452738"/>
    <w:rsid w:val="00456091"/>
    <w:rsid w:val="00464B69"/>
    <w:rsid w:val="00466321"/>
    <w:rsid w:val="0047089B"/>
    <w:rsid w:val="00481FD9"/>
    <w:rsid w:val="00484B9B"/>
    <w:rsid w:val="004855F6"/>
    <w:rsid w:val="0048661E"/>
    <w:rsid w:val="00494670"/>
    <w:rsid w:val="00495586"/>
    <w:rsid w:val="004A3823"/>
    <w:rsid w:val="004B1F36"/>
    <w:rsid w:val="004C3B3C"/>
    <w:rsid w:val="004D586F"/>
    <w:rsid w:val="004E4326"/>
    <w:rsid w:val="004E4426"/>
    <w:rsid w:val="004E6946"/>
    <w:rsid w:val="004F022F"/>
    <w:rsid w:val="004F1AD8"/>
    <w:rsid w:val="004F4C57"/>
    <w:rsid w:val="005039CB"/>
    <w:rsid w:val="0050558F"/>
    <w:rsid w:val="00506286"/>
    <w:rsid w:val="00507655"/>
    <w:rsid w:val="00510813"/>
    <w:rsid w:val="005118DE"/>
    <w:rsid w:val="00511990"/>
    <w:rsid w:val="00511DE0"/>
    <w:rsid w:val="00514870"/>
    <w:rsid w:val="00514B9B"/>
    <w:rsid w:val="00517F02"/>
    <w:rsid w:val="00524303"/>
    <w:rsid w:val="005253CF"/>
    <w:rsid w:val="005258A2"/>
    <w:rsid w:val="005401AE"/>
    <w:rsid w:val="00542E07"/>
    <w:rsid w:val="00545424"/>
    <w:rsid w:val="005458C6"/>
    <w:rsid w:val="00554A7B"/>
    <w:rsid w:val="0055572C"/>
    <w:rsid w:val="00557F4E"/>
    <w:rsid w:val="0056106A"/>
    <w:rsid w:val="00564E10"/>
    <w:rsid w:val="005720AE"/>
    <w:rsid w:val="005765BE"/>
    <w:rsid w:val="00577127"/>
    <w:rsid w:val="005832DD"/>
    <w:rsid w:val="00590942"/>
    <w:rsid w:val="00594D77"/>
    <w:rsid w:val="005969E4"/>
    <w:rsid w:val="005972D5"/>
    <w:rsid w:val="005A06B7"/>
    <w:rsid w:val="005A1759"/>
    <w:rsid w:val="005A4174"/>
    <w:rsid w:val="005A68A7"/>
    <w:rsid w:val="005C4207"/>
    <w:rsid w:val="005D36AB"/>
    <w:rsid w:val="005D51D4"/>
    <w:rsid w:val="005E03AC"/>
    <w:rsid w:val="005E59F4"/>
    <w:rsid w:val="005F36B8"/>
    <w:rsid w:val="005F7192"/>
    <w:rsid w:val="005F75FF"/>
    <w:rsid w:val="00615EA1"/>
    <w:rsid w:val="00617CC3"/>
    <w:rsid w:val="00621B1B"/>
    <w:rsid w:val="006305E3"/>
    <w:rsid w:val="006377A6"/>
    <w:rsid w:val="00637A3D"/>
    <w:rsid w:val="006411EF"/>
    <w:rsid w:val="00643036"/>
    <w:rsid w:val="00643F78"/>
    <w:rsid w:val="00652141"/>
    <w:rsid w:val="00656F3D"/>
    <w:rsid w:val="006606C2"/>
    <w:rsid w:val="00664EAF"/>
    <w:rsid w:val="006748B8"/>
    <w:rsid w:val="0067631F"/>
    <w:rsid w:val="006775C3"/>
    <w:rsid w:val="00684C34"/>
    <w:rsid w:val="0069290A"/>
    <w:rsid w:val="0069775A"/>
    <w:rsid w:val="00697813"/>
    <w:rsid w:val="006A20CD"/>
    <w:rsid w:val="006A3738"/>
    <w:rsid w:val="006A3EE8"/>
    <w:rsid w:val="006A72BF"/>
    <w:rsid w:val="006A7DE9"/>
    <w:rsid w:val="006B03F2"/>
    <w:rsid w:val="006B37DC"/>
    <w:rsid w:val="006B4F68"/>
    <w:rsid w:val="006C0592"/>
    <w:rsid w:val="006C090C"/>
    <w:rsid w:val="006C272E"/>
    <w:rsid w:val="006C5479"/>
    <w:rsid w:val="006C790F"/>
    <w:rsid w:val="006D13B5"/>
    <w:rsid w:val="006E12FF"/>
    <w:rsid w:val="006E27EB"/>
    <w:rsid w:val="006E451E"/>
    <w:rsid w:val="006E607E"/>
    <w:rsid w:val="006F7271"/>
    <w:rsid w:val="00706C5D"/>
    <w:rsid w:val="00710265"/>
    <w:rsid w:val="007262DF"/>
    <w:rsid w:val="00732922"/>
    <w:rsid w:val="00733323"/>
    <w:rsid w:val="007415A4"/>
    <w:rsid w:val="0075162E"/>
    <w:rsid w:val="0075194C"/>
    <w:rsid w:val="00754034"/>
    <w:rsid w:val="00754556"/>
    <w:rsid w:val="00756556"/>
    <w:rsid w:val="00756BB5"/>
    <w:rsid w:val="0076121A"/>
    <w:rsid w:val="007618C4"/>
    <w:rsid w:val="00765A90"/>
    <w:rsid w:val="00765C9A"/>
    <w:rsid w:val="0076657F"/>
    <w:rsid w:val="007678F9"/>
    <w:rsid w:val="00767980"/>
    <w:rsid w:val="00770B19"/>
    <w:rsid w:val="00771E24"/>
    <w:rsid w:val="0077463F"/>
    <w:rsid w:val="007836EA"/>
    <w:rsid w:val="00784CDA"/>
    <w:rsid w:val="007906C4"/>
    <w:rsid w:val="00792552"/>
    <w:rsid w:val="007940EA"/>
    <w:rsid w:val="007967E8"/>
    <w:rsid w:val="007A194B"/>
    <w:rsid w:val="007A2170"/>
    <w:rsid w:val="007A22BF"/>
    <w:rsid w:val="007A3323"/>
    <w:rsid w:val="007A59CB"/>
    <w:rsid w:val="007A5FA8"/>
    <w:rsid w:val="007B28F9"/>
    <w:rsid w:val="007B39E9"/>
    <w:rsid w:val="007B444A"/>
    <w:rsid w:val="007B72B8"/>
    <w:rsid w:val="007B7A58"/>
    <w:rsid w:val="007C21B5"/>
    <w:rsid w:val="007D218A"/>
    <w:rsid w:val="007D78F7"/>
    <w:rsid w:val="007E4BD2"/>
    <w:rsid w:val="007E5D80"/>
    <w:rsid w:val="007F0A1D"/>
    <w:rsid w:val="007F410D"/>
    <w:rsid w:val="00801393"/>
    <w:rsid w:val="00802F88"/>
    <w:rsid w:val="008041C6"/>
    <w:rsid w:val="0081293E"/>
    <w:rsid w:val="00815465"/>
    <w:rsid w:val="00817E9A"/>
    <w:rsid w:val="00817F6E"/>
    <w:rsid w:val="00824061"/>
    <w:rsid w:val="008306BD"/>
    <w:rsid w:val="00831A80"/>
    <w:rsid w:val="00831AF7"/>
    <w:rsid w:val="00833743"/>
    <w:rsid w:val="008340A4"/>
    <w:rsid w:val="00836858"/>
    <w:rsid w:val="00840D06"/>
    <w:rsid w:val="0084304D"/>
    <w:rsid w:val="00854E78"/>
    <w:rsid w:val="00870886"/>
    <w:rsid w:val="0087115A"/>
    <w:rsid w:val="0087135F"/>
    <w:rsid w:val="00872D94"/>
    <w:rsid w:val="0087371A"/>
    <w:rsid w:val="008763BC"/>
    <w:rsid w:val="00880364"/>
    <w:rsid w:val="00891592"/>
    <w:rsid w:val="00891E9E"/>
    <w:rsid w:val="008A2F68"/>
    <w:rsid w:val="008A4246"/>
    <w:rsid w:val="008B4FA6"/>
    <w:rsid w:val="008B5282"/>
    <w:rsid w:val="008B7C17"/>
    <w:rsid w:val="008C2D01"/>
    <w:rsid w:val="008C40E6"/>
    <w:rsid w:val="008D0F7A"/>
    <w:rsid w:val="008D2C22"/>
    <w:rsid w:val="008D68E4"/>
    <w:rsid w:val="008E0506"/>
    <w:rsid w:val="008E0CFF"/>
    <w:rsid w:val="008E37B7"/>
    <w:rsid w:val="008E4DEB"/>
    <w:rsid w:val="008E5D6B"/>
    <w:rsid w:val="008E76F0"/>
    <w:rsid w:val="008F15FE"/>
    <w:rsid w:val="008F2D29"/>
    <w:rsid w:val="008F5187"/>
    <w:rsid w:val="008F60D8"/>
    <w:rsid w:val="008F68B0"/>
    <w:rsid w:val="008F6FCF"/>
    <w:rsid w:val="00900DF1"/>
    <w:rsid w:val="00902727"/>
    <w:rsid w:val="0090312B"/>
    <w:rsid w:val="00912DA8"/>
    <w:rsid w:val="00916C8F"/>
    <w:rsid w:val="0091736D"/>
    <w:rsid w:val="00920F15"/>
    <w:rsid w:val="0093037A"/>
    <w:rsid w:val="0094154D"/>
    <w:rsid w:val="00943A1A"/>
    <w:rsid w:val="00944B37"/>
    <w:rsid w:val="00950708"/>
    <w:rsid w:val="00950D53"/>
    <w:rsid w:val="0095155F"/>
    <w:rsid w:val="00954429"/>
    <w:rsid w:val="009563CE"/>
    <w:rsid w:val="009649A4"/>
    <w:rsid w:val="009708E5"/>
    <w:rsid w:val="009718DE"/>
    <w:rsid w:val="009732B7"/>
    <w:rsid w:val="00976328"/>
    <w:rsid w:val="0097680D"/>
    <w:rsid w:val="00977322"/>
    <w:rsid w:val="00982438"/>
    <w:rsid w:val="009836B4"/>
    <w:rsid w:val="0098404C"/>
    <w:rsid w:val="00985283"/>
    <w:rsid w:val="009921C0"/>
    <w:rsid w:val="00995992"/>
    <w:rsid w:val="009A03E5"/>
    <w:rsid w:val="009A0F3B"/>
    <w:rsid w:val="009A1BB4"/>
    <w:rsid w:val="009A2628"/>
    <w:rsid w:val="009A3200"/>
    <w:rsid w:val="009A5D7A"/>
    <w:rsid w:val="009B0897"/>
    <w:rsid w:val="009B258B"/>
    <w:rsid w:val="009B729D"/>
    <w:rsid w:val="009B7BD9"/>
    <w:rsid w:val="009C7DD5"/>
    <w:rsid w:val="009E0366"/>
    <w:rsid w:val="009E16C0"/>
    <w:rsid w:val="009E227D"/>
    <w:rsid w:val="009E5019"/>
    <w:rsid w:val="009E674B"/>
    <w:rsid w:val="009F7862"/>
    <w:rsid w:val="00A04F1B"/>
    <w:rsid w:val="00A0501B"/>
    <w:rsid w:val="00A14947"/>
    <w:rsid w:val="00A2083F"/>
    <w:rsid w:val="00A226C3"/>
    <w:rsid w:val="00A275A9"/>
    <w:rsid w:val="00A32A83"/>
    <w:rsid w:val="00A3348B"/>
    <w:rsid w:val="00A368DB"/>
    <w:rsid w:val="00A36DF2"/>
    <w:rsid w:val="00A40483"/>
    <w:rsid w:val="00A423AA"/>
    <w:rsid w:val="00A440C8"/>
    <w:rsid w:val="00A5024A"/>
    <w:rsid w:val="00A53EC6"/>
    <w:rsid w:val="00A55C0F"/>
    <w:rsid w:val="00A63BAE"/>
    <w:rsid w:val="00A66198"/>
    <w:rsid w:val="00A67E0F"/>
    <w:rsid w:val="00A7790F"/>
    <w:rsid w:val="00A83FB3"/>
    <w:rsid w:val="00A8713F"/>
    <w:rsid w:val="00A90BA1"/>
    <w:rsid w:val="00A97A9A"/>
    <w:rsid w:val="00AA0671"/>
    <w:rsid w:val="00AA2531"/>
    <w:rsid w:val="00AB1E09"/>
    <w:rsid w:val="00AB5330"/>
    <w:rsid w:val="00AB7747"/>
    <w:rsid w:val="00AC14CE"/>
    <w:rsid w:val="00AC2A56"/>
    <w:rsid w:val="00AD028A"/>
    <w:rsid w:val="00AD055E"/>
    <w:rsid w:val="00AD47A7"/>
    <w:rsid w:val="00AD5FC7"/>
    <w:rsid w:val="00AD6722"/>
    <w:rsid w:val="00AF0CBF"/>
    <w:rsid w:val="00AF257F"/>
    <w:rsid w:val="00AF33CF"/>
    <w:rsid w:val="00AF4D50"/>
    <w:rsid w:val="00AF6179"/>
    <w:rsid w:val="00B1295A"/>
    <w:rsid w:val="00B20A45"/>
    <w:rsid w:val="00B22C5C"/>
    <w:rsid w:val="00B24F30"/>
    <w:rsid w:val="00B25017"/>
    <w:rsid w:val="00B3189F"/>
    <w:rsid w:val="00B31ABF"/>
    <w:rsid w:val="00B33BE3"/>
    <w:rsid w:val="00B4352B"/>
    <w:rsid w:val="00B53B5D"/>
    <w:rsid w:val="00B5725D"/>
    <w:rsid w:val="00B6055E"/>
    <w:rsid w:val="00B6317D"/>
    <w:rsid w:val="00B73A50"/>
    <w:rsid w:val="00B7723F"/>
    <w:rsid w:val="00B80534"/>
    <w:rsid w:val="00B8179F"/>
    <w:rsid w:val="00B83436"/>
    <w:rsid w:val="00B8433C"/>
    <w:rsid w:val="00B87491"/>
    <w:rsid w:val="00BA29E9"/>
    <w:rsid w:val="00BA502B"/>
    <w:rsid w:val="00BA7142"/>
    <w:rsid w:val="00BB0B72"/>
    <w:rsid w:val="00BB237C"/>
    <w:rsid w:val="00BB41A3"/>
    <w:rsid w:val="00BC32DC"/>
    <w:rsid w:val="00BC35B6"/>
    <w:rsid w:val="00BC400A"/>
    <w:rsid w:val="00BD1B51"/>
    <w:rsid w:val="00BD2D62"/>
    <w:rsid w:val="00BD4596"/>
    <w:rsid w:val="00BE1405"/>
    <w:rsid w:val="00BE312D"/>
    <w:rsid w:val="00BE406F"/>
    <w:rsid w:val="00BE6A33"/>
    <w:rsid w:val="00BE6CBF"/>
    <w:rsid w:val="00BF1C20"/>
    <w:rsid w:val="00C0102A"/>
    <w:rsid w:val="00C05839"/>
    <w:rsid w:val="00C10578"/>
    <w:rsid w:val="00C11983"/>
    <w:rsid w:val="00C135BC"/>
    <w:rsid w:val="00C15C95"/>
    <w:rsid w:val="00C22697"/>
    <w:rsid w:val="00C2596A"/>
    <w:rsid w:val="00C27537"/>
    <w:rsid w:val="00C328FE"/>
    <w:rsid w:val="00C32CC6"/>
    <w:rsid w:val="00C33507"/>
    <w:rsid w:val="00C3744E"/>
    <w:rsid w:val="00C43F8F"/>
    <w:rsid w:val="00C4409D"/>
    <w:rsid w:val="00C44E72"/>
    <w:rsid w:val="00C45A06"/>
    <w:rsid w:val="00C47E5B"/>
    <w:rsid w:val="00C50B26"/>
    <w:rsid w:val="00C53EC2"/>
    <w:rsid w:val="00C545FD"/>
    <w:rsid w:val="00C61E4B"/>
    <w:rsid w:val="00C64BFF"/>
    <w:rsid w:val="00C675CD"/>
    <w:rsid w:val="00C704E9"/>
    <w:rsid w:val="00C763C9"/>
    <w:rsid w:val="00C80057"/>
    <w:rsid w:val="00C810D0"/>
    <w:rsid w:val="00C82232"/>
    <w:rsid w:val="00C82913"/>
    <w:rsid w:val="00C92731"/>
    <w:rsid w:val="00C940F6"/>
    <w:rsid w:val="00C972B1"/>
    <w:rsid w:val="00CA2CCE"/>
    <w:rsid w:val="00CA43FD"/>
    <w:rsid w:val="00CA7EF8"/>
    <w:rsid w:val="00CB75C8"/>
    <w:rsid w:val="00CC2308"/>
    <w:rsid w:val="00CC32C8"/>
    <w:rsid w:val="00CC489B"/>
    <w:rsid w:val="00CD2BCD"/>
    <w:rsid w:val="00CD3A4C"/>
    <w:rsid w:val="00CD4EC7"/>
    <w:rsid w:val="00CE10E9"/>
    <w:rsid w:val="00CE2910"/>
    <w:rsid w:val="00CE5393"/>
    <w:rsid w:val="00CE7631"/>
    <w:rsid w:val="00CF05D4"/>
    <w:rsid w:val="00CF2386"/>
    <w:rsid w:val="00CF36BE"/>
    <w:rsid w:val="00CF4A26"/>
    <w:rsid w:val="00CF6000"/>
    <w:rsid w:val="00D003F3"/>
    <w:rsid w:val="00D0364F"/>
    <w:rsid w:val="00D06834"/>
    <w:rsid w:val="00D15E74"/>
    <w:rsid w:val="00D2326B"/>
    <w:rsid w:val="00D258E7"/>
    <w:rsid w:val="00D271D6"/>
    <w:rsid w:val="00D3089A"/>
    <w:rsid w:val="00D308ED"/>
    <w:rsid w:val="00D32090"/>
    <w:rsid w:val="00D36D86"/>
    <w:rsid w:val="00D428AA"/>
    <w:rsid w:val="00D45227"/>
    <w:rsid w:val="00D4697C"/>
    <w:rsid w:val="00D50657"/>
    <w:rsid w:val="00D50A34"/>
    <w:rsid w:val="00D53EFA"/>
    <w:rsid w:val="00D66991"/>
    <w:rsid w:val="00D762B6"/>
    <w:rsid w:val="00D84DDD"/>
    <w:rsid w:val="00D94A7C"/>
    <w:rsid w:val="00D95896"/>
    <w:rsid w:val="00DB2983"/>
    <w:rsid w:val="00DB4B48"/>
    <w:rsid w:val="00DB63C2"/>
    <w:rsid w:val="00DC1257"/>
    <w:rsid w:val="00DC3DC0"/>
    <w:rsid w:val="00DC591C"/>
    <w:rsid w:val="00DC5B2B"/>
    <w:rsid w:val="00DC7C97"/>
    <w:rsid w:val="00DD318D"/>
    <w:rsid w:val="00DD6108"/>
    <w:rsid w:val="00DE2C6A"/>
    <w:rsid w:val="00DF29DE"/>
    <w:rsid w:val="00DF2E12"/>
    <w:rsid w:val="00DF514A"/>
    <w:rsid w:val="00DF6690"/>
    <w:rsid w:val="00DF6804"/>
    <w:rsid w:val="00DF6927"/>
    <w:rsid w:val="00E0358D"/>
    <w:rsid w:val="00E03C1C"/>
    <w:rsid w:val="00E04323"/>
    <w:rsid w:val="00E070A2"/>
    <w:rsid w:val="00E15BC0"/>
    <w:rsid w:val="00E17DB6"/>
    <w:rsid w:val="00E23323"/>
    <w:rsid w:val="00E2656A"/>
    <w:rsid w:val="00E412D0"/>
    <w:rsid w:val="00E556B4"/>
    <w:rsid w:val="00E56322"/>
    <w:rsid w:val="00E574B2"/>
    <w:rsid w:val="00E60982"/>
    <w:rsid w:val="00E62C62"/>
    <w:rsid w:val="00E654C1"/>
    <w:rsid w:val="00E65D97"/>
    <w:rsid w:val="00E72A5A"/>
    <w:rsid w:val="00E73354"/>
    <w:rsid w:val="00E829E9"/>
    <w:rsid w:val="00E859EC"/>
    <w:rsid w:val="00E9242D"/>
    <w:rsid w:val="00EB5207"/>
    <w:rsid w:val="00EB5255"/>
    <w:rsid w:val="00EB5C47"/>
    <w:rsid w:val="00ED0639"/>
    <w:rsid w:val="00ED079F"/>
    <w:rsid w:val="00EF0EC4"/>
    <w:rsid w:val="00EF3E4D"/>
    <w:rsid w:val="00EF4755"/>
    <w:rsid w:val="00EF7135"/>
    <w:rsid w:val="00EF7B42"/>
    <w:rsid w:val="00F027DB"/>
    <w:rsid w:val="00F14A7A"/>
    <w:rsid w:val="00F157C8"/>
    <w:rsid w:val="00F22985"/>
    <w:rsid w:val="00F25403"/>
    <w:rsid w:val="00F27A48"/>
    <w:rsid w:val="00F3383E"/>
    <w:rsid w:val="00F4319D"/>
    <w:rsid w:val="00F465A7"/>
    <w:rsid w:val="00F50B7C"/>
    <w:rsid w:val="00F52A8D"/>
    <w:rsid w:val="00F550E6"/>
    <w:rsid w:val="00F56A2C"/>
    <w:rsid w:val="00F63F08"/>
    <w:rsid w:val="00F65562"/>
    <w:rsid w:val="00F73607"/>
    <w:rsid w:val="00F74345"/>
    <w:rsid w:val="00F74A57"/>
    <w:rsid w:val="00F76470"/>
    <w:rsid w:val="00F80A0A"/>
    <w:rsid w:val="00F82AFB"/>
    <w:rsid w:val="00F82B19"/>
    <w:rsid w:val="00F90526"/>
    <w:rsid w:val="00F9212D"/>
    <w:rsid w:val="00F94DD3"/>
    <w:rsid w:val="00F954B0"/>
    <w:rsid w:val="00F965DA"/>
    <w:rsid w:val="00F9785E"/>
    <w:rsid w:val="00FA406A"/>
    <w:rsid w:val="00FB2748"/>
    <w:rsid w:val="00FB503A"/>
    <w:rsid w:val="00FB516C"/>
    <w:rsid w:val="00FB65E4"/>
    <w:rsid w:val="00FD0236"/>
    <w:rsid w:val="00FD18F4"/>
    <w:rsid w:val="00FD47B5"/>
    <w:rsid w:val="00FD54DB"/>
    <w:rsid w:val="00FD619F"/>
    <w:rsid w:val="00FD6C87"/>
    <w:rsid w:val="010A71DA"/>
    <w:rsid w:val="010F3B4F"/>
    <w:rsid w:val="0115271F"/>
    <w:rsid w:val="011B6997"/>
    <w:rsid w:val="011E498E"/>
    <w:rsid w:val="011E7911"/>
    <w:rsid w:val="01282E62"/>
    <w:rsid w:val="01290F7E"/>
    <w:rsid w:val="01351AD3"/>
    <w:rsid w:val="013F153F"/>
    <w:rsid w:val="01423F24"/>
    <w:rsid w:val="01440E9B"/>
    <w:rsid w:val="015D1E09"/>
    <w:rsid w:val="01740786"/>
    <w:rsid w:val="01761E20"/>
    <w:rsid w:val="0183453D"/>
    <w:rsid w:val="01863873"/>
    <w:rsid w:val="0186423A"/>
    <w:rsid w:val="019039D7"/>
    <w:rsid w:val="019043EF"/>
    <w:rsid w:val="01913E75"/>
    <w:rsid w:val="01967DB2"/>
    <w:rsid w:val="01AA7D1B"/>
    <w:rsid w:val="01AD62C5"/>
    <w:rsid w:val="01AE1146"/>
    <w:rsid w:val="01B112E0"/>
    <w:rsid w:val="01B77F31"/>
    <w:rsid w:val="01BA51E5"/>
    <w:rsid w:val="01BC6549"/>
    <w:rsid w:val="01BD0EF3"/>
    <w:rsid w:val="01C52716"/>
    <w:rsid w:val="01D003B8"/>
    <w:rsid w:val="01D427A1"/>
    <w:rsid w:val="01DB2E0E"/>
    <w:rsid w:val="01DD59FB"/>
    <w:rsid w:val="01DE7F5C"/>
    <w:rsid w:val="01E1703D"/>
    <w:rsid w:val="01E92F42"/>
    <w:rsid w:val="01F21292"/>
    <w:rsid w:val="01F504C2"/>
    <w:rsid w:val="01F84280"/>
    <w:rsid w:val="01FD2AC6"/>
    <w:rsid w:val="01FE687B"/>
    <w:rsid w:val="02075DD8"/>
    <w:rsid w:val="020C67F3"/>
    <w:rsid w:val="02277D76"/>
    <w:rsid w:val="022C3763"/>
    <w:rsid w:val="022E26FA"/>
    <w:rsid w:val="0232186A"/>
    <w:rsid w:val="02367F9F"/>
    <w:rsid w:val="024504DC"/>
    <w:rsid w:val="024A51DC"/>
    <w:rsid w:val="024B5FC6"/>
    <w:rsid w:val="024C2B81"/>
    <w:rsid w:val="025362DD"/>
    <w:rsid w:val="02550A72"/>
    <w:rsid w:val="0259076E"/>
    <w:rsid w:val="025A529E"/>
    <w:rsid w:val="025A7B78"/>
    <w:rsid w:val="025F0B06"/>
    <w:rsid w:val="02661180"/>
    <w:rsid w:val="02663C65"/>
    <w:rsid w:val="026659F0"/>
    <w:rsid w:val="02666938"/>
    <w:rsid w:val="02697903"/>
    <w:rsid w:val="026C3262"/>
    <w:rsid w:val="026E6DD2"/>
    <w:rsid w:val="026E6F9B"/>
    <w:rsid w:val="02751A20"/>
    <w:rsid w:val="02781FDC"/>
    <w:rsid w:val="027F21F0"/>
    <w:rsid w:val="0281282A"/>
    <w:rsid w:val="028247F4"/>
    <w:rsid w:val="02835EEC"/>
    <w:rsid w:val="028B36A9"/>
    <w:rsid w:val="028F7400"/>
    <w:rsid w:val="02960AEC"/>
    <w:rsid w:val="02970D00"/>
    <w:rsid w:val="029D166C"/>
    <w:rsid w:val="02A209F3"/>
    <w:rsid w:val="02AD40CA"/>
    <w:rsid w:val="02B2189F"/>
    <w:rsid w:val="02BA4D88"/>
    <w:rsid w:val="02BF04D5"/>
    <w:rsid w:val="02C4091C"/>
    <w:rsid w:val="02C833A3"/>
    <w:rsid w:val="02C973A7"/>
    <w:rsid w:val="02CA77FC"/>
    <w:rsid w:val="02D17962"/>
    <w:rsid w:val="02D432A2"/>
    <w:rsid w:val="02E00465"/>
    <w:rsid w:val="02F11CE4"/>
    <w:rsid w:val="02F343D6"/>
    <w:rsid w:val="02F44D08"/>
    <w:rsid w:val="02F96569"/>
    <w:rsid w:val="0301396B"/>
    <w:rsid w:val="0313287D"/>
    <w:rsid w:val="0316553E"/>
    <w:rsid w:val="0318402F"/>
    <w:rsid w:val="035614A8"/>
    <w:rsid w:val="036013AC"/>
    <w:rsid w:val="036871A2"/>
    <w:rsid w:val="03692931"/>
    <w:rsid w:val="037960C0"/>
    <w:rsid w:val="037B00CE"/>
    <w:rsid w:val="037F5F1C"/>
    <w:rsid w:val="038137E3"/>
    <w:rsid w:val="038507CB"/>
    <w:rsid w:val="038D1478"/>
    <w:rsid w:val="03936A9A"/>
    <w:rsid w:val="03965BEC"/>
    <w:rsid w:val="03987F9F"/>
    <w:rsid w:val="03990FEC"/>
    <w:rsid w:val="039A36A3"/>
    <w:rsid w:val="039C2854"/>
    <w:rsid w:val="03A63C91"/>
    <w:rsid w:val="03A7313E"/>
    <w:rsid w:val="03A87FD8"/>
    <w:rsid w:val="03A92E13"/>
    <w:rsid w:val="03B114DE"/>
    <w:rsid w:val="03B7227C"/>
    <w:rsid w:val="03C344B4"/>
    <w:rsid w:val="03C85032"/>
    <w:rsid w:val="03C95E48"/>
    <w:rsid w:val="03D16ADB"/>
    <w:rsid w:val="03D462F3"/>
    <w:rsid w:val="03D63E32"/>
    <w:rsid w:val="03DD1CE2"/>
    <w:rsid w:val="03E67A1E"/>
    <w:rsid w:val="03E8260C"/>
    <w:rsid w:val="03EA7B21"/>
    <w:rsid w:val="03EC461B"/>
    <w:rsid w:val="03F9088F"/>
    <w:rsid w:val="040B567B"/>
    <w:rsid w:val="040C0EB2"/>
    <w:rsid w:val="040C727D"/>
    <w:rsid w:val="040F3A96"/>
    <w:rsid w:val="041476CE"/>
    <w:rsid w:val="041713AA"/>
    <w:rsid w:val="04253689"/>
    <w:rsid w:val="0429421C"/>
    <w:rsid w:val="042B5539"/>
    <w:rsid w:val="04365896"/>
    <w:rsid w:val="04390EE3"/>
    <w:rsid w:val="04412E2D"/>
    <w:rsid w:val="0442423B"/>
    <w:rsid w:val="04446205"/>
    <w:rsid w:val="044700BE"/>
    <w:rsid w:val="04485C72"/>
    <w:rsid w:val="0448745D"/>
    <w:rsid w:val="04490D17"/>
    <w:rsid w:val="044E498E"/>
    <w:rsid w:val="0451472C"/>
    <w:rsid w:val="04602913"/>
    <w:rsid w:val="04634A5F"/>
    <w:rsid w:val="046A7164"/>
    <w:rsid w:val="046F70FE"/>
    <w:rsid w:val="04712304"/>
    <w:rsid w:val="04820844"/>
    <w:rsid w:val="04834485"/>
    <w:rsid w:val="04842AA6"/>
    <w:rsid w:val="048465D7"/>
    <w:rsid w:val="0487796D"/>
    <w:rsid w:val="04893CFE"/>
    <w:rsid w:val="048D5F88"/>
    <w:rsid w:val="048E2C65"/>
    <w:rsid w:val="049142AD"/>
    <w:rsid w:val="04964902"/>
    <w:rsid w:val="04A24CDA"/>
    <w:rsid w:val="04A97B79"/>
    <w:rsid w:val="04B41864"/>
    <w:rsid w:val="04B43B60"/>
    <w:rsid w:val="04BA2023"/>
    <w:rsid w:val="04BA5E32"/>
    <w:rsid w:val="04BC3FEE"/>
    <w:rsid w:val="04BF588C"/>
    <w:rsid w:val="04C57E0E"/>
    <w:rsid w:val="04C91DBA"/>
    <w:rsid w:val="04CF52CF"/>
    <w:rsid w:val="04D23811"/>
    <w:rsid w:val="04D72BD5"/>
    <w:rsid w:val="04E13A54"/>
    <w:rsid w:val="04E24CCF"/>
    <w:rsid w:val="04E470A0"/>
    <w:rsid w:val="04EF5DCF"/>
    <w:rsid w:val="04F15BFB"/>
    <w:rsid w:val="05023DA4"/>
    <w:rsid w:val="05031C1C"/>
    <w:rsid w:val="05065269"/>
    <w:rsid w:val="0512512F"/>
    <w:rsid w:val="0513540B"/>
    <w:rsid w:val="05145BD8"/>
    <w:rsid w:val="05161364"/>
    <w:rsid w:val="052B1173"/>
    <w:rsid w:val="05300759"/>
    <w:rsid w:val="05304E4B"/>
    <w:rsid w:val="05363B2F"/>
    <w:rsid w:val="053C4F33"/>
    <w:rsid w:val="053E348D"/>
    <w:rsid w:val="0541520D"/>
    <w:rsid w:val="0547346D"/>
    <w:rsid w:val="054B365B"/>
    <w:rsid w:val="054B63D7"/>
    <w:rsid w:val="05587FCE"/>
    <w:rsid w:val="055B3468"/>
    <w:rsid w:val="055F7D5E"/>
    <w:rsid w:val="056A5CC5"/>
    <w:rsid w:val="056C1260"/>
    <w:rsid w:val="056D686E"/>
    <w:rsid w:val="056D7096"/>
    <w:rsid w:val="057238D6"/>
    <w:rsid w:val="057C19CF"/>
    <w:rsid w:val="05896380"/>
    <w:rsid w:val="05957B96"/>
    <w:rsid w:val="05AD7DDA"/>
    <w:rsid w:val="05B26AE1"/>
    <w:rsid w:val="05B819DC"/>
    <w:rsid w:val="05CC7973"/>
    <w:rsid w:val="05D20AB7"/>
    <w:rsid w:val="05D25B75"/>
    <w:rsid w:val="05D2765C"/>
    <w:rsid w:val="05D71595"/>
    <w:rsid w:val="05E41A4E"/>
    <w:rsid w:val="05EA197C"/>
    <w:rsid w:val="05EC3D1F"/>
    <w:rsid w:val="05F72E03"/>
    <w:rsid w:val="05F83EAE"/>
    <w:rsid w:val="06026953"/>
    <w:rsid w:val="06036299"/>
    <w:rsid w:val="06064F2C"/>
    <w:rsid w:val="060F639F"/>
    <w:rsid w:val="06137257"/>
    <w:rsid w:val="0617312A"/>
    <w:rsid w:val="061A560A"/>
    <w:rsid w:val="06203CF9"/>
    <w:rsid w:val="06222576"/>
    <w:rsid w:val="06255BC2"/>
    <w:rsid w:val="062622A4"/>
    <w:rsid w:val="06265EA1"/>
    <w:rsid w:val="062A0C58"/>
    <w:rsid w:val="062C120A"/>
    <w:rsid w:val="063270D8"/>
    <w:rsid w:val="06361DCA"/>
    <w:rsid w:val="063C5854"/>
    <w:rsid w:val="063E4EA7"/>
    <w:rsid w:val="063E7D85"/>
    <w:rsid w:val="064137AF"/>
    <w:rsid w:val="064223DA"/>
    <w:rsid w:val="064241A7"/>
    <w:rsid w:val="06435F34"/>
    <w:rsid w:val="064A5F93"/>
    <w:rsid w:val="064E5193"/>
    <w:rsid w:val="065137BD"/>
    <w:rsid w:val="06530982"/>
    <w:rsid w:val="0656369A"/>
    <w:rsid w:val="06636689"/>
    <w:rsid w:val="06636DB4"/>
    <w:rsid w:val="06660B0A"/>
    <w:rsid w:val="066921CC"/>
    <w:rsid w:val="066E1982"/>
    <w:rsid w:val="066F0F41"/>
    <w:rsid w:val="06800594"/>
    <w:rsid w:val="06952A2A"/>
    <w:rsid w:val="06A05F6D"/>
    <w:rsid w:val="06AB2A7F"/>
    <w:rsid w:val="06B1240A"/>
    <w:rsid w:val="06C151CE"/>
    <w:rsid w:val="06D600B1"/>
    <w:rsid w:val="06DA080A"/>
    <w:rsid w:val="06E337F1"/>
    <w:rsid w:val="06E53DBE"/>
    <w:rsid w:val="06E84B37"/>
    <w:rsid w:val="0701218C"/>
    <w:rsid w:val="070B300A"/>
    <w:rsid w:val="070C0847"/>
    <w:rsid w:val="070D0B30"/>
    <w:rsid w:val="07175A29"/>
    <w:rsid w:val="071F2612"/>
    <w:rsid w:val="07222102"/>
    <w:rsid w:val="07246A55"/>
    <w:rsid w:val="07267E44"/>
    <w:rsid w:val="07293586"/>
    <w:rsid w:val="07295285"/>
    <w:rsid w:val="072A7707"/>
    <w:rsid w:val="073249BE"/>
    <w:rsid w:val="07372051"/>
    <w:rsid w:val="07411C2D"/>
    <w:rsid w:val="07421F60"/>
    <w:rsid w:val="07526710"/>
    <w:rsid w:val="075B27E1"/>
    <w:rsid w:val="076247BA"/>
    <w:rsid w:val="07636392"/>
    <w:rsid w:val="07653B0B"/>
    <w:rsid w:val="07684137"/>
    <w:rsid w:val="076F1522"/>
    <w:rsid w:val="076F7D7E"/>
    <w:rsid w:val="07752148"/>
    <w:rsid w:val="07770C56"/>
    <w:rsid w:val="07862E6A"/>
    <w:rsid w:val="07883F15"/>
    <w:rsid w:val="078B5EF9"/>
    <w:rsid w:val="078D7EC3"/>
    <w:rsid w:val="079009AE"/>
    <w:rsid w:val="07A1396F"/>
    <w:rsid w:val="07A57630"/>
    <w:rsid w:val="07AD1C22"/>
    <w:rsid w:val="07B51116"/>
    <w:rsid w:val="07B83B9B"/>
    <w:rsid w:val="07B922CC"/>
    <w:rsid w:val="07BA06BE"/>
    <w:rsid w:val="07BA2107"/>
    <w:rsid w:val="07BB607D"/>
    <w:rsid w:val="07C16B01"/>
    <w:rsid w:val="07CC19DE"/>
    <w:rsid w:val="07E01DA1"/>
    <w:rsid w:val="07E566D3"/>
    <w:rsid w:val="07E6312F"/>
    <w:rsid w:val="07E70D4B"/>
    <w:rsid w:val="07EF4A40"/>
    <w:rsid w:val="07F65ED5"/>
    <w:rsid w:val="07F910B5"/>
    <w:rsid w:val="08030A76"/>
    <w:rsid w:val="08045260"/>
    <w:rsid w:val="080C2C59"/>
    <w:rsid w:val="081303C8"/>
    <w:rsid w:val="081631DD"/>
    <w:rsid w:val="08197464"/>
    <w:rsid w:val="0822685D"/>
    <w:rsid w:val="0825634E"/>
    <w:rsid w:val="082F0F7A"/>
    <w:rsid w:val="08322AE0"/>
    <w:rsid w:val="08333D4D"/>
    <w:rsid w:val="08380F8C"/>
    <w:rsid w:val="083C3EE7"/>
    <w:rsid w:val="084A7B62"/>
    <w:rsid w:val="084E7652"/>
    <w:rsid w:val="085068E9"/>
    <w:rsid w:val="085348BC"/>
    <w:rsid w:val="08542D48"/>
    <w:rsid w:val="085663B3"/>
    <w:rsid w:val="085D57EC"/>
    <w:rsid w:val="08620B6C"/>
    <w:rsid w:val="08624B9C"/>
    <w:rsid w:val="08642C7F"/>
    <w:rsid w:val="08665BE8"/>
    <w:rsid w:val="08676B4A"/>
    <w:rsid w:val="08686BCB"/>
    <w:rsid w:val="08730E67"/>
    <w:rsid w:val="087E477D"/>
    <w:rsid w:val="088E6A23"/>
    <w:rsid w:val="08940A35"/>
    <w:rsid w:val="089531E8"/>
    <w:rsid w:val="08966904"/>
    <w:rsid w:val="08A87973"/>
    <w:rsid w:val="08A95CD2"/>
    <w:rsid w:val="08AE6343"/>
    <w:rsid w:val="08BA6A96"/>
    <w:rsid w:val="08BD63F1"/>
    <w:rsid w:val="08C66868"/>
    <w:rsid w:val="08C96D7B"/>
    <w:rsid w:val="08D35DAA"/>
    <w:rsid w:val="08D379DA"/>
    <w:rsid w:val="08D4742C"/>
    <w:rsid w:val="08D55065"/>
    <w:rsid w:val="08F31921"/>
    <w:rsid w:val="08F85810"/>
    <w:rsid w:val="09010E46"/>
    <w:rsid w:val="09012917"/>
    <w:rsid w:val="09025C73"/>
    <w:rsid w:val="09055F84"/>
    <w:rsid w:val="09077801"/>
    <w:rsid w:val="09121B08"/>
    <w:rsid w:val="091645F9"/>
    <w:rsid w:val="091C3E5F"/>
    <w:rsid w:val="092217DD"/>
    <w:rsid w:val="09314221"/>
    <w:rsid w:val="093246C1"/>
    <w:rsid w:val="093920B1"/>
    <w:rsid w:val="093967E6"/>
    <w:rsid w:val="093A7294"/>
    <w:rsid w:val="093D5BE3"/>
    <w:rsid w:val="09474DE0"/>
    <w:rsid w:val="094E3682"/>
    <w:rsid w:val="09557124"/>
    <w:rsid w:val="095902E4"/>
    <w:rsid w:val="096229AB"/>
    <w:rsid w:val="09650DC5"/>
    <w:rsid w:val="09710FA4"/>
    <w:rsid w:val="09714770"/>
    <w:rsid w:val="09724CE9"/>
    <w:rsid w:val="097B0BFE"/>
    <w:rsid w:val="097E75D5"/>
    <w:rsid w:val="0984657C"/>
    <w:rsid w:val="099472E7"/>
    <w:rsid w:val="09952138"/>
    <w:rsid w:val="09957871"/>
    <w:rsid w:val="099C718D"/>
    <w:rsid w:val="099F2341"/>
    <w:rsid w:val="09AB49D5"/>
    <w:rsid w:val="09AC48D3"/>
    <w:rsid w:val="09C71266"/>
    <w:rsid w:val="09CD45A7"/>
    <w:rsid w:val="09D9119E"/>
    <w:rsid w:val="09EC78B4"/>
    <w:rsid w:val="09F410FD"/>
    <w:rsid w:val="09F47086"/>
    <w:rsid w:val="09F47D86"/>
    <w:rsid w:val="09F50B09"/>
    <w:rsid w:val="09FA0BED"/>
    <w:rsid w:val="09FA1369"/>
    <w:rsid w:val="09FA3BA3"/>
    <w:rsid w:val="0A063D9A"/>
    <w:rsid w:val="0A0F2F9A"/>
    <w:rsid w:val="0A0F696E"/>
    <w:rsid w:val="0A1C108A"/>
    <w:rsid w:val="0A263993"/>
    <w:rsid w:val="0A27015B"/>
    <w:rsid w:val="0A2D3AC2"/>
    <w:rsid w:val="0A323DBD"/>
    <w:rsid w:val="0A33204C"/>
    <w:rsid w:val="0A362FD0"/>
    <w:rsid w:val="0A3F5E5E"/>
    <w:rsid w:val="0A434DE7"/>
    <w:rsid w:val="0A4800D1"/>
    <w:rsid w:val="0A4A53B6"/>
    <w:rsid w:val="0A5B7CB7"/>
    <w:rsid w:val="0A5C364B"/>
    <w:rsid w:val="0A603E15"/>
    <w:rsid w:val="0A6E046B"/>
    <w:rsid w:val="0A726EFC"/>
    <w:rsid w:val="0A7415F0"/>
    <w:rsid w:val="0A7C7B36"/>
    <w:rsid w:val="0A884C87"/>
    <w:rsid w:val="0A8950E4"/>
    <w:rsid w:val="0A8A49F4"/>
    <w:rsid w:val="0A8F3CE7"/>
    <w:rsid w:val="0A9A3E13"/>
    <w:rsid w:val="0AA755DF"/>
    <w:rsid w:val="0AB042DC"/>
    <w:rsid w:val="0AB2395F"/>
    <w:rsid w:val="0AB80DB3"/>
    <w:rsid w:val="0ABA0FCF"/>
    <w:rsid w:val="0ABB3C38"/>
    <w:rsid w:val="0ABB4D47"/>
    <w:rsid w:val="0ABC39D8"/>
    <w:rsid w:val="0ABC4740"/>
    <w:rsid w:val="0ACA55D0"/>
    <w:rsid w:val="0AD0132E"/>
    <w:rsid w:val="0AE41FB3"/>
    <w:rsid w:val="0AEB73DB"/>
    <w:rsid w:val="0AEB7501"/>
    <w:rsid w:val="0B0D40C8"/>
    <w:rsid w:val="0B0E131B"/>
    <w:rsid w:val="0B112BB9"/>
    <w:rsid w:val="0B120D44"/>
    <w:rsid w:val="0B1A25E7"/>
    <w:rsid w:val="0B1A3A0F"/>
    <w:rsid w:val="0B20067E"/>
    <w:rsid w:val="0B261B15"/>
    <w:rsid w:val="0B281F0F"/>
    <w:rsid w:val="0B31373A"/>
    <w:rsid w:val="0B325009"/>
    <w:rsid w:val="0B5854DA"/>
    <w:rsid w:val="0B5A630E"/>
    <w:rsid w:val="0B5C0416"/>
    <w:rsid w:val="0B626A94"/>
    <w:rsid w:val="0B642CE9"/>
    <w:rsid w:val="0B6716AC"/>
    <w:rsid w:val="0B677317"/>
    <w:rsid w:val="0B6E2CCD"/>
    <w:rsid w:val="0B732971"/>
    <w:rsid w:val="0B761510"/>
    <w:rsid w:val="0B761752"/>
    <w:rsid w:val="0B7A13DC"/>
    <w:rsid w:val="0B7B6124"/>
    <w:rsid w:val="0B7D3DAB"/>
    <w:rsid w:val="0B80322F"/>
    <w:rsid w:val="0B864009"/>
    <w:rsid w:val="0B8769D7"/>
    <w:rsid w:val="0B877927"/>
    <w:rsid w:val="0B8D0F6C"/>
    <w:rsid w:val="0B913EF1"/>
    <w:rsid w:val="0B93455E"/>
    <w:rsid w:val="0BAB1D63"/>
    <w:rsid w:val="0BB1349B"/>
    <w:rsid w:val="0BB46A41"/>
    <w:rsid w:val="0BB57499"/>
    <w:rsid w:val="0BB7042D"/>
    <w:rsid w:val="0BB97DD2"/>
    <w:rsid w:val="0BC00F03"/>
    <w:rsid w:val="0BC87F6C"/>
    <w:rsid w:val="0BD25EA5"/>
    <w:rsid w:val="0BD27BF6"/>
    <w:rsid w:val="0BDB28C5"/>
    <w:rsid w:val="0BE15CD5"/>
    <w:rsid w:val="0BFF517F"/>
    <w:rsid w:val="0C0B075E"/>
    <w:rsid w:val="0C1110C3"/>
    <w:rsid w:val="0C1666D9"/>
    <w:rsid w:val="0C1A39DF"/>
    <w:rsid w:val="0C200989"/>
    <w:rsid w:val="0C2D70D0"/>
    <w:rsid w:val="0C3B3C7D"/>
    <w:rsid w:val="0C3D33FA"/>
    <w:rsid w:val="0C4112ED"/>
    <w:rsid w:val="0C550884"/>
    <w:rsid w:val="0C5715D4"/>
    <w:rsid w:val="0C656D19"/>
    <w:rsid w:val="0C6805B7"/>
    <w:rsid w:val="0C6C43F7"/>
    <w:rsid w:val="0C7C442F"/>
    <w:rsid w:val="0C7D6F79"/>
    <w:rsid w:val="0C825B20"/>
    <w:rsid w:val="0C8416D0"/>
    <w:rsid w:val="0C856194"/>
    <w:rsid w:val="0C882A07"/>
    <w:rsid w:val="0C8A2F3A"/>
    <w:rsid w:val="0C8B34A5"/>
    <w:rsid w:val="0C956F0E"/>
    <w:rsid w:val="0C9E070C"/>
    <w:rsid w:val="0CA968E2"/>
    <w:rsid w:val="0CAB2EAE"/>
    <w:rsid w:val="0CAF3205"/>
    <w:rsid w:val="0CBE246E"/>
    <w:rsid w:val="0CCD3E11"/>
    <w:rsid w:val="0CD3017E"/>
    <w:rsid w:val="0CD345CA"/>
    <w:rsid w:val="0CD62E87"/>
    <w:rsid w:val="0CE73FFE"/>
    <w:rsid w:val="0CEB5A3C"/>
    <w:rsid w:val="0CEE31B2"/>
    <w:rsid w:val="0CF031C9"/>
    <w:rsid w:val="0CF205A0"/>
    <w:rsid w:val="0CF6537F"/>
    <w:rsid w:val="0CFB020B"/>
    <w:rsid w:val="0D0D3D0E"/>
    <w:rsid w:val="0D117A50"/>
    <w:rsid w:val="0D1B4A28"/>
    <w:rsid w:val="0D200E44"/>
    <w:rsid w:val="0D201C84"/>
    <w:rsid w:val="0D270472"/>
    <w:rsid w:val="0D313D18"/>
    <w:rsid w:val="0D3D6231"/>
    <w:rsid w:val="0D435E2D"/>
    <w:rsid w:val="0D46126D"/>
    <w:rsid w:val="0D4772EF"/>
    <w:rsid w:val="0D5663F1"/>
    <w:rsid w:val="0D586368"/>
    <w:rsid w:val="0D621C7D"/>
    <w:rsid w:val="0D660F9A"/>
    <w:rsid w:val="0D6C6ADC"/>
    <w:rsid w:val="0D834AA8"/>
    <w:rsid w:val="0D846595"/>
    <w:rsid w:val="0D86136E"/>
    <w:rsid w:val="0D8C455F"/>
    <w:rsid w:val="0D913B3D"/>
    <w:rsid w:val="0D9773A6"/>
    <w:rsid w:val="0D995783"/>
    <w:rsid w:val="0D9F33CC"/>
    <w:rsid w:val="0DA306EE"/>
    <w:rsid w:val="0DA73BEC"/>
    <w:rsid w:val="0DA83420"/>
    <w:rsid w:val="0DA877B8"/>
    <w:rsid w:val="0DB25F8E"/>
    <w:rsid w:val="0DB60928"/>
    <w:rsid w:val="0DC871B0"/>
    <w:rsid w:val="0DD53EB8"/>
    <w:rsid w:val="0DEB2A04"/>
    <w:rsid w:val="0DEC5332"/>
    <w:rsid w:val="0DFE4216"/>
    <w:rsid w:val="0E033729"/>
    <w:rsid w:val="0E0B1B42"/>
    <w:rsid w:val="0E0B7597"/>
    <w:rsid w:val="0E0C7CD8"/>
    <w:rsid w:val="0E0F7345"/>
    <w:rsid w:val="0E1E627D"/>
    <w:rsid w:val="0E210350"/>
    <w:rsid w:val="0E2350DD"/>
    <w:rsid w:val="0E2D69E6"/>
    <w:rsid w:val="0E2E3245"/>
    <w:rsid w:val="0E3407D9"/>
    <w:rsid w:val="0E351CBB"/>
    <w:rsid w:val="0E36669A"/>
    <w:rsid w:val="0E404C9C"/>
    <w:rsid w:val="0E460DCC"/>
    <w:rsid w:val="0E464045"/>
    <w:rsid w:val="0E4C353F"/>
    <w:rsid w:val="0E57721F"/>
    <w:rsid w:val="0E5B462F"/>
    <w:rsid w:val="0E5C05EF"/>
    <w:rsid w:val="0E600514"/>
    <w:rsid w:val="0E605AEC"/>
    <w:rsid w:val="0E65475F"/>
    <w:rsid w:val="0E73034D"/>
    <w:rsid w:val="0E7D2A40"/>
    <w:rsid w:val="0E8333BD"/>
    <w:rsid w:val="0E8900D5"/>
    <w:rsid w:val="0E903460"/>
    <w:rsid w:val="0E935165"/>
    <w:rsid w:val="0E9452A5"/>
    <w:rsid w:val="0E9B4C74"/>
    <w:rsid w:val="0E9F7BC1"/>
    <w:rsid w:val="0EA711DD"/>
    <w:rsid w:val="0EA97D69"/>
    <w:rsid w:val="0EAC0AC2"/>
    <w:rsid w:val="0EBE2179"/>
    <w:rsid w:val="0EC0683C"/>
    <w:rsid w:val="0ECC4537"/>
    <w:rsid w:val="0EDB32C2"/>
    <w:rsid w:val="0EE21323"/>
    <w:rsid w:val="0EE22AE5"/>
    <w:rsid w:val="0EE26A65"/>
    <w:rsid w:val="0EE36E7C"/>
    <w:rsid w:val="0EEC1375"/>
    <w:rsid w:val="0F031506"/>
    <w:rsid w:val="0F046CBD"/>
    <w:rsid w:val="0F0E56D2"/>
    <w:rsid w:val="0F13775A"/>
    <w:rsid w:val="0F170DE5"/>
    <w:rsid w:val="0F19203C"/>
    <w:rsid w:val="0F1F356E"/>
    <w:rsid w:val="0F20161D"/>
    <w:rsid w:val="0F232818"/>
    <w:rsid w:val="0F344D93"/>
    <w:rsid w:val="0F3F2A66"/>
    <w:rsid w:val="0F3F73F8"/>
    <w:rsid w:val="0F451083"/>
    <w:rsid w:val="0F4539B2"/>
    <w:rsid w:val="0F4E1CE6"/>
    <w:rsid w:val="0F543B7E"/>
    <w:rsid w:val="0F554D3F"/>
    <w:rsid w:val="0F5A0F7A"/>
    <w:rsid w:val="0F5A4B2F"/>
    <w:rsid w:val="0F5F45FE"/>
    <w:rsid w:val="0F665DD1"/>
    <w:rsid w:val="0F73799F"/>
    <w:rsid w:val="0F784FB5"/>
    <w:rsid w:val="0F78515A"/>
    <w:rsid w:val="0F794915"/>
    <w:rsid w:val="0F836583"/>
    <w:rsid w:val="0F8674A7"/>
    <w:rsid w:val="0F894AB8"/>
    <w:rsid w:val="0F8C6CB2"/>
    <w:rsid w:val="0F8E370C"/>
    <w:rsid w:val="0F8F4043"/>
    <w:rsid w:val="0F933B9D"/>
    <w:rsid w:val="0F9A112B"/>
    <w:rsid w:val="0FA43F59"/>
    <w:rsid w:val="0FAA5250"/>
    <w:rsid w:val="0FAD5F50"/>
    <w:rsid w:val="0FAE6211"/>
    <w:rsid w:val="0FB94417"/>
    <w:rsid w:val="0FC5043D"/>
    <w:rsid w:val="0FC60F4D"/>
    <w:rsid w:val="0FC766C2"/>
    <w:rsid w:val="0FDC43AF"/>
    <w:rsid w:val="0FE708DB"/>
    <w:rsid w:val="0FEB33FE"/>
    <w:rsid w:val="0FEB6240"/>
    <w:rsid w:val="0FEF38AA"/>
    <w:rsid w:val="0FFD0285"/>
    <w:rsid w:val="1000756E"/>
    <w:rsid w:val="10023D42"/>
    <w:rsid w:val="1010759E"/>
    <w:rsid w:val="10190546"/>
    <w:rsid w:val="102C755E"/>
    <w:rsid w:val="102D5D9F"/>
    <w:rsid w:val="102F148A"/>
    <w:rsid w:val="103233B6"/>
    <w:rsid w:val="10351FF0"/>
    <w:rsid w:val="103A04BC"/>
    <w:rsid w:val="10443740"/>
    <w:rsid w:val="1045133B"/>
    <w:rsid w:val="10486C34"/>
    <w:rsid w:val="10495E1E"/>
    <w:rsid w:val="104B514A"/>
    <w:rsid w:val="10514C0C"/>
    <w:rsid w:val="10527191"/>
    <w:rsid w:val="105347B8"/>
    <w:rsid w:val="105772C0"/>
    <w:rsid w:val="10594F81"/>
    <w:rsid w:val="105A414D"/>
    <w:rsid w:val="105B7035"/>
    <w:rsid w:val="10600DA7"/>
    <w:rsid w:val="10667503"/>
    <w:rsid w:val="106D2F64"/>
    <w:rsid w:val="106D4DF9"/>
    <w:rsid w:val="106E6B34"/>
    <w:rsid w:val="10752BDB"/>
    <w:rsid w:val="107614E0"/>
    <w:rsid w:val="107D249D"/>
    <w:rsid w:val="107D6BD1"/>
    <w:rsid w:val="10806817"/>
    <w:rsid w:val="10866BAD"/>
    <w:rsid w:val="10880CED"/>
    <w:rsid w:val="1088747A"/>
    <w:rsid w:val="10896175"/>
    <w:rsid w:val="108E3DDD"/>
    <w:rsid w:val="109A53CE"/>
    <w:rsid w:val="10A2039D"/>
    <w:rsid w:val="10A5627E"/>
    <w:rsid w:val="10AD1EDB"/>
    <w:rsid w:val="10B154F6"/>
    <w:rsid w:val="10B36C33"/>
    <w:rsid w:val="10B63710"/>
    <w:rsid w:val="10C021FE"/>
    <w:rsid w:val="10C65194"/>
    <w:rsid w:val="10C81F6C"/>
    <w:rsid w:val="10DA14BC"/>
    <w:rsid w:val="10DB3FBB"/>
    <w:rsid w:val="10DD1863"/>
    <w:rsid w:val="10E072B6"/>
    <w:rsid w:val="10E34306"/>
    <w:rsid w:val="10E8616A"/>
    <w:rsid w:val="10EA5A3E"/>
    <w:rsid w:val="10EC6ED1"/>
    <w:rsid w:val="10F10820"/>
    <w:rsid w:val="10FA10FE"/>
    <w:rsid w:val="11006B12"/>
    <w:rsid w:val="1102547E"/>
    <w:rsid w:val="110D7483"/>
    <w:rsid w:val="11183BAB"/>
    <w:rsid w:val="111C2F7A"/>
    <w:rsid w:val="112E6273"/>
    <w:rsid w:val="113266C8"/>
    <w:rsid w:val="11332BDF"/>
    <w:rsid w:val="11365128"/>
    <w:rsid w:val="11390ABC"/>
    <w:rsid w:val="113A41CF"/>
    <w:rsid w:val="11522378"/>
    <w:rsid w:val="11525C68"/>
    <w:rsid w:val="11561326"/>
    <w:rsid w:val="115D0906"/>
    <w:rsid w:val="116130B4"/>
    <w:rsid w:val="11665CA1"/>
    <w:rsid w:val="116F23E8"/>
    <w:rsid w:val="117B0D8C"/>
    <w:rsid w:val="117F6440"/>
    <w:rsid w:val="118440E5"/>
    <w:rsid w:val="118810CD"/>
    <w:rsid w:val="11910E95"/>
    <w:rsid w:val="11927F34"/>
    <w:rsid w:val="11936992"/>
    <w:rsid w:val="11AD357A"/>
    <w:rsid w:val="11AD4D91"/>
    <w:rsid w:val="11B036FF"/>
    <w:rsid w:val="11B61557"/>
    <w:rsid w:val="11BD1BAD"/>
    <w:rsid w:val="11BE2DE2"/>
    <w:rsid w:val="11C52008"/>
    <w:rsid w:val="11C865A2"/>
    <w:rsid w:val="11CB72F4"/>
    <w:rsid w:val="11D31A38"/>
    <w:rsid w:val="11D463F0"/>
    <w:rsid w:val="11D4691D"/>
    <w:rsid w:val="11D60DA0"/>
    <w:rsid w:val="11E233BB"/>
    <w:rsid w:val="11EE00D5"/>
    <w:rsid w:val="11F24DF7"/>
    <w:rsid w:val="11F853FE"/>
    <w:rsid w:val="11F86E12"/>
    <w:rsid w:val="11FE1687"/>
    <w:rsid w:val="120045BA"/>
    <w:rsid w:val="120431E3"/>
    <w:rsid w:val="12056686"/>
    <w:rsid w:val="120A269B"/>
    <w:rsid w:val="120A3E26"/>
    <w:rsid w:val="12161FC9"/>
    <w:rsid w:val="121E5D7B"/>
    <w:rsid w:val="122356AC"/>
    <w:rsid w:val="12255C44"/>
    <w:rsid w:val="12293610"/>
    <w:rsid w:val="12305987"/>
    <w:rsid w:val="1232090E"/>
    <w:rsid w:val="12391273"/>
    <w:rsid w:val="123A47A4"/>
    <w:rsid w:val="123D6243"/>
    <w:rsid w:val="123E5BC4"/>
    <w:rsid w:val="123F2754"/>
    <w:rsid w:val="12521C1C"/>
    <w:rsid w:val="12556C79"/>
    <w:rsid w:val="125C7179"/>
    <w:rsid w:val="12611751"/>
    <w:rsid w:val="127734AD"/>
    <w:rsid w:val="12781E6D"/>
    <w:rsid w:val="127A564B"/>
    <w:rsid w:val="128123D2"/>
    <w:rsid w:val="128924DC"/>
    <w:rsid w:val="128E2AA2"/>
    <w:rsid w:val="12923351"/>
    <w:rsid w:val="12977E48"/>
    <w:rsid w:val="129A0BC3"/>
    <w:rsid w:val="12A73CCA"/>
    <w:rsid w:val="12AA0A6A"/>
    <w:rsid w:val="12AE5884"/>
    <w:rsid w:val="12B26441"/>
    <w:rsid w:val="12B36955"/>
    <w:rsid w:val="12B95257"/>
    <w:rsid w:val="12BE7183"/>
    <w:rsid w:val="12CF4581"/>
    <w:rsid w:val="12D92724"/>
    <w:rsid w:val="12DE235D"/>
    <w:rsid w:val="12EC61D1"/>
    <w:rsid w:val="1306440E"/>
    <w:rsid w:val="130721E1"/>
    <w:rsid w:val="130A533F"/>
    <w:rsid w:val="130C3C89"/>
    <w:rsid w:val="131E4B1F"/>
    <w:rsid w:val="13232A85"/>
    <w:rsid w:val="13232D35"/>
    <w:rsid w:val="13240F3D"/>
    <w:rsid w:val="13290B68"/>
    <w:rsid w:val="133739BE"/>
    <w:rsid w:val="134753CA"/>
    <w:rsid w:val="13484EA9"/>
    <w:rsid w:val="134C18D7"/>
    <w:rsid w:val="134F6863"/>
    <w:rsid w:val="13576C5A"/>
    <w:rsid w:val="13577347"/>
    <w:rsid w:val="135B4D34"/>
    <w:rsid w:val="1360330F"/>
    <w:rsid w:val="137307A7"/>
    <w:rsid w:val="13765CAF"/>
    <w:rsid w:val="1379771D"/>
    <w:rsid w:val="138265B3"/>
    <w:rsid w:val="138D3FA2"/>
    <w:rsid w:val="139475CF"/>
    <w:rsid w:val="13951726"/>
    <w:rsid w:val="13962702"/>
    <w:rsid w:val="13963C5C"/>
    <w:rsid w:val="139E4A43"/>
    <w:rsid w:val="13A02D2C"/>
    <w:rsid w:val="13A66595"/>
    <w:rsid w:val="13A71EA0"/>
    <w:rsid w:val="13AA194B"/>
    <w:rsid w:val="13B463CC"/>
    <w:rsid w:val="13CB0483"/>
    <w:rsid w:val="13CC337F"/>
    <w:rsid w:val="13D467BE"/>
    <w:rsid w:val="13DA4490"/>
    <w:rsid w:val="13E40AD4"/>
    <w:rsid w:val="13E51B5B"/>
    <w:rsid w:val="13EA31B1"/>
    <w:rsid w:val="13EA56DA"/>
    <w:rsid w:val="13F03EA2"/>
    <w:rsid w:val="13F30EDA"/>
    <w:rsid w:val="13F56BD4"/>
    <w:rsid w:val="13FA2B63"/>
    <w:rsid w:val="13FC7287"/>
    <w:rsid w:val="13FF340F"/>
    <w:rsid w:val="140F7ACA"/>
    <w:rsid w:val="143259B0"/>
    <w:rsid w:val="1432607A"/>
    <w:rsid w:val="14396509"/>
    <w:rsid w:val="14413D9A"/>
    <w:rsid w:val="14414227"/>
    <w:rsid w:val="14431357"/>
    <w:rsid w:val="14467430"/>
    <w:rsid w:val="144B663D"/>
    <w:rsid w:val="144D5655"/>
    <w:rsid w:val="145419C5"/>
    <w:rsid w:val="14553BA0"/>
    <w:rsid w:val="145C4EA5"/>
    <w:rsid w:val="145E16ED"/>
    <w:rsid w:val="1460233C"/>
    <w:rsid w:val="14675121"/>
    <w:rsid w:val="14695D26"/>
    <w:rsid w:val="146D404B"/>
    <w:rsid w:val="14715911"/>
    <w:rsid w:val="1472590E"/>
    <w:rsid w:val="147366B5"/>
    <w:rsid w:val="14745904"/>
    <w:rsid w:val="147776C8"/>
    <w:rsid w:val="14782CA6"/>
    <w:rsid w:val="14785667"/>
    <w:rsid w:val="147C10A3"/>
    <w:rsid w:val="14802C1D"/>
    <w:rsid w:val="148A26A1"/>
    <w:rsid w:val="14902DA1"/>
    <w:rsid w:val="14927C85"/>
    <w:rsid w:val="14AD74AF"/>
    <w:rsid w:val="14BB6070"/>
    <w:rsid w:val="14C15B6F"/>
    <w:rsid w:val="14D40792"/>
    <w:rsid w:val="14DB603C"/>
    <w:rsid w:val="14DD2C3C"/>
    <w:rsid w:val="14DF014A"/>
    <w:rsid w:val="14DF7DBB"/>
    <w:rsid w:val="14E943A9"/>
    <w:rsid w:val="14ED01F3"/>
    <w:rsid w:val="14F23EDD"/>
    <w:rsid w:val="14F74BCE"/>
    <w:rsid w:val="14FA51E6"/>
    <w:rsid w:val="150443FD"/>
    <w:rsid w:val="150818A7"/>
    <w:rsid w:val="150A37CE"/>
    <w:rsid w:val="151224F0"/>
    <w:rsid w:val="15141DF6"/>
    <w:rsid w:val="15167761"/>
    <w:rsid w:val="151B2D23"/>
    <w:rsid w:val="151E71C7"/>
    <w:rsid w:val="152731CF"/>
    <w:rsid w:val="153F1FC7"/>
    <w:rsid w:val="15451DDD"/>
    <w:rsid w:val="1548203F"/>
    <w:rsid w:val="154F67B8"/>
    <w:rsid w:val="155D4C9C"/>
    <w:rsid w:val="155D642C"/>
    <w:rsid w:val="155D7127"/>
    <w:rsid w:val="1562648E"/>
    <w:rsid w:val="156C736A"/>
    <w:rsid w:val="156F0C08"/>
    <w:rsid w:val="15744470"/>
    <w:rsid w:val="1580202D"/>
    <w:rsid w:val="15831F6B"/>
    <w:rsid w:val="159536D0"/>
    <w:rsid w:val="159E0588"/>
    <w:rsid w:val="159F08E3"/>
    <w:rsid w:val="15A41D23"/>
    <w:rsid w:val="15A930D1"/>
    <w:rsid w:val="15AC3C0A"/>
    <w:rsid w:val="15B023F0"/>
    <w:rsid w:val="15B05EC1"/>
    <w:rsid w:val="15B21DF1"/>
    <w:rsid w:val="15BA024D"/>
    <w:rsid w:val="15CD1816"/>
    <w:rsid w:val="15CE592F"/>
    <w:rsid w:val="15D05B4B"/>
    <w:rsid w:val="15E3035A"/>
    <w:rsid w:val="15E9328B"/>
    <w:rsid w:val="15F30FBF"/>
    <w:rsid w:val="16016036"/>
    <w:rsid w:val="160515FF"/>
    <w:rsid w:val="1606485B"/>
    <w:rsid w:val="16087E1D"/>
    <w:rsid w:val="16112E9F"/>
    <w:rsid w:val="161935E4"/>
    <w:rsid w:val="162515B9"/>
    <w:rsid w:val="16282F80"/>
    <w:rsid w:val="163141F5"/>
    <w:rsid w:val="16337159"/>
    <w:rsid w:val="163509E4"/>
    <w:rsid w:val="164326E6"/>
    <w:rsid w:val="16460C59"/>
    <w:rsid w:val="16491459"/>
    <w:rsid w:val="164B6222"/>
    <w:rsid w:val="164D273A"/>
    <w:rsid w:val="165A638D"/>
    <w:rsid w:val="165E5B44"/>
    <w:rsid w:val="165F42AE"/>
    <w:rsid w:val="166103AE"/>
    <w:rsid w:val="16681B75"/>
    <w:rsid w:val="16685D88"/>
    <w:rsid w:val="166D53C6"/>
    <w:rsid w:val="16776F65"/>
    <w:rsid w:val="167D0CC7"/>
    <w:rsid w:val="16812378"/>
    <w:rsid w:val="16A3369E"/>
    <w:rsid w:val="16B2711D"/>
    <w:rsid w:val="16B85B0F"/>
    <w:rsid w:val="16BB0148"/>
    <w:rsid w:val="16BF0BDA"/>
    <w:rsid w:val="16CF5E02"/>
    <w:rsid w:val="16D61FC6"/>
    <w:rsid w:val="16D93E09"/>
    <w:rsid w:val="16E00441"/>
    <w:rsid w:val="16E533C1"/>
    <w:rsid w:val="16EE6933"/>
    <w:rsid w:val="16EF1D22"/>
    <w:rsid w:val="16EF3DAF"/>
    <w:rsid w:val="16EF40C6"/>
    <w:rsid w:val="16F158CD"/>
    <w:rsid w:val="16F569BA"/>
    <w:rsid w:val="16FB238C"/>
    <w:rsid w:val="16FB6440"/>
    <w:rsid w:val="16FF7D6A"/>
    <w:rsid w:val="17100A02"/>
    <w:rsid w:val="171C0EFE"/>
    <w:rsid w:val="1720665E"/>
    <w:rsid w:val="172B6DB1"/>
    <w:rsid w:val="172E7CE3"/>
    <w:rsid w:val="172F756B"/>
    <w:rsid w:val="173735EE"/>
    <w:rsid w:val="173D59E6"/>
    <w:rsid w:val="17445C49"/>
    <w:rsid w:val="17513B4F"/>
    <w:rsid w:val="17542221"/>
    <w:rsid w:val="175470E6"/>
    <w:rsid w:val="175A3D80"/>
    <w:rsid w:val="17627DEA"/>
    <w:rsid w:val="176522C3"/>
    <w:rsid w:val="176A0BB1"/>
    <w:rsid w:val="176A284D"/>
    <w:rsid w:val="176E0FB5"/>
    <w:rsid w:val="17701D14"/>
    <w:rsid w:val="17714FEA"/>
    <w:rsid w:val="17735226"/>
    <w:rsid w:val="1783099B"/>
    <w:rsid w:val="178B7A91"/>
    <w:rsid w:val="178C3A8A"/>
    <w:rsid w:val="17903EE0"/>
    <w:rsid w:val="17912F8E"/>
    <w:rsid w:val="17955555"/>
    <w:rsid w:val="17973B0C"/>
    <w:rsid w:val="179A3525"/>
    <w:rsid w:val="179B504E"/>
    <w:rsid w:val="179C0C57"/>
    <w:rsid w:val="179E13C9"/>
    <w:rsid w:val="17A0154D"/>
    <w:rsid w:val="17A6306A"/>
    <w:rsid w:val="17AA4179"/>
    <w:rsid w:val="17AC3363"/>
    <w:rsid w:val="17B7711E"/>
    <w:rsid w:val="17B80616"/>
    <w:rsid w:val="17B92737"/>
    <w:rsid w:val="17C27715"/>
    <w:rsid w:val="17C84D31"/>
    <w:rsid w:val="17CC0489"/>
    <w:rsid w:val="17D62083"/>
    <w:rsid w:val="17D67A8C"/>
    <w:rsid w:val="17DD62D3"/>
    <w:rsid w:val="17E625D8"/>
    <w:rsid w:val="17EE4066"/>
    <w:rsid w:val="17F14580"/>
    <w:rsid w:val="17F4785E"/>
    <w:rsid w:val="17F55BC7"/>
    <w:rsid w:val="17F57536"/>
    <w:rsid w:val="17FD60AF"/>
    <w:rsid w:val="18096972"/>
    <w:rsid w:val="182C3422"/>
    <w:rsid w:val="183458D1"/>
    <w:rsid w:val="18383578"/>
    <w:rsid w:val="18447977"/>
    <w:rsid w:val="184E7B2F"/>
    <w:rsid w:val="184F6765"/>
    <w:rsid w:val="18534811"/>
    <w:rsid w:val="185A3167"/>
    <w:rsid w:val="185B1F3E"/>
    <w:rsid w:val="185D1C5F"/>
    <w:rsid w:val="186546BC"/>
    <w:rsid w:val="18694035"/>
    <w:rsid w:val="186E51A7"/>
    <w:rsid w:val="187B1641"/>
    <w:rsid w:val="187C2988"/>
    <w:rsid w:val="18814EDA"/>
    <w:rsid w:val="188224E9"/>
    <w:rsid w:val="18835027"/>
    <w:rsid w:val="18900D4D"/>
    <w:rsid w:val="189078DA"/>
    <w:rsid w:val="18940D83"/>
    <w:rsid w:val="189F624C"/>
    <w:rsid w:val="18AA7889"/>
    <w:rsid w:val="18AB43C5"/>
    <w:rsid w:val="18AD19F2"/>
    <w:rsid w:val="18BA663E"/>
    <w:rsid w:val="18C01026"/>
    <w:rsid w:val="18C37AA7"/>
    <w:rsid w:val="18CC0A2E"/>
    <w:rsid w:val="18E20635"/>
    <w:rsid w:val="18E24A74"/>
    <w:rsid w:val="18EC6568"/>
    <w:rsid w:val="18ED484C"/>
    <w:rsid w:val="18EF453A"/>
    <w:rsid w:val="18F2402A"/>
    <w:rsid w:val="18F86036"/>
    <w:rsid w:val="18FC10BF"/>
    <w:rsid w:val="19063631"/>
    <w:rsid w:val="190B796B"/>
    <w:rsid w:val="19136AAC"/>
    <w:rsid w:val="19191980"/>
    <w:rsid w:val="19207DCE"/>
    <w:rsid w:val="19252B34"/>
    <w:rsid w:val="19276AFB"/>
    <w:rsid w:val="192D6227"/>
    <w:rsid w:val="193016F5"/>
    <w:rsid w:val="19362C95"/>
    <w:rsid w:val="193B047E"/>
    <w:rsid w:val="19444BC2"/>
    <w:rsid w:val="194A035E"/>
    <w:rsid w:val="194B4765"/>
    <w:rsid w:val="194D6F0B"/>
    <w:rsid w:val="194D74B2"/>
    <w:rsid w:val="194F322A"/>
    <w:rsid w:val="19533059"/>
    <w:rsid w:val="195B4CDE"/>
    <w:rsid w:val="195E346D"/>
    <w:rsid w:val="19642DC0"/>
    <w:rsid w:val="196467E6"/>
    <w:rsid w:val="19692D7C"/>
    <w:rsid w:val="19772A79"/>
    <w:rsid w:val="197902A7"/>
    <w:rsid w:val="19821042"/>
    <w:rsid w:val="19855E4D"/>
    <w:rsid w:val="198567EB"/>
    <w:rsid w:val="1990091C"/>
    <w:rsid w:val="19913E8C"/>
    <w:rsid w:val="19921369"/>
    <w:rsid w:val="199A1AD8"/>
    <w:rsid w:val="199F0177"/>
    <w:rsid w:val="199F666A"/>
    <w:rsid w:val="19AE61A3"/>
    <w:rsid w:val="19B80DD0"/>
    <w:rsid w:val="19BB59D0"/>
    <w:rsid w:val="19C81069"/>
    <w:rsid w:val="19C951C1"/>
    <w:rsid w:val="19CD458E"/>
    <w:rsid w:val="19D14688"/>
    <w:rsid w:val="19D61256"/>
    <w:rsid w:val="19D71A53"/>
    <w:rsid w:val="19DC6249"/>
    <w:rsid w:val="19E00326"/>
    <w:rsid w:val="19EC54DE"/>
    <w:rsid w:val="19F274F4"/>
    <w:rsid w:val="19F30B61"/>
    <w:rsid w:val="19FD6E07"/>
    <w:rsid w:val="1A021DEE"/>
    <w:rsid w:val="1A041F6C"/>
    <w:rsid w:val="1A04431D"/>
    <w:rsid w:val="1A0C26AC"/>
    <w:rsid w:val="1A0C7662"/>
    <w:rsid w:val="1A0F185A"/>
    <w:rsid w:val="1A173434"/>
    <w:rsid w:val="1A1C66C0"/>
    <w:rsid w:val="1A2D437F"/>
    <w:rsid w:val="1A2F29DE"/>
    <w:rsid w:val="1A3348FA"/>
    <w:rsid w:val="1A3719A6"/>
    <w:rsid w:val="1A3C22AF"/>
    <w:rsid w:val="1A42393B"/>
    <w:rsid w:val="1A451613"/>
    <w:rsid w:val="1A646862"/>
    <w:rsid w:val="1A654388"/>
    <w:rsid w:val="1A67567B"/>
    <w:rsid w:val="1A686A49"/>
    <w:rsid w:val="1A6B4094"/>
    <w:rsid w:val="1A700BC8"/>
    <w:rsid w:val="1A7117ED"/>
    <w:rsid w:val="1A7202BE"/>
    <w:rsid w:val="1A7653F6"/>
    <w:rsid w:val="1A804512"/>
    <w:rsid w:val="1A8A7433"/>
    <w:rsid w:val="1A8C5DB8"/>
    <w:rsid w:val="1A9F1336"/>
    <w:rsid w:val="1AAD45DE"/>
    <w:rsid w:val="1AB75BA5"/>
    <w:rsid w:val="1AB776C0"/>
    <w:rsid w:val="1AB84DFF"/>
    <w:rsid w:val="1ABB087D"/>
    <w:rsid w:val="1ACE6EF8"/>
    <w:rsid w:val="1AD27C6F"/>
    <w:rsid w:val="1AD35795"/>
    <w:rsid w:val="1AE10DA2"/>
    <w:rsid w:val="1AE12081"/>
    <w:rsid w:val="1AEA7019"/>
    <w:rsid w:val="1AEB6F83"/>
    <w:rsid w:val="1AEE64EF"/>
    <w:rsid w:val="1AF04599"/>
    <w:rsid w:val="1AF24891"/>
    <w:rsid w:val="1AF643E6"/>
    <w:rsid w:val="1B045F93"/>
    <w:rsid w:val="1B046F80"/>
    <w:rsid w:val="1B093FA9"/>
    <w:rsid w:val="1B0E1FB1"/>
    <w:rsid w:val="1B0F5567"/>
    <w:rsid w:val="1B1821CF"/>
    <w:rsid w:val="1B1B4F22"/>
    <w:rsid w:val="1B1D74DF"/>
    <w:rsid w:val="1B3267B5"/>
    <w:rsid w:val="1B351FAC"/>
    <w:rsid w:val="1B363FD7"/>
    <w:rsid w:val="1B40161D"/>
    <w:rsid w:val="1B43291B"/>
    <w:rsid w:val="1B441859"/>
    <w:rsid w:val="1B4459E3"/>
    <w:rsid w:val="1B4A6BB9"/>
    <w:rsid w:val="1B507193"/>
    <w:rsid w:val="1B530684"/>
    <w:rsid w:val="1B6603B7"/>
    <w:rsid w:val="1B6606B1"/>
    <w:rsid w:val="1B690B70"/>
    <w:rsid w:val="1B6E474F"/>
    <w:rsid w:val="1B785F43"/>
    <w:rsid w:val="1B7945ED"/>
    <w:rsid w:val="1B7E7DF7"/>
    <w:rsid w:val="1B826F66"/>
    <w:rsid w:val="1B83540D"/>
    <w:rsid w:val="1B88523E"/>
    <w:rsid w:val="1B8A3A3D"/>
    <w:rsid w:val="1B8D5B82"/>
    <w:rsid w:val="1B9B4505"/>
    <w:rsid w:val="1B9C0929"/>
    <w:rsid w:val="1B9C57F6"/>
    <w:rsid w:val="1BA310F5"/>
    <w:rsid w:val="1BA84E74"/>
    <w:rsid w:val="1BCD2DCD"/>
    <w:rsid w:val="1BDA3C94"/>
    <w:rsid w:val="1BE3567C"/>
    <w:rsid w:val="1BE91714"/>
    <w:rsid w:val="1BE96C9F"/>
    <w:rsid w:val="1BEC62F2"/>
    <w:rsid w:val="1BF43C15"/>
    <w:rsid w:val="1BFD65D7"/>
    <w:rsid w:val="1C0423EE"/>
    <w:rsid w:val="1C0426CF"/>
    <w:rsid w:val="1C0B7DB5"/>
    <w:rsid w:val="1C116575"/>
    <w:rsid w:val="1C1442B7"/>
    <w:rsid w:val="1C1C16EF"/>
    <w:rsid w:val="1C23713A"/>
    <w:rsid w:val="1C237592"/>
    <w:rsid w:val="1C2E1720"/>
    <w:rsid w:val="1C3015D5"/>
    <w:rsid w:val="1C3A271C"/>
    <w:rsid w:val="1C3E07D3"/>
    <w:rsid w:val="1C4050AC"/>
    <w:rsid w:val="1C4306F9"/>
    <w:rsid w:val="1C4A6BA0"/>
    <w:rsid w:val="1C5868F1"/>
    <w:rsid w:val="1C5E7925"/>
    <w:rsid w:val="1C674627"/>
    <w:rsid w:val="1C6E5776"/>
    <w:rsid w:val="1C7A583D"/>
    <w:rsid w:val="1C7F3E27"/>
    <w:rsid w:val="1C8E1545"/>
    <w:rsid w:val="1C957EDB"/>
    <w:rsid w:val="1C9D24FF"/>
    <w:rsid w:val="1C9E0F30"/>
    <w:rsid w:val="1C9F3F97"/>
    <w:rsid w:val="1CA60B46"/>
    <w:rsid w:val="1CA72449"/>
    <w:rsid w:val="1CAB4C1C"/>
    <w:rsid w:val="1CB46F25"/>
    <w:rsid w:val="1CB80B46"/>
    <w:rsid w:val="1CBD66FD"/>
    <w:rsid w:val="1CD9350C"/>
    <w:rsid w:val="1CDF1D67"/>
    <w:rsid w:val="1CE10AF5"/>
    <w:rsid w:val="1CE17222"/>
    <w:rsid w:val="1CE35C57"/>
    <w:rsid w:val="1CFD070F"/>
    <w:rsid w:val="1D0D31EA"/>
    <w:rsid w:val="1D2247B2"/>
    <w:rsid w:val="1D2B18B9"/>
    <w:rsid w:val="1D2B2963"/>
    <w:rsid w:val="1D3364D2"/>
    <w:rsid w:val="1D3369BF"/>
    <w:rsid w:val="1D3B3E29"/>
    <w:rsid w:val="1D495458"/>
    <w:rsid w:val="1D4D2797"/>
    <w:rsid w:val="1D4F7EA6"/>
    <w:rsid w:val="1D5F6196"/>
    <w:rsid w:val="1D6132A5"/>
    <w:rsid w:val="1D632A00"/>
    <w:rsid w:val="1D6E5879"/>
    <w:rsid w:val="1D6F75F2"/>
    <w:rsid w:val="1D7019C1"/>
    <w:rsid w:val="1D7039E4"/>
    <w:rsid w:val="1D722B73"/>
    <w:rsid w:val="1D7370E3"/>
    <w:rsid w:val="1D766BDC"/>
    <w:rsid w:val="1D884F5D"/>
    <w:rsid w:val="1D8E56D5"/>
    <w:rsid w:val="1D90194C"/>
    <w:rsid w:val="1D99003E"/>
    <w:rsid w:val="1D9A3385"/>
    <w:rsid w:val="1D9B53C8"/>
    <w:rsid w:val="1D9D7C95"/>
    <w:rsid w:val="1D9E4464"/>
    <w:rsid w:val="1DA90ACE"/>
    <w:rsid w:val="1DA90BE5"/>
    <w:rsid w:val="1DAA1804"/>
    <w:rsid w:val="1DAD3715"/>
    <w:rsid w:val="1DBD3F38"/>
    <w:rsid w:val="1DC616CC"/>
    <w:rsid w:val="1DCA77EF"/>
    <w:rsid w:val="1DCD696C"/>
    <w:rsid w:val="1DCE467F"/>
    <w:rsid w:val="1DD526F1"/>
    <w:rsid w:val="1DD83A0E"/>
    <w:rsid w:val="1DDC550B"/>
    <w:rsid w:val="1DE405DC"/>
    <w:rsid w:val="1DE8737E"/>
    <w:rsid w:val="1DEA1774"/>
    <w:rsid w:val="1DEC729A"/>
    <w:rsid w:val="1DF20628"/>
    <w:rsid w:val="1DF60118"/>
    <w:rsid w:val="1E041AD4"/>
    <w:rsid w:val="1E0D5462"/>
    <w:rsid w:val="1E1962EB"/>
    <w:rsid w:val="1E234348"/>
    <w:rsid w:val="1E236A34"/>
    <w:rsid w:val="1E2F264C"/>
    <w:rsid w:val="1E4149D1"/>
    <w:rsid w:val="1E447B89"/>
    <w:rsid w:val="1E4724B3"/>
    <w:rsid w:val="1E520173"/>
    <w:rsid w:val="1E58492F"/>
    <w:rsid w:val="1E5D1F46"/>
    <w:rsid w:val="1E6447CF"/>
    <w:rsid w:val="1E67714C"/>
    <w:rsid w:val="1E700E57"/>
    <w:rsid w:val="1E7018E9"/>
    <w:rsid w:val="1E71154D"/>
    <w:rsid w:val="1E733517"/>
    <w:rsid w:val="1E761259"/>
    <w:rsid w:val="1E793B0D"/>
    <w:rsid w:val="1E7A43DA"/>
    <w:rsid w:val="1E7C0F81"/>
    <w:rsid w:val="1E937715"/>
    <w:rsid w:val="1E9D2342"/>
    <w:rsid w:val="1EA3650A"/>
    <w:rsid w:val="1EAB5080"/>
    <w:rsid w:val="1EAC1917"/>
    <w:rsid w:val="1EBA1146"/>
    <w:rsid w:val="1EBA722E"/>
    <w:rsid w:val="1EBB1640"/>
    <w:rsid w:val="1EC024D4"/>
    <w:rsid w:val="1EC141A2"/>
    <w:rsid w:val="1EC71A08"/>
    <w:rsid w:val="1EC77272"/>
    <w:rsid w:val="1ECE4BF1"/>
    <w:rsid w:val="1ED1023E"/>
    <w:rsid w:val="1ED1245C"/>
    <w:rsid w:val="1ED306F6"/>
    <w:rsid w:val="1EDB2623"/>
    <w:rsid w:val="1F0321A7"/>
    <w:rsid w:val="1F071EB1"/>
    <w:rsid w:val="1F0B19A2"/>
    <w:rsid w:val="1F0B2C80"/>
    <w:rsid w:val="1F0B7BF4"/>
    <w:rsid w:val="1F1437EE"/>
    <w:rsid w:val="1F1A3993"/>
    <w:rsid w:val="1F2244C5"/>
    <w:rsid w:val="1F244029"/>
    <w:rsid w:val="1F271CAA"/>
    <w:rsid w:val="1F3A2287"/>
    <w:rsid w:val="1F3A2D12"/>
    <w:rsid w:val="1F3A4035"/>
    <w:rsid w:val="1F3C1B5B"/>
    <w:rsid w:val="1F46491B"/>
    <w:rsid w:val="1F474BC0"/>
    <w:rsid w:val="1F542BBF"/>
    <w:rsid w:val="1F5F51A1"/>
    <w:rsid w:val="1F753718"/>
    <w:rsid w:val="1F7A08D5"/>
    <w:rsid w:val="1F7F413E"/>
    <w:rsid w:val="1F88428B"/>
    <w:rsid w:val="1F906C1B"/>
    <w:rsid w:val="1F9B4659"/>
    <w:rsid w:val="1F9D067C"/>
    <w:rsid w:val="1FA15E62"/>
    <w:rsid w:val="1FA80990"/>
    <w:rsid w:val="1FBA29BB"/>
    <w:rsid w:val="1FBA5176"/>
    <w:rsid w:val="1FBB693D"/>
    <w:rsid w:val="1FC1098F"/>
    <w:rsid w:val="1FC50859"/>
    <w:rsid w:val="1FD55341"/>
    <w:rsid w:val="1FD94A26"/>
    <w:rsid w:val="1FE312CB"/>
    <w:rsid w:val="1FE745FA"/>
    <w:rsid w:val="1FE7539E"/>
    <w:rsid w:val="1FF74523"/>
    <w:rsid w:val="1FFD1351"/>
    <w:rsid w:val="200143C1"/>
    <w:rsid w:val="20054643"/>
    <w:rsid w:val="20062169"/>
    <w:rsid w:val="200945DD"/>
    <w:rsid w:val="200C0AAF"/>
    <w:rsid w:val="200F3D10"/>
    <w:rsid w:val="2014383D"/>
    <w:rsid w:val="20232986"/>
    <w:rsid w:val="202C6073"/>
    <w:rsid w:val="202F20BD"/>
    <w:rsid w:val="20322F5E"/>
    <w:rsid w:val="203377C1"/>
    <w:rsid w:val="2039161F"/>
    <w:rsid w:val="203F5463"/>
    <w:rsid w:val="20406FF3"/>
    <w:rsid w:val="2041236B"/>
    <w:rsid w:val="204C1F5E"/>
    <w:rsid w:val="204D212C"/>
    <w:rsid w:val="20544958"/>
    <w:rsid w:val="20574407"/>
    <w:rsid w:val="20653333"/>
    <w:rsid w:val="20671BE0"/>
    <w:rsid w:val="20690D0F"/>
    <w:rsid w:val="20736BFC"/>
    <w:rsid w:val="207A37CC"/>
    <w:rsid w:val="207B5B20"/>
    <w:rsid w:val="207E4588"/>
    <w:rsid w:val="208F28A7"/>
    <w:rsid w:val="209623C2"/>
    <w:rsid w:val="20963CB8"/>
    <w:rsid w:val="209C69EC"/>
    <w:rsid w:val="20A24ABD"/>
    <w:rsid w:val="20A81A1B"/>
    <w:rsid w:val="20AC5470"/>
    <w:rsid w:val="20B07FB6"/>
    <w:rsid w:val="20B120D5"/>
    <w:rsid w:val="20B53430"/>
    <w:rsid w:val="20B646FB"/>
    <w:rsid w:val="20C77648"/>
    <w:rsid w:val="20D14525"/>
    <w:rsid w:val="20D362DD"/>
    <w:rsid w:val="20D874C7"/>
    <w:rsid w:val="20E00C0C"/>
    <w:rsid w:val="20E64474"/>
    <w:rsid w:val="20E953B4"/>
    <w:rsid w:val="21076325"/>
    <w:rsid w:val="211329C7"/>
    <w:rsid w:val="211A2370"/>
    <w:rsid w:val="2122783A"/>
    <w:rsid w:val="21250680"/>
    <w:rsid w:val="212D05FD"/>
    <w:rsid w:val="213B74B1"/>
    <w:rsid w:val="213F3B84"/>
    <w:rsid w:val="21432BFC"/>
    <w:rsid w:val="21464F13"/>
    <w:rsid w:val="214A012E"/>
    <w:rsid w:val="214D0310"/>
    <w:rsid w:val="214D7D63"/>
    <w:rsid w:val="21577120"/>
    <w:rsid w:val="215A2310"/>
    <w:rsid w:val="215B613E"/>
    <w:rsid w:val="215E1DCF"/>
    <w:rsid w:val="2164234E"/>
    <w:rsid w:val="216B3E44"/>
    <w:rsid w:val="216B7FA8"/>
    <w:rsid w:val="216F69CC"/>
    <w:rsid w:val="217C0760"/>
    <w:rsid w:val="2180377B"/>
    <w:rsid w:val="219376BE"/>
    <w:rsid w:val="21A63C04"/>
    <w:rsid w:val="21A97250"/>
    <w:rsid w:val="21AC4E80"/>
    <w:rsid w:val="21AF391F"/>
    <w:rsid w:val="21B82CCC"/>
    <w:rsid w:val="21BB3C0D"/>
    <w:rsid w:val="21BE195D"/>
    <w:rsid w:val="21D05D68"/>
    <w:rsid w:val="21D114B4"/>
    <w:rsid w:val="21D31AE1"/>
    <w:rsid w:val="21DA62E0"/>
    <w:rsid w:val="21DB6D57"/>
    <w:rsid w:val="21DE318A"/>
    <w:rsid w:val="21DE60F4"/>
    <w:rsid w:val="21E2694E"/>
    <w:rsid w:val="21E559DB"/>
    <w:rsid w:val="21EF5B80"/>
    <w:rsid w:val="21F20BF7"/>
    <w:rsid w:val="21F22E64"/>
    <w:rsid w:val="21F66F4C"/>
    <w:rsid w:val="21F7445F"/>
    <w:rsid w:val="21F839AC"/>
    <w:rsid w:val="22087CC9"/>
    <w:rsid w:val="220E5025"/>
    <w:rsid w:val="22107B2D"/>
    <w:rsid w:val="22154807"/>
    <w:rsid w:val="221C3EC6"/>
    <w:rsid w:val="221F4BB0"/>
    <w:rsid w:val="222E2082"/>
    <w:rsid w:val="22306BC5"/>
    <w:rsid w:val="22344F23"/>
    <w:rsid w:val="22352E28"/>
    <w:rsid w:val="223C67E5"/>
    <w:rsid w:val="22443A1F"/>
    <w:rsid w:val="224951C9"/>
    <w:rsid w:val="224E0A3B"/>
    <w:rsid w:val="22522B81"/>
    <w:rsid w:val="22572406"/>
    <w:rsid w:val="22576990"/>
    <w:rsid w:val="22645B7F"/>
    <w:rsid w:val="226971BB"/>
    <w:rsid w:val="22745AB0"/>
    <w:rsid w:val="227E32B6"/>
    <w:rsid w:val="22806594"/>
    <w:rsid w:val="228E2802"/>
    <w:rsid w:val="229121BE"/>
    <w:rsid w:val="22921CC7"/>
    <w:rsid w:val="22946A32"/>
    <w:rsid w:val="229E48DB"/>
    <w:rsid w:val="22AA2788"/>
    <w:rsid w:val="22AB7ADF"/>
    <w:rsid w:val="22BA655D"/>
    <w:rsid w:val="22C324D8"/>
    <w:rsid w:val="22C95697"/>
    <w:rsid w:val="22CA4861"/>
    <w:rsid w:val="22D838CC"/>
    <w:rsid w:val="22D84291"/>
    <w:rsid w:val="22D91EB8"/>
    <w:rsid w:val="22D93B65"/>
    <w:rsid w:val="22DF4AF7"/>
    <w:rsid w:val="22E12FA0"/>
    <w:rsid w:val="22E340EA"/>
    <w:rsid w:val="22E939B5"/>
    <w:rsid w:val="22F4099F"/>
    <w:rsid w:val="22F47480"/>
    <w:rsid w:val="22F563A0"/>
    <w:rsid w:val="22FA2CCD"/>
    <w:rsid w:val="230C69DF"/>
    <w:rsid w:val="231518E3"/>
    <w:rsid w:val="2317288E"/>
    <w:rsid w:val="2318004D"/>
    <w:rsid w:val="232A4CAC"/>
    <w:rsid w:val="232E45DA"/>
    <w:rsid w:val="23332D3E"/>
    <w:rsid w:val="233C0A05"/>
    <w:rsid w:val="233C0EB7"/>
    <w:rsid w:val="23405992"/>
    <w:rsid w:val="234127F7"/>
    <w:rsid w:val="23425639"/>
    <w:rsid w:val="234C5F1E"/>
    <w:rsid w:val="23547D6D"/>
    <w:rsid w:val="23584FE2"/>
    <w:rsid w:val="235B3CB0"/>
    <w:rsid w:val="2363679C"/>
    <w:rsid w:val="23671171"/>
    <w:rsid w:val="23692F46"/>
    <w:rsid w:val="236C49D9"/>
    <w:rsid w:val="237176C4"/>
    <w:rsid w:val="237645A8"/>
    <w:rsid w:val="23771627"/>
    <w:rsid w:val="237F7F41"/>
    <w:rsid w:val="23810A83"/>
    <w:rsid w:val="23822340"/>
    <w:rsid w:val="2383701D"/>
    <w:rsid w:val="238A3C26"/>
    <w:rsid w:val="239C2C7B"/>
    <w:rsid w:val="239D0894"/>
    <w:rsid w:val="23A6613D"/>
    <w:rsid w:val="23A9654A"/>
    <w:rsid w:val="23BF43F4"/>
    <w:rsid w:val="23CE2F9E"/>
    <w:rsid w:val="23DD3661"/>
    <w:rsid w:val="23DE1C48"/>
    <w:rsid w:val="23E23456"/>
    <w:rsid w:val="23E26A49"/>
    <w:rsid w:val="23EA570D"/>
    <w:rsid w:val="23FA1FE5"/>
    <w:rsid w:val="23FC299A"/>
    <w:rsid w:val="23FD205A"/>
    <w:rsid w:val="240210CD"/>
    <w:rsid w:val="240C1A97"/>
    <w:rsid w:val="24135214"/>
    <w:rsid w:val="24161384"/>
    <w:rsid w:val="242D14B2"/>
    <w:rsid w:val="242D5F16"/>
    <w:rsid w:val="242E53FA"/>
    <w:rsid w:val="242F5164"/>
    <w:rsid w:val="24310E0A"/>
    <w:rsid w:val="243D71A7"/>
    <w:rsid w:val="24413437"/>
    <w:rsid w:val="2444337C"/>
    <w:rsid w:val="2445239D"/>
    <w:rsid w:val="24465599"/>
    <w:rsid w:val="2450661F"/>
    <w:rsid w:val="24573DCA"/>
    <w:rsid w:val="245B2ECE"/>
    <w:rsid w:val="245F02C4"/>
    <w:rsid w:val="247D50F0"/>
    <w:rsid w:val="247E2BCA"/>
    <w:rsid w:val="248705AC"/>
    <w:rsid w:val="248875F1"/>
    <w:rsid w:val="24987BD1"/>
    <w:rsid w:val="24A249E1"/>
    <w:rsid w:val="24AE4FC4"/>
    <w:rsid w:val="24B42DAA"/>
    <w:rsid w:val="24B57FAA"/>
    <w:rsid w:val="24B61EC1"/>
    <w:rsid w:val="24BA7BA1"/>
    <w:rsid w:val="24BE6267"/>
    <w:rsid w:val="24BF09F7"/>
    <w:rsid w:val="24C3510A"/>
    <w:rsid w:val="24C61586"/>
    <w:rsid w:val="24C73474"/>
    <w:rsid w:val="24CA5E5B"/>
    <w:rsid w:val="24CA7C09"/>
    <w:rsid w:val="24CC1BD3"/>
    <w:rsid w:val="24CC7F9D"/>
    <w:rsid w:val="24CE6D99"/>
    <w:rsid w:val="24E5675E"/>
    <w:rsid w:val="24E56B5F"/>
    <w:rsid w:val="24E811BB"/>
    <w:rsid w:val="24ED38F7"/>
    <w:rsid w:val="24F07B58"/>
    <w:rsid w:val="24F20585"/>
    <w:rsid w:val="25042E4A"/>
    <w:rsid w:val="250E1DE9"/>
    <w:rsid w:val="250F7D12"/>
    <w:rsid w:val="25100BC6"/>
    <w:rsid w:val="25155110"/>
    <w:rsid w:val="251C5B14"/>
    <w:rsid w:val="251F3374"/>
    <w:rsid w:val="252C0BFF"/>
    <w:rsid w:val="252D53FE"/>
    <w:rsid w:val="253208DD"/>
    <w:rsid w:val="25337E1C"/>
    <w:rsid w:val="25340622"/>
    <w:rsid w:val="253425C9"/>
    <w:rsid w:val="25350F0C"/>
    <w:rsid w:val="253F23A5"/>
    <w:rsid w:val="25491484"/>
    <w:rsid w:val="254C2D14"/>
    <w:rsid w:val="254C2E89"/>
    <w:rsid w:val="25502C6F"/>
    <w:rsid w:val="255045B2"/>
    <w:rsid w:val="25661C11"/>
    <w:rsid w:val="25695A7A"/>
    <w:rsid w:val="256E13B6"/>
    <w:rsid w:val="25797575"/>
    <w:rsid w:val="257F6C45"/>
    <w:rsid w:val="25826736"/>
    <w:rsid w:val="258A1490"/>
    <w:rsid w:val="25902837"/>
    <w:rsid w:val="259A1344"/>
    <w:rsid w:val="259E21C4"/>
    <w:rsid w:val="25A0096A"/>
    <w:rsid w:val="25A115C9"/>
    <w:rsid w:val="25A16BBC"/>
    <w:rsid w:val="25AA43E2"/>
    <w:rsid w:val="25AC2049"/>
    <w:rsid w:val="25AC5561"/>
    <w:rsid w:val="25AD372F"/>
    <w:rsid w:val="25B315AE"/>
    <w:rsid w:val="25BD32CA"/>
    <w:rsid w:val="25BF34E6"/>
    <w:rsid w:val="25C70DF3"/>
    <w:rsid w:val="25CB1DA1"/>
    <w:rsid w:val="25CF4174"/>
    <w:rsid w:val="25D14317"/>
    <w:rsid w:val="25D9458E"/>
    <w:rsid w:val="25E60A73"/>
    <w:rsid w:val="25EB6089"/>
    <w:rsid w:val="25EB7172"/>
    <w:rsid w:val="25EC2D81"/>
    <w:rsid w:val="25F52A64"/>
    <w:rsid w:val="260221DE"/>
    <w:rsid w:val="26041D95"/>
    <w:rsid w:val="2604539D"/>
    <w:rsid w:val="2604714B"/>
    <w:rsid w:val="26054CB0"/>
    <w:rsid w:val="26071180"/>
    <w:rsid w:val="261824BC"/>
    <w:rsid w:val="261F3F85"/>
    <w:rsid w:val="26303C7B"/>
    <w:rsid w:val="2640518B"/>
    <w:rsid w:val="264A1001"/>
    <w:rsid w:val="264D6D44"/>
    <w:rsid w:val="266100F9"/>
    <w:rsid w:val="266948E3"/>
    <w:rsid w:val="267D0660"/>
    <w:rsid w:val="268547A2"/>
    <w:rsid w:val="268C3B3A"/>
    <w:rsid w:val="26915D4D"/>
    <w:rsid w:val="26982F96"/>
    <w:rsid w:val="26995AE5"/>
    <w:rsid w:val="26A336EE"/>
    <w:rsid w:val="26A61FB0"/>
    <w:rsid w:val="26A67DEA"/>
    <w:rsid w:val="26A821CC"/>
    <w:rsid w:val="26AE2FAD"/>
    <w:rsid w:val="26B60095"/>
    <w:rsid w:val="26B65329"/>
    <w:rsid w:val="26BC4F48"/>
    <w:rsid w:val="26C2328E"/>
    <w:rsid w:val="26D33051"/>
    <w:rsid w:val="26DC66CB"/>
    <w:rsid w:val="26E03B16"/>
    <w:rsid w:val="26E21B28"/>
    <w:rsid w:val="26EB6711"/>
    <w:rsid w:val="26EF24F4"/>
    <w:rsid w:val="26F0412C"/>
    <w:rsid w:val="26F148E2"/>
    <w:rsid w:val="26F90A3A"/>
    <w:rsid w:val="270513CC"/>
    <w:rsid w:val="27075F11"/>
    <w:rsid w:val="270766AE"/>
    <w:rsid w:val="2708223A"/>
    <w:rsid w:val="270A78D4"/>
    <w:rsid w:val="27133AE9"/>
    <w:rsid w:val="2718420C"/>
    <w:rsid w:val="271875FA"/>
    <w:rsid w:val="271B5D31"/>
    <w:rsid w:val="272037D1"/>
    <w:rsid w:val="27206159"/>
    <w:rsid w:val="27212FB4"/>
    <w:rsid w:val="272A4CB7"/>
    <w:rsid w:val="27302F54"/>
    <w:rsid w:val="2737227B"/>
    <w:rsid w:val="27416CB3"/>
    <w:rsid w:val="275B2D9A"/>
    <w:rsid w:val="277057A2"/>
    <w:rsid w:val="27706874"/>
    <w:rsid w:val="2774172B"/>
    <w:rsid w:val="277E6BFB"/>
    <w:rsid w:val="277E6D21"/>
    <w:rsid w:val="27857F07"/>
    <w:rsid w:val="27873B8F"/>
    <w:rsid w:val="278B5A75"/>
    <w:rsid w:val="27924E42"/>
    <w:rsid w:val="27AB1F74"/>
    <w:rsid w:val="27AC1848"/>
    <w:rsid w:val="27AC5CEC"/>
    <w:rsid w:val="27AF043B"/>
    <w:rsid w:val="27B05E5F"/>
    <w:rsid w:val="27B448C3"/>
    <w:rsid w:val="27CD6934"/>
    <w:rsid w:val="27CE7A10"/>
    <w:rsid w:val="27D054C1"/>
    <w:rsid w:val="27D23622"/>
    <w:rsid w:val="27DE351C"/>
    <w:rsid w:val="27E16097"/>
    <w:rsid w:val="27E83FE1"/>
    <w:rsid w:val="27F67252"/>
    <w:rsid w:val="27FC1F4F"/>
    <w:rsid w:val="28033B5E"/>
    <w:rsid w:val="28041DC4"/>
    <w:rsid w:val="280872B6"/>
    <w:rsid w:val="280D1620"/>
    <w:rsid w:val="28102A1E"/>
    <w:rsid w:val="28115915"/>
    <w:rsid w:val="28121401"/>
    <w:rsid w:val="28132DAA"/>
    <w:rsid w:val="281958A8"/>
    <w:rsid w:val="281A10A2"/>
    <w:rsid w:val="282225E7"/>
    <w:rsid w:val="282837B6"/>
    <w:rsid w:val="282C0524"/>
    <w:rsid w:val="283519AA"/>
    <w:rsid w:val="28363D32"/>
    <w:rsid w:val="283C5561"/>
    <w:rsid w:val="284462B1"/>
    <w:rsid w:val="284657F9"/>
    <w:rsid w:val="2849353B"/>
    <w:rsid w:val="28540215"/>
    <w:rsid w:val="28583FEB"/>
    <w:rsid w:val="285E0D94"/>
    <w:rsid w:val="285F318E"/>
    <w:rsid w:val="28613B5D"/>
    <w:rsid w:val="286154BF"/>
    <w:rsid w:val="286A7EAB"/>
    <w:rsid w:val="286C203C"/>
    <w:rsid w:val="28705A12"/>
    <w:rsid w:val="287970AC"/>
    <w:rsid w:val="287C30ED"/>
    <w:rsid w:val="287F20C3"/>
    <w:rsid w:val="28877790"/>
    <w:rsid w:val="288822B5"/>
    <w:rsid w:val="28894FF8"/>
    <w:rsid w:val="288975BC"/>
    <w:rsid w:val="28921C90"/>
    <w:rsid w:val="2893029D"/>
    <w:rsid w:val="28974564"/>
    <w:rsid w:val="28A075FF"/>
    <w:rsid w:val="28A26D4E"/>
    <w:rsid w:val="28A37400"/>
    <w:rsid w:val="28A765AD"/>
    <w:rsid w:val="28AB2F5D"/>
    <w:rsid w:val="28B179AF"/>
    <w:rsid w:val="28B9246E"/>
    <w:rsid w:val="28B93A1A"/>
    <w:rsid w:val="28BE2244"/>
    <w:rsid w:val="28BF4190"/>
    <w:rsid w:val="28C16C02"/>
    <w:rsid w:val="28C776B5"/>
    <w:rsid w:val="28CA01D8"/>
    <w:rsid w:val="28D75373"/>
    <w:rsid w:val="28EA76E6"/>
    <w:rsid w:val="28EB29C4"/>
    <w:rsid w:val="28ED051A"/>
    <w:rsid w:val="28ED2118"/>
    <w:rsid w:val="28EF0219"/>
    <w:rsid w:val="28EF0CFC"/>
    <w:rsid w:val="28EF1058"/>
    <w:rsid w:val="28FD6ECA"/>
    <w:rsid w:val="28FE4325"/>
    <w:rsid w:val="28FF344D"/>
    <w:rsid w:val="29116FAB"/>
    <w:rsid w:val="29136909"/>
    <w:rsid w:val="29163841"/>
    <w:rsid w:val="2917607C"/>
    <w:rsid w:val="29201786"/>
    <w:rsid w:val="29206EB8"/>
    <w:rsid w:val="292804F6"/>
    <w:rsid w:val="29334B90"/>
    <w:rsid w:val="29347D47"/>
    <w:rsid w:val="29455AB0"/>
    <w:rsid w:val="294570EB"/>
    <w:rsid w:val="29477A7A"/>
    <w:rsid w:val="294A756A"/>
    <w:rsid w:val="294B3B65"/>
    <w:rsid w:val="294C05E9"/>
    <w:rsid w:val="294C6AF4"/>
    <w:rsid w:val="29595666"/>
    <w:rsid w:val="29672A4E"/>
    <w:rsid w:val="2969197F"/>
    <w:rsid w:val="296B05F1"/>
    <w:rsid w:val="296B53A7"/>
    <w:rsid w:val="296D1BF8"/>
    <w:rsid w:val="2973261D"/>
    <w:rsid w:val="29742A64"/>
    <w:rsid w:val="297C23E4"/>
    <w:rsid w:val="29874881"/>
    <w:rsid w:val="298962E5"/>
    <w:rsid w:val="298C52F3"/>
    <w:rsid w:val="2994546D"/>
    <w:rsid w:val="299741EC"/>
    <w:rsid w:val="299C1706"/>
    <w:rsid w:val="299D7535"/>
    <w:rsid w:val="29A00ABF"/>
    <w:rsid w:val="29A070F5"/>
    <w:rsid w:val="29A529F3"/>
    <w:rsid w:val="29AF6E07"/>
    <w:rsid w:val="29C0782D"/>
    <w:rsid w:val="29CD4FF0"/>
    <w:rsid w:val="29CE5AA6"/>
    <w:rsid w:val="29D61AE8"/>
    <w:rsid w:val="29E208F7"/>
    <w:rsid w:val="29E325E0"/>
    <w:rsid w:val="29E40602"/>
    <w:rsid w:val="29E87CCF"/>
    <w:rsid w:val="29F02BA6"/>
    <w:rsid w:val="29F04C94"/>
    <w:rsid w:val="29F179E6"/>
    <w:rsid w:val="29F574D6"/>
    <w:rsid w:val="29FB1396"/>
    <w:rsid w:val="2A0239A1"/>
    <w:rsid w:val="2A027E45"/>
    <w:rsid w:val="2A0C2A72"/>
    <w:rsid w:val="2A0D0CC4"/>
    <w:rsid w:val="2A156174"/>
    <w:rsid w:val="2A22332C"/>
    <w:rsid w:val="2A261F7C"/>
    <w:rsid w:val="2A267271"/>
    <w:rsid w:val="2A277261"/>
    <w:rsid w:val="2A2D1B3C"/>
    <w:rsid w:val="2A390E26"/>
    <w:rsid w:val="2A3F43F4"/>
    <w:rsid w:val="2A420242"/>
    <w:rsid w:val="2A432607"/>
    <w:rsid w:val="2A452503"/>
    <w:rsid w:val="2A4B12E4"/>
    <w:rsid w:val="2A4C77FA"/>
    <w:rsid w:val="2A5306A1"/>
    <w:rsid w:val="2A6308E4"/>
    <w:rsid w:val="2A6632C3"/>
    <w:rsid w:val="2A706CFE"/>
    <w:rsid w:val="2A7A5C2D"/>
    <w:rsid w:val="2A877F95"/>
    <w:rsid w:val="2A88460A"/>
    <w:rsid w:val="2A8B1BE9"/>
    <w:rsid w:val="2AA44A58"/>
    <w:rsid w:val="2AAF4701"/>
    <w:rsid w:val="2AC56042"/>
    <w:rsid w:val="2AC654E1"/>
    <w:rsid w:val="2AC83112"/>
    <w:rsid w:val="2ACD2B46"/>
    <w:rsid w:val="2AD256CE"/>
    <w:rsid w:val="2AD37872"/>
    <w:rsid w:val="2ADB3DDF"/>
    <w:rsid w:val="2ADE0B9A"/>
    <w:rsid w:val="2ADE38AE"/>
    <w:rsid w:val="2AE131E0"/>
    <w:rsid w:val="2AED158C"/>
    <w:rsid w:val="2AF92FF6"/>
    <w:rsid w:val="2AF95C63"/>
    <w:rsid w:val="2AFA28CA"/>
    <w:rsid w:val="2B061E6A"/>
    <w:rsid w:val="2B0D44FC"/>
    <w:rsid w:val="2B2067D5"/>
    <w:rsid w:val="2B2161DA"/>
    <w:rsid w:val="2B231220"/>
    <w:rsid w:val="2B263E0A"/>
    <w:rsid w:val="2B2E54E7"/>
    <w:rsid w:val="2B35362F"/>
    <w:rsid w:val="2B381D70"/>
    <w:rsid w:val="2B514BE0"/>
    <w:rsid w:val="2B5A4A55"/>
    <w:rsid w:val="2B603075"/>
    <w:rsid w:val="2B6B7E4B"/>
    <w:rsid w:val="2B6C0AFC"/>
    <w:rsid w:val="2B6F0BB4"/>
    <w:rsid w:val="2B6F684C"/>
    <w:rsid w:val="2B710DDE"/>
    <w:rsid w:val="2B7D203A"/>
    <w:rsid w:val="2B835493"/>
    <w:rsid w:val="2B90371E"/>
    <w:rsid w:val="2B920D55"/>
    <w:rsid w:val="2B981195"/>
    <w:rsid w:val="2B9A5D2F"/>
    <w:rsid w:val="2BA60333"/>
    <w:rsid w:val="2BA7062C"/>
    <w:rsid w:val="2BA91B7F"/>
    <w:rsid w:val="2BA936A8"/>
    <w:rsid w:val="2BAD6F9E"/>
    <w:rsid w:val="2BAE2033"/>
    <w:rsid w:val="2BB66D5E"/>
    <w:rsid w:val="2BB9108D"/>
    <w:rsid w:val="2BBD46E6"/>
    <w:rsid w:val="2BC1575F"/>
    <w:rsid w:val="2BC263E4"/>
    <w:rsid w:val="2BC63986"/>
    <w:rsid w:val="2BC9748D"/>
    <w:rsid w:val="2BCF3442"/>
    <w:rsid w:val="2BD82C0B"/>
    <w:rsid w:val="2BDB26FC"/>
    <w:rsid w:val="2BDE0D1F"/>
    <w:rsid w:val="2BE10DB4"/>
    <w:rsid w:val="2BE75544"/>
    <w:rsid w:val="2BEF61A7"/>
    <w:rsid w:val="2BF27DBF"/>
    <w:rsid w:val="2BF76EE4"/>
    <w:rsid w:val="2C0112AE"/>
    <w:rsid w:val="2C071743"/>
    <w:rsid w:val="2C0E487F"/>
    <w:rsid w:val="2C0F2D40"/>
    <w:rsid w:val="2C165AE7"/>
    <w:rsid w:val="2C20143E"/>
    <w:rsid w:val="2C2422F5"/>
    <w:rsid w:val="2C2B3683"/>
    <w:rsid w:val="2C2E34C5"/>
    <w:rsid w:val="2C315A5A"/>
    <w:rsid w:val="2C317A15"/>
    <w:rsid w:val="2C3818FC"/>
    <w:rsid w:val="2C481277"/>
    <w:rsid w:val="2C4A2DA9"/>
    <w:rsid w:val="2C4B1C25"/>
    <w:rsid w:val="2C5129BE"/>
    <w:rsid w:val="2C5C6F17"/>
    <w:rsid w:val="2C5F42DC"/>
    <w:rsid w:val="2C6D55AF"/>
    <w:rsid w:val="2C6D7DD9"/>
    <w:rsid w:val="2C6F6A93"/>
    <w:rsid w:val="2C736DD8"/>
    <w:rsid w:val="2C855C79"/>
    <w:rsid w:val="2C923702"/>
    <w:rsid w:val="2C994A91"/>
    <w:rsid w:val="2C9C49C5"/>
    <w:rsid w:val="2CA409FB"/>
    <w:rsid w:val="2CAA2A2D"/>
    <w:rsid w:val="2CAB47C4"/>
    <w:rsid w:val="2CB125E7"/>
    <w:rsid w:val="2CB171F5"/>
    <w:rsid w:val="2CB573F1"/>
    <w:rsid w:val="2CC3329C"/>
    <w:rsid w:val="2CC670B4"/>
    <w:rsid w:val="2CC77D47"/>
    <w:rsid w:val="2CCD0ECA"/>
    <w:rsid w:val="2CD86BBB"/>
    <w:rsid w:val="2CD90035"/>
    <w:rsid w:val="2CDA6E57"/>
    <w:rsid w:val="2CE24603"/>
    <w:rsid w:val="2CE440B9"/>
    <w:rsid w:val="2CE564E0"/>
    <w:rsid w:val="2CEA3130"/>
    <w:rsid w:val="2CEF1B58"/>
    <w:rsid w:val="2CEF1BA4"/>
    <w:rsid w:val="2CF75313"/>
    <w:rsid w:val="2CFC3C55"/>
    <w:rsid w:val="2D031489"/>
    <w:rsid w:val="2D0B7011"/>
    <w:rsid w:val="2D120D6A"/>
    <w:rsid w:val="2D1F684A"/>
    <w:rsid w:val="2D2C34A4"/>
    <w:rsid w:val="2D341A64"/>
    <w:rsid w:val="2D426DA6"/>
    <w:rsid w:val="2D4405CF"/>
    <w:rsid w:val="2D4F3271"/>
    <w:rsid w:val="2D525CFE"/>
    <w:rsid w:val="2D526B1C"/>
    <w:rsid w:val="2D5361D5"/>
    <w:rsid w:val="2D597D7C"/>
    <w:rsid w:val="2D5D1CE2"/>
    <w:rsid w:val="2D5F1E6B"/>
    <w:rsid w:val="2D611E73"/>
    <w:rsid w:val="2D663463"/>
    <w:rsid w:val="2D6E2C02"/>
    <w:rsid w:val="2D7539E9"/>
    <w:rsid w:val="2D7D16EA"/>
    <w:rsid w:val="2D807A27"/>
    <w:rsid w:val="2D821BA5"/>
    <w:rsid w:val="2D855015"/>
    <w:rsid w:val="2D856A36"/>
    <w:rsid w:val="2D8E55FC"/>
    <w:rsid w:val="2D8F7403"/>
    <w:rsid w:val="2D974507"/>
    <w:rsid w:val="2D9818DA"/>
    <w:rsid w:val="2D993F27"/>
    <w:rsid w:val="2D9E56F5"/>
    <w:rsid w:val="2DA23F11"/>
    <w:rsid w:val="2DA336ED"/>
    <w:rsid w:val="2DAA6A29"/>
    <w:rsid w:val="2DAD574C"/>
    <w:rsid w:val="2DB17BB8"/>
    <w:rsid w:val="2DB375EB"/>
    <w:rsid w:val="2DB50D6C"/>
    <w:rsid w:val="2DC7118A"/>
    <w:rsid w:val="2DC773DC"/>
    <w:rsid w:val="2DCA385F"/>
    <w:rsid w:val="2DD07014"/>
    <w:rsid w:val="2DDB4C35"/>
    <w:rsid w:val="2DDD07C3"/>
    <w:rsid w:val="2DDD57A8"/>
    <w:rsid w:val="2DDD747D"/>
    <w:rsid w:val="2DEF2105"/>
    <w:rsid w:val="2DF4699B"/>
    <w:rsid w:val="2DFB53CE"/>
    <w:rsid w:val="2DFD39BD"/>
    <w:rsid w:val="2E00432D"/>
    <w:rsid w:val="2E03208E"/>
    <w:rsid w:val="2E060A6A"/>
    <w:rsid w:val="2E074656"/>
    <w:rsid w:val="2E1F738D"/>
    <w:rsid w:val="2E2959A0"/>
    <w:rsid w:val="2E3A1FB8"/>
    <w:rsid w:val="2E3A3D2E"/>
    <w:rsid w:val="2E441B11"/>
    <w:rsid w:val="2E487BD3"/>
    <w:rsid w:val="2E507CF4"/>
    <w:rsid w:val="2E530FD6"/>
    <w:rsid w:val="2E536EC1"/>
    <w:rsid w:val="2E5645A8"/>
    <w:rsid w:val="2E5B0008"/>
    <w:rsid w:val="2E5B596E"/>
    <w:rsid w:val="2E666BF4"/>
    <w:rsid w:val="2E667F96"/>
    <w:rsid w:val="2E6B7E1B"/>
    <w:rsid w:val="2E6F66A1"/>
    <w:rsid w:val="2E7957D0"/>
    <w:rsid w:val="2E802E66"/>
    <w:rsid w:val="2E813A2E"/>
    <w:rsid w:val="2E821554"/>
    <w:rsid w:val="2E8226AB"/>
    <w:rsid w:val="2E84707B"/>
    <w:rsid w:val="2E866B53"/>
    <w:rsid w:val="2E8E7EF9"/>
    <w:rsid w:val="2E982B26"/>
    <w:rsid w:val="2E9859E8"/>
    <w:rsid w:val="2E995863"/>
    <w:rsid w:val="2E9A064C"/>
    <w:rsid w:val="2EA21BEF"/>
    <w:rsid w:val="2EA716C9"/>
    <w:rsid w:val="2EA72C7E"/>
    <w:rsid w:val="2EBA1EC9"/>
    <w:rsid w:val="2EC1626D"/>
    <w:rsid w:val="2EC55413"/>
    <w:rsid w:val="2EC61441"/>
    <w:rsid w:val="2EC97183"/>
    <w:rsid w:val="2ECA7382"/>
    <w:rsid w:val="2ED40B83"/>
    <w:rsid w:val="2EDC6761"/>
    <w:rsid w:val="2EE23DA1"/>
    <w:rsid w:val="2EE36BC2"/>
    <w:rsid w:val="2EE83FFA"/>
    <w:rsid w:val="2EED2E72"/>
    <w:rsid w:val="2EF814D2"/>
    <w:rsid w:val="2EF9001C"/>
    <w:rsid w:val="2EFE6E2D"/>
    <w:rsid w:val="2F08383C"/>
    <w:rsid w:val="2F0B779C"/>
    <w:rsid w:val="2F0D6C22"/>
    <w:rsid w:val="2F10090E"/>
    <w:rsid w:val="2F120035"/>
    <w:rsid w:val="2F1C5505"/>
    <w:rsid w:val="2F1D07E5"/>
    <w:rsid w:val="2F1F6DA3"/>
    <w:rsid w:val="2F204FF5"/>
    <w:rsid w:val="2F284826"/>
    <w:rsid w:val="2F295F28"/>
    <w:rsid w:val="2F2D7712"/>
    <w:rsid w:val="2F2E1EA9"/>
    <w:rsid w:val="2F2E30CE"/>
    <w:rsid w:val="2F304C26"/>
    <w:rsid w:val="2F311265"/>
    <w:rsid w:val="2F3A16A1"/>
    <w:rsid w:val="2F3A210A"/>
    <w:rsid w:val="2F4701CA"/>
    <w:rsid w:val="2F4834F5"/>
    <w:rsid w:val="2F4A4168"/>
    <w:rsid w:val="2F4F5641"/>
    <w:rsid w:val="2F561D90"/>
    <w:rsid w:val="2F572B10"/>
    <w:rsid w:val="2F59133A"/>
    <w:rsid w:val="2F6D667C"/>
    <w:rsid w:val="2F7535EF"/>
    <w:rsid w:val="2F791A58"/>
    <w:rsid w:val="2F7E4D4C"/>
    <w:rsid w:val="2F8A08CC"/>
    <w:rsid w:val="2F9C6646"/>
    <w:rsid w:val="2F9D2D4E"/>
    <w:rsid w:val="2F9E23BE"/>
    <w:rsid w:val="2FA01C92"/>
    <w:rsid w:val="2FA670EE"/>
    <w:rsid w:val="2FA70E1D"/>
    <w:rsid w:val="2FA8323D"/>
    <w:rsid w:val="2FBB7AB4"/>
    <w:rsid w:val="2FCF4325"/>
    <w:rsid w:val="2FD065E6"/>
    <w:rsid w:val="2FD96870"/>
    <w:rsid w:val="2FE552E4"/>
    <w:rsid w:val="2FE75B13"/>
    <w:rsid w:val="2FF34812"/>
    <w:rsid w:val="2FF4077A"/>
    <w:rsid w:val="2FFC52E7"/>
    <w:rsid w:val="300D55A9"/>
    <w:rsid w:val="301627BE"/>
    <w:rsid w:val="301F34FF"/>
    <w:rsid w:val="3034552F"/>
    <w:rsid w:val="303643A5"/>
    <w:rsid w:val="3038799B"/>
    <w:rsid w:val="303F2A5D"/>
    <w:rsid w:val="30420F74"/>
    <w:rsid w:val="30420F9B"/>
    <w:rsid w:val="30466CDD"/>
    <w:rsid w:val="304B1C2B"/>
    <w:rsid w:val="304C5CA9"/>
    <w:rsid w:val="30580BC9"/>
    <w:rsid w:val="30617B21"/>
    <w:rsid w:val="30646C08"/>
    <w:rsid w:val="306D4751"/>
    <w:rsid w:val="30793F2C"/>
    <w:rsid w:val="307A24E3"/>
    <w:rsid w:val="30913949"/>
    <w:rsid w:val="30A34855"/>
    <w:rsid w:val="30A43A04"/>
    <w:rsid w:val="30A47560"/>
    <w:rsid w:val="30B654E5"/>
    <w:rsid w:val="30BA4FD6"/>
    <w:rsid w:val="30D1240F"/>
    <w:rsid w:val="30D14E34"/>
    <w:rsid w:val="30E26C43"/>
    <w:rsid w:val="30E46BE1"/>
    <w:rsid w:val="30F12135"/>
    <w:rsid w:val="30F71D86"/>
    <w:rsid w:val="30F8356E"/>
    <w:rsid w:val="30F85D1A"/>
    <w:rsid w:val="30FD4EC2"/>
    <w:rsid w:val="31007738"/>
    <w:rsid w:val="31091AB9"/>
    <w:rsid w:val="310D3357"/>
    <w:rsid w:val="31164200"/>
    <w:rsid w:val="311D16EF"/>
    <w:rsid w:val="311E2ED7"/>
    <w:rsid w:val="31264419"/>
    <w:rsid w:val="312B5ED3"/>
    <w:rsid w:val="31382BFF"/>
    <w:rsid w:val="313849FA"/>
    <w:rsid w:val="31434207"/>
    <w:rsid w:val="314C60C6"/>
    <w:rsid w:val="314F1F89"/>
    <w:rsid w:val="315619EE"/>
    <w:rsid w:val="315C449C"/>
    <w:rsid w:val="31727460"/>
    <w:rsid w:val="317F1B79"/>
    <w:rsid w:val="318810A2"/>
    <w:rsid w:val="318E1C0A"/>
    <w:rsid w:val="319C292D"/>
    <w:rsid w:val="319E2D22"/>
    <w:rsid w:val="31A17F44"/>
    <w:rsid w:val="31A309E6"/>
    <w:rsid w:val="31AB7B22"/>
    <w:rsid w:val="31AD0AB9"/>
    <w:rsid w:val="31AF1FC5"/>
    <w:rsid w:val="31AF5C9B"/>
    <w:rsid w:val="31B11269"/>
    <w:rsid w:val="31B82709"/>
    <w:rsid w:val="31B9528D"/>
    <w:rsid w:val="31BE0AF5"/>
    <w:rsid w:val="31BF1AA9"/>
    <w:rsid w:val="31BF4127"/>
    <w:rsid w:val="31C0524D"/>
    <w:rsid w:val="31CA113F"/>
    <w:rsid w:val="31CE5E7D"/>
    <w:rsid w:val="31D02383"/>
    <w:rsid w:val="31D05482"/>
    <w:rsid w:val="31D274E9"/>
    <w:rsid w:val="31D9148B"/>
    <w:rsid w:val="31DC0F7C"/>
    <w:rsid w:val="31DD71CE"/>
    <w:rsid w:val="31E267E6"/>
    <w:rsid w:val="31E576B3"/>
    <w:rsid w:val="31E71DFA"/>
    <w:rsid w:val="31F86618"/>
    <w:rsid w:val="31FB2480"/>
    <w:rsid w:val="31FC4E6F"/>
    <w:rsid w:val="31FE118A"/>
    <w:rsid w:val="321270E3"/>
    <w:rsid w:val="32143BFF"/>
    <w:rsid w:val="32186458"/>
    <w:rsid w:val="32195D2C"/>
    <w:rsid w:val="321D41B9"/>
    <w:rsid w:val="32240255"/>
    <w:rsid w:val="322B021E"/>
    <w:rsid w:val="32300AFF"/>
    <w:rsid w:val="32380B5E"/>
    <w:rsid w:val="323A17CC"/>
    <w:rsid w:val="323A455E"/>
    <w:rsid w:val="324003CA"/>
    <w:rsid w:val="32400B34"/>
    <w:rsid w:val="3241218C"/>
    <w:rsid w:val="324335E6"/>
    <w:rsid w:val="32480A5B"/>
    <w:rsid w:val="325120A9"/>
    <w:rsid w:val="32557196"/>
    <w:rsid w:val="325676D9"/>
    <w:rsid w:val="32586854"/>
    <w:rsid w:val="325A6A70"/>
    <w:rsid w:val="3260395B"/>
    <w:rsid w:val="326B676C"/>
    <w:rsid w:val="326E70F7"/>
    <w:rsid w:val="3275301D"/>
    <w:rsid w:val="32815639"/>
    <w:rsid w:val="328624F4"/>
    <w:rsid w:val="328C0BF4"/>
    <w:rsid w:val="32963A97"/>
    <w:rsid w:val="3298284C"/>
    <w:rsid w:val="329E6876"/>
    <w:rsid w:val="32A468A4"/>
    <w:rsid w:val="32A62C77"/>
    <w:rsid w:val="32A80AC5"/>
    <w:rsid w:val="32A83509"/>
    <w:rsid w:val="32B13CE8"/>
    <w:rsid w:val="32B318DE"/>
    <w:rsid w:val="32BE57AC"/>
    <w:rsid w:val="32C766C4"/>
    <w:rsid w:val="32CA3DE3"/>
    <w:rsid w:val="32D37B57"/>
    <w:rsid w:val="32E225C2"/>
    <w:rsid w:val="32E31B18"/>
    <w:rsid w:val="32E579F4"/>
    <w:rsid w:val="32ED1692"/>
    <w:rsid w:val="32FF15C5"/>
    <w:rsid w:val="330469DC"/>
    <w:rsid w:val="330A1ACB"/>
    <w:rsid w:val="330D797A"/>
    <w:rsid w:val="330E7C2A"/>
    <w:rsid w:val="33115F82"/>
    <w:rsid w:val="33151F00"/>
    <w:rsid w:val="33153C5C"/>
    <w:rsid w:val="33254C7E"/>
    <w:rsid w:val="33273795"/>
    <w:rsid w:val="332C14A7"/>
    <w:rsid w:val="333015F2"/>
    <w:rsid w:val="33301D24"/>
    <w:rsid w:val="33327449"/>
    <w:rsid w:val="333B014E"/>
    <w:rsid w:val="33453D2D"/>
    <w:rsid w:val="334551AB"/>
    <w:rsid w:val="334B5335"/>
    <w:rsid w:val="334B6320"/>
    <w:rsid w:val="33503794"/>
    <w:rsid w:val="335F3C12"/>
    <w:rsid w:val="336075F9"/>
    <w:rsid w:val="33613881"/>
    <w:rsid w:val="3362265F"/>
    <w:rsid w:val="33625892"/>
    <w:rsid w:val="336747D4"/>
    <w:rsid w:val="337136CD"/>
    <w:rsid w:val="33724D1B"/>
    <w:rsid w:val="33795743"/>
    <w:rsid w:val="337D7ACA"/>
    <w:rsid w:val="337E46A5"/>
    <w:rsid w:val="338C7C50"/>
    <w:rsid w:val="33977850"/>
    <w:rsid w:val="33980D28"/>
    <w:rsid w:val="33A06705"/>
    <w:rsid w:val="33A11AB6"/>
    <w:rsid w:val="33A81036"/>
    <w:rsid w:val="33AD453B"/>
    <w:rsid w:val="33B43F5E"/>
    <w:rsid w:val="33B61EB0"/>
    <w:rsid w:val="33BA4B66"/>
    <w:rsid w:val="33BF559E"/>
    <w:rsid w:val="33C136B9"/>
    <w:rsid w:val="33C32826"/>
    <w:rsid w:val="33C5616B"/>
    <w:rsid w:val="33C60796"/>
    <w:rsid w:val="33CC10B8"/>
    <w:rsid w:val="33CE680A"/>
    <w:rsid w:val="33D934D4"/>
    <w:rsid w:val="33DD400A"/>
    <w:rsid w:val="33E12879"/>
    <w:rsid w:val="33F86541"/>
    <w:rsid w:val="33FE2F6A"/>
    <w:rsid w:val="33FE342B"/>
    <w:rsid w:val="340A4A64"/>
    <w:rsid w:val="340E07E5"/>
    <w:rsid w:val="340F0730"/>
    <w:rsid w:val="340F719C"/>
    <w:rsid w:val="34177538"/>
    <w:rsid w:val="341D5FA7"/>
    <w:rsid w:val="34235BF7"/>
    <w:rsid w:val="342402A4"/>
    <w:rsid w:val="3426434C"/>
    <w:rsid w:val="34274EEA"/>
    <w:rsid w:val="34297002"/>
    <w:rsid w:val="3433583A"/>
    <w:rsid w:val="34364EFC"/>
    <w:rsid w:val="34392AF0"/>
    <w:rsid w:val="343A507B"/>
    <w:rsid w:val="343C5323"/>
    <w:rsid w:val="344A0DB7"/>
    <w:rsid w:val="344D08F9"/>
    <w:rsid w:val="34527A2C"/>
    <w:rsid w:val="34545741"/>
    <w:rsid w:val="34566108"/>
    <w:rsid w:val="34573A36"/>
    <w:rsid w:val="345968B4"/>
    <w:rsid w:val="34675474"/>
    <w:rsid w:val="34693044"/>
    <w:rsid w:val="346B7EAD"/>
    <w:rsid w:val="348E0EE8"/>
    <w:rsid w:val="34980FE9"/>
    <w:rsid w:val="3498562E"/>
    <w:rsid w:val="34A244D0"/>
    <w:rsid w:val="34A83397"/>
    <w:rsid w:val="34A921E7"/>
    <w:rsid w:val="34B166F0"/>
    <w:rsid w:val="34B62E12"/>
    <w:rsid w:val="34BB55FA"/>
    <w:rsid w:val="34D4418C"/>
    <w:rsid w:val="34D8334B"/>
    <w:rsid w:val="34E64BE9"/>
    <w:rsid w:val="34E97C37"/>
    <w:rsid w:val="34F8431E"/>
    <w:rsid w:val="34FB1589"/>
    <w:rsid w:val="35066A3B"/>
    <w:rsid w:val="350939AF"/>
    <w:rsid w:val="35125E28"/>
    <w:rsid w:val="35131E4D"/>
    <w:rsid w:val="351A5B5B"/>
    <w:rsid w:val="351C000D"/>
    <w:rsid w:val="351E2BED"/>
    <w:rsid w:val="35242B99"/>
    <w:rsid w:val="35281E46"/>
    <w:rsid w:val="352A5349"/>
    <w:rsid w:val="352E7D40"/>
    <w:rsid w:val="352F377E"/>
    <w:rsid w:val="35325052"/>
    <w:rsid w:val="353B4715"/>
    <w:rsid w:val="354362C5"/>
    <w:rsid w:val="354F39CB"/>
    <w:rsid w:val="355754E9"/>
    <w:rsid w:val="3558300F"/>
    <w:rsid w:val="355B3B25"/>
    <w:rsid w:val="355D3163"/>
    <w:rsid w:val="3560660A"/>
    <w:rsid w:val="35686349"/>
    <w:rsid w:val="356D4E39"/>
    <w:rsid w:val="356F7B55"/>
    <w:rsid w:val="3571148E"/>
    <w:rsid w:val="357C4F4F"/>
    <w:rsid w:val="35820BB2"/>
    <w:rsid w:val="35893E1A"/>
    <w:rsid w:val="358B6EA9"/>
    <w:rsid w:val="358C5FA8"/>
    <w:rsid w:val="35970EC4"/>
    <w:rsid w:val="359B7384"/>
    <w:rsid w:val="35A10512"/>
    <w:rsid w:val="35A32B36"/>
    <w:rsid w:val="35B20971"/>
    <w:rsid w:val="35B95382"/>
    <w:rsid w:val="35BA0F6D"/>
    <w:rsid w:val="35BC4022"/>
    <w:rsid w:val="35BD0123"/>
    <w:rsid w:val="35BF00D7"/>
    <w:rsid w:val="35C15DF1"/>
    <w:rsid w:val="35C5199E"/>
    <w:rsid w:val="35DC0B11"/>
    <w:rsid w:val="35EB64F3"/>
    <w:rsid w:val="35ED19A9"/>
    <w:rsid w:val="35F1239B"/>
    <w:rsid w:val="35F7037D"/>
    <w:rsid w:val="35FC35B8"/>
    <w:rsid w:val="35FD2BFD"/>
    <w:rsid w:val="360016CD"/>
    <w:rsid w:val="36074A7F"/>
    <w:rsid w:val="360C4AA2"/>
    <w:rsid w:val="360C5B09"/>
    <w:rsid w:val="360F0F9C"/>
    <w:rsid w:val="360F4196"/>
    <w:rsid w:val="3614655D"/>
    <w:rsid w:val="361844EA"/>
    <w:rsid w:val="36254D15"/>
    <w:rsid w:val="362A49AB"/>
    <w:rsid w:val="3638029F"/>
    <w:rsid w:val="363A28D7"/>
    <w:rsid w:val="3647730B"/>
    <w:rsid w:val="364C2B74"/>
    <w:rsid w:val="364E2199"/>
    <w:rsid w:val="364E71D5"/>
    <w:rsid w:val="3651423D"/>
    <w:rsid w:val="3652180C"/>
    <w:rsid w:val="36584BFF"/>
    <w:rsid w:val="366642A9"/>
    <w:rsid w:val="366C0A45"/>
    <w:rsid w:val="36705660"/>
    <w:rsid w:val="367E5154"/>
    <w:rsid w:val="368158FA"/>
    <w:rsid w:val="36874E4A"/>
    <w:rsid w:val="36891AAE"/>
    <w:rsid w:val="3689653D"/>
    <w:rsid w:val="368A7B3B"/>
    <w:rsid w:val="36923549"/>
    <w:rsid w:val="369A2841"/>
    <w:rsid w:val="36A02629"/>
    <w:rsid w:val="36A062A6"/>
    <w:rsid w:val="36A17E62"/>
    <w:rsid w:val="36A422C5"/>
    <w:rsid w:val="36A44E47"/>
    <w:rsid w:val="36A76B11"/>
    <w:rsid w:val="36AD2EE7"/>
    <w:rsid w:val="36B576F1"/>
    <w:rsid w:val="36B75FBF"/>
    <w:rsid w:val="36BD0C45"/>
    <w:rsid w:val="36C65011"/>
    <w:rsid w:val="36C7044C"/>
    <w:rsid w:val="36D32812"/>
    <w:rsid w:val="36D451CC"/>
    <w:rsid w:val="36DC0821"/>
    <w:rsid w:val="36DF645C"/>
    <w:rsid w:val="36E07552"/>
    <w:rsid w:val="36E6151B"/>
    <w:rsid w:val="36FB29AB"/>
    <w:rsid w:val="370E512B"/>
    <w:rsid w:val="371D006C"/>
    <w:rsid w:val="3721576A"/>
    <w:rsid w:val="37231A75"/>
    <w:rsid w:val="37270EEB"/>
    <w:rsid w:val="372F2A39"/>
    <w:rsid w:val="373508A1"/>
    <w:rsid w:val="373A2183"/>
    <w:rsid w:val="373A61A3"/>
    <w:rsid w:val="37404569"/>
    <w:rsid w:val="37420CAB"/>
    <w:rsid w:val="374A66EF"/>
    <w:rsid w:val="3757357E"/>
    <w:rsid w:val="375842D9"/>
    <w:rsid w:val="376400EB"/>
    <w:rsid w:val="37691503"/>
    <w:rsid w:val="37730610"/>
    <w:rsid w:val="37826ADE"/>
    <w:rsid w:val="378325C5"/>
    <w:rsid w:val="378B76CC"/>
    <w:rsid w:val="378D6032"/>
    <w:rsid w:val="379C086E"/>
    <w:rsid w:val="37AA0415"/>
    <w:rsid w:val="37AE3AC9"/>
    <w:rsid w:val="37B3452D"/>
    <w:rsid w:val="37BE35FD"/>
    <w:rsid w:val="37C35C65"/>
    <w:rsid w:val="37C4673A"/>
    <w:rsid w:val="37CB5D71"/>
    <w:rsid w:val="37CF154C"/>
    <w:rsid w:val="37D2268C"/>
    <w:rsid w:val="37D669A6"/>
    <w:rsid w:val="37DB6248"/>
    <w:rsid w:val="37E00298"/>
    <w:rsid w:val="37E33064"/>
    <w:rsid w:val="37E77886"/>
    <w:rsid w:val="37E82428"/>
    <w:rsid w:val="37EA569A"/>
    <w:rsid w:val="37EA79AB"/>
    <w:rsid w:val="37EB1F18"/>
    <w:rsid w:val="37F00C8E"/>
    <w:rsid w:val="37F54E8B"/>
    <w:rsid w:val="37F5758A"/>
    <w:rsid w:val="37F90947"/>
    <w:rsid w:val="38043862"/>
    <w:rsid w:val="380A5D97"/>
    <w:rsid w:val="380D4269"/>
    <w:rsid w:val="380F08D0"/>
    <w:rsid w:val="381D5BF1"/>
    <w:rsid w:val="38230143"/>
    <w:rsid w:val="38237904"/>
    <w:rsid w:val="38241C69"/>
    <w:rsid w:val="3825542A"/>
    <w:rsid w:val="38390ED6"/>
    <w:rsid w:val="383D43FC"/>
    <w:rsid w:val="38406DEA"/>
    <w:rsid w:val="384220F2"/>
    <w:rsid w:val="384D6F25"/>
    <w:rsid w:val="384E582A"/>
    <w:rsid w:val="38542EC2"/>
    <w:rsid w:val="385E7306"/>
    <w:rsid w:val="386046B4"/>
    <w:rsid w:val="38681F18"/>
    <w:rsid w:val="387135A5"/>
    <w:rsid w:val="38787453"/>
    <w:rsid w:val="38801E32"/>
    <w:rsid w:val="38851F4B"/>
    <w:rsid w:val="388859B9"/>
    <w:rsid w:val="388B0555"/>
    <w:rsid w:val="388D1833"/>
    <w:rsid w:val="38912AC0"/>
    <w:rsid w:val="38965C74"/>
    <w:rsid w:val="389D5EC0"/>
    <w:rsid w:val="389E23F2"/>
    <w:rsid w:val="38B302F9"/>
    <w:rsid w:val="38B7797A"/>
    <w:rsid w:val="38BD549E"/>
    <w:rsid w:val="38C05153"/>
    <w:rsid w:val="38C334D9"/>
    <w:rsid w:val="38C51FA1"/>
    <w:rsid w:val="38D2123F"/>
    <w:rsid w:val="38D806EF"/>
    <w:rsid w:val="38DE1A7D"/>
    <w:rsid w:val="38DE55D9"/>
    <w:rsid w:val="38F02563"/>
    <w:rsid w:val="38F12CD3"/>
    <w:rsid w:val="38F512A1"/>
    <w:rsid w:val="38F94775"/>
    <w:rsid w:val="38FB291B"/>
    <w:rsid w:val="38FE16F7"/>
    <w:rsid w:val="39016FE4"/>
    <w:rsid w:val="39021308"/>
    <w:rsid w:val="39045619"/>
    <w:rsid w:val="390A39E8"/>
    <w:rsid w:val="390D2D52"/>
    <w:rsid w:val="391B4A49"/>
    <w:rsid w:val="39212304"/>
    <w:rsid w:val="392971ED"/>
    <w:rsid w:val="39325651"/>
    <w:rsid w:val="3934169D"/>
    <w:rsid w:val="393A223C"/>
    <w:rsid w:val="393A48FA"/>
    <w:rsid w:val="39474FB8"/>
    <w:rsid w:val="394A4F39"/>
    <w:rsid w:val="39551D3F"/>
    <w:rsid w:val="3955289A"/>
    <w:rsid w:val="39555EBF"/>
    <w:rsid w:val="3957180B"/>
    <w:rsid w:val="395C5655"/>
    <w:rsid w:val="39652F7F"/>
    <w:rsid w:val="396B3311"/>
    <w:rsid w:val="39760264"/>
    <w:rsid w:val="397F31CA"/>
    <w:rsid w:val="39824381"/>
    <w:rsid w:val="39924D42"/>
    <w:rsid w:val="399668F5"/>
    <w:rsid w:val="399C171C"/>
    <w:rsid w:val="399C3268"/>
    <w:rsid w:val="39A21035"/>
    <w:rsid w:val="39A91BF5"/>
    <w:rsid w:val="39AA0BA7"/>
    <w:rsid w:val="39B32A8E"/>
    <w:rsid w:val="39B8407C"/>
    <w:rsid w:val="39B9093E"/>
    <w:rsid w:val="39B95C04"/>
    <w:rsid w:val="39C3314D"/>
    <w:rsid w:val="39C6354C"/>
    <w:rsid w:val="39C715C2"/>
    <w:rsid w:val="39CA71D2"/>
    <w:rsid w:val="39D46775"/>
    <w:rsid w:val="39E46478"/>
    <w:rsid w:val="39EC5C81"/>
    <w:rsid w:val="39EF0708"/>
    <w:rsid w:val="39EF3F42"/>
    <w:rsid w:val="39EF631E"/>
    <w:rsid w:val="39F03816"/>
    <w:rsid w:val="39F340FC"/>
    <w:rsid w:val="39F87855"/>
    <w:rsid w:val="39F96E2B"/>
    <w:rsid w:val="39FD5F33"/>
    <w:rsid w:val="3A1C0C9C"/>
    <w:rsid w:val="3A1C460B"/>
    <w:rsid w:val="3A240899"/>
    <w:rsid w:val="3A292D2C"/>
    <w:rsid w:val="3A3312D0"/>
    <w:rsid w:val="3A375128"/>
    <w:rsid w:val="3A377697"/>
    <w:rsid w:val="3A4060DF"/>
    <w:rsid w:val="3A45394C"/>
    <w:rsid w:val="3A465B2C"/>
    <w:rsid w:val="3A476A38"/>
    <w:rsid w:val="3A4A60D4"/>
    <w:rsid w:val="3A4C2E2C"/>
    <w:rsid w:val="3A4D36DE"/>
    <w:rsid w:val="3A4D3806"/>
    <w:rsid w:val="3A543DA5"/>
    <w:rsid w:val="3A5A3A61"/>
    <w:rsid w:val="3A5C534F"/>
    <w:rsid w:val="3A5E0035"/>
    <w:rsid w:val="3A687850"/>
    <w:rsid w:val="3A72247D"/>
    <w:rsid w:val="3A744447"/>
    <w:rsid w:val="3A7A38A2"/>
    <w:rsid w:val="3A7C154E"/>
    <w:rsid w:val="3A80103E"/>
    <w:rsid w:val="3A872856"/>
    <w:rsid w:val="3A8B353F"/>
    <w:rsid w:val="3A9903A4"/>
    <w:rsid w:val="3A9A4B0D"/>
    <w:rsid w:val="3A9B5E78"/>
    <w:rsid w:val="3A9F3ECA"/>
    <w:rsid w:val="3AA0347D"/>
    <w:rsid w:val="3AA66639"/>
    <w:rsid w:val="3AB021B9"/>
    <w:rsid w:val="3AB36D9B"/>
    <w:rsid w:val="3AD76411"/>
    <w:rsid w:val="3ADE5D64"/>
    <w:rsid w:val="3AE05B43"/>
    <w:rsid w:val="3AEF0379"/>
    <w:rsid w:val="3AEF2CAA"/>
    <w:rsid w:val="3AF33BF2"/>
    <w:rsid w:val="3AF630AE"/>
    <w:rsid w:val="3AFA0DF0"/>
    <w:rsid w:val="3B0330EB"/>
    <w:rsid w:val="3B086FE8"/>
    <w:rsid w:val="3B113817"/>
    <w:rsid w:val="3B13291E"/>
    <w:rsid w:val="3B1367D3"/>
    <w:rsid w:val="3B191EE5"/>
    <w:rsid w:val="3B1B6368"/>
    <w:rsid w:val="3B1D5C75"/>
    <w:rsid w:val="3B2441FE"/>
    <w:rsid w:val="3B2A1891"/>
    <w:rsid w:val="3B334302"/>
    <w:rsid w:val="3B3763D1"/>
    <w:rsid w:val="3B4B5B69"/>
    <w:rsid w:val="3B4C2CCE"/>
    <w:rsid w:val="3B5417BF"/>
    <w:rsid w:val="3B5473C9"/>
    <w:rsid w:val="3B636CBF"/>
    <w:rsid w:val="3B6B3C2B"/>
    <w:rsid w:val="3B751FBD"/>
    <w:rsid w:val="3B7725AE"/>
    <w:rsid w:val="3B790BD3"/>
    <w:rsid w:val="3B7A54C4"/>
    <w:rsid w:val="3B7E4A28"/>
    <w:rsid w:val="3B911029"/>
    <w:rsid w:val="3B936B4F"/>
    <w:rsid w:val="3B950FFC"/>
    <w:rsid w:val="3B9603ED"/>
    <w:rsid w:val="3BA50921"/>
    <w:rsid w:val="3BA87A8D"/>
    <w:rsid w:val="3BAD4E87"/>
    <w:rsid w:val="3BBA2E14"/>
    <w:rsid w:val="3BCB4FF9"/>
    <w:rsid w:val="3BD66A3C"/>
    <w:rsid w:val="3BD7662C"/>
    <w:rsid w:val="3BDC4281"/>
    <w:rsid w:val="3BE15B0C"/>
    <w:rsid w:val="3BE51B6A"/>
    <w:rsid w:val="3BE525AB"/>
    <w:rsid w:val="3BEF7394"/>
    <w:rsid w:val="3BF6437E"/>
    <w:rsid w:val="3BF7707B"/>
    <w:rsid w:val="3C024222"/>
    <w:rsid w:val="3C080E86"/>
    <w:rsid w:val="3C0D5AC9"/>
    <w:rsid w:val="3C1A1550"/>
    <w:rsid w:val="3C1F6635"/>
    <w:rsid w:val="3C2F6E1E"/>
    <w:rsid w:val="3C3245BA"/>
    <w:rsid w:val="3C3605C2"/>
    <w:rsid w:val="3C462CF9"/>
    <w:rsid w:val="3C490E3C"/>
    <w:rsid w:val="3C4A7D97"/>
    <w:rsid w:val="3C4D2C53"/>
    <w:rsid w:val="3C4D4F50"/>
    <w:rsid w:val="3C4F64BA"/>
    <w:rsid w:val="3C5A141B"/>
    <w:rsid w:val="3C5E0F0B"/>
    <w:rsid w:val="3C5F3DF0"/>
    <w:rsid w:val="3C7005A8"/>
    <w:rsid w:val="3C722C08"/>
    <w:rsid w:val="3C7303B6"/>
    <w:rsid w:val="3C746980"/>
    <w:rsid w:val="3C786B2D"/>
    <w:rsid w:val="3C8446EA"/>
    <w:rsid w:val="3C881051"/>
    <w:rsid w:val="3C9006BF"/>
    <w:rsid w:val="3C906601"/>
    <w:rsid w:val="3C9377CF"/>
    <w:rsid w:val="3C96721C"/>
    <w:rsid w:val="3C9F32D2"/>
    <w:rsid w:val="3CA575EF"/>
    <w:rsid w:val="3CAC09CB"/>
    <w:rsid w:val="3CB054DF"/>
    <w:rsid w:val="3CB1587B"/>
    <w:rsid w:val="3CB66F99"/>
    <w:rsid w:val="3CB677B4"/>
    <w:rsid w:val="3CBF360F"/>
    <w:rsid w:val="3CD15B81"/>
    <w:rsid w:val="3CD218F9"/>
    <w:rsid w:val="3CD33E3D"/>
    <w:rsid w:val="3CD4741F"/>
    <w:rsid w:val="3CD817E2"/>
    <w:rsid w:val="3CDA245A"/>
    <w:rsid w:val="3CDE029E"/>
    <w:rsid w:val="3CE55188"/>
    <w:rsid w:val="3CEB2E52"/>
    <w:rsid w:val="3CEF6942"/>
    <w:rsid w:val="3CF60610"/>
    <w:rsid w:val="3CF7310E"/>
    <w:rsid w:val="3CF80362"/>
    <w:rsid w:val="3CFE419A"/>
    <w:rsid w:val="3D155B56"/>
    <w:rsid w:val="3D1A2F01"/>
    <w:rsid w:val="3D1B5230"/>
    <w:rsid w:val="3D1E06B7"/>
    <w:rsid w:val="3D257FD6"/>
    <w:rsid w:val="3D2804BB"/>
    <w:rsid w:val="3D335DE1"/>
    <w:rsid w:val="3D3E2AEA"/>
    <w:rsid w:val="3D536596"/>
    <w:rsid w:val="3D5440BC"/>
    <w:rsid w:val="3D5D33B6"/>
    <w:rsid w:val="3D6428CB"/>
    <w:rsid w:val="3D672748"/>
    <w:rsid w:val="3D6E5770"/>
    <w:rsid w:val="3D6F0862"/>
    <w:rsid w:val="3D7563E3"/>
    <w:rsid w:val="3D7815DA"/>
    <w:rsid w:val="3D7960E6"/>
    <w:rsid w:val="3D7D1E37"/>
    <w:rsid w:val="3D8044A2"/>
    <w:rsid w:val="3D874491"/>
    <w:rsid w:val="3D8C7CFA"/>
    <w:rsid w:val="3D8E75CE"/>
    <w:rsid w:val="3D962E9A"/>
    <w:rsid w:val="3D976F06"/>
    <w:rsid w:val="3D9848F1"/>
    <w:rsid w:val="3D9D1752"/>
    <w:rsid w:val="3DB50A5D"/>
    <w:rsid w:val="3DC03054"/>
    <w:rsid w:val="3DD2747B"/>
    <w:rsid w:val="3DD27E02"/>
    <w:rsid w:val="3DD523D5"/>
    <w:rsid w:val="3DE03BA2"/>
    <w:rsid w:val="3DEE4EAC"/>
    <w:rsid w:val="3DF80597"/>
    <w:rsid w:val="3DF859AA"/>
    <w:rsid w:val="3E014244"/>
    <w:rsid w:val="3E05114C"/>
    <w:rsid w:val="3E0570DD"/>
    <w:rsid w:val="3E061964"/>
    <w:rsid w:val="3E0D1785"/>
    <w:rsid w:val="3E1378B4"/>
    <w:rsid w:val="3E1A34E5"/>
    <w:rsid w:val="3E233537"/>
    <w:rsid w:val="3E247F32"/>
    <w:rsid w:val="3E3826A3"/>
    <w:rsid w:val="3E397208"/>
    <w:rsid w:val="3E467EA9"/>
    <w:rsid w:val="3E6045A1"/>
    <w:rsid w:val="3E636CAD"/>
    <w:rsid w:val="3E642219"/>
    <w:rsid w:val="3E6A4896"/>
    <w:rsid w:val="3E6C4A61"/>
    <w:rsid w:val="3E6D7B2B"/>
    <w:rsid w:val="3E732FE1"/>
    <w:rsid w:val="3E7762B5"/>
    <w:rsid w:val="3E80785E"/>
    <w:rsid w:val="3E833E1A"/>
    <w:rsid w:val="3E86299B"/>
    <w:rsid w:val="3E8F7AA2"/>
    <w:rsid w:val="3E9527E6"/>
    <w:rsid w:val="3E984202"/>
    <w:rsid w:val="3EA1722B"/>
    <w:rsid w:val="3EA82911"/>
    <w:rsid w:val="3EA846BF"/>
    <w:rsid w:val="3EB725EF"/>
    <w:rsid w:val="3EC534C3"/>
    <w:rsid w:val="3ED743E4"/>
    <w:rsid w:val="3ED8393F"/>
    <w:rsid w:val="3EDA0523"/>
    <w:rsid w:val="3EDE5E86"/>
    <w:rsid w:val="3EE407FD"/>
    <w:rsid w:val="3EEB27FE"/>
    <w:rsid w:val="3EF269CD"/>
    <w:rsid w:val="3EF525AD"/>
    <w:rsid w:val="3EFE4C27"/>
    <w:rsid w:val="3EFF7B42"/>
    <w:rsid w:val="3F021FCA"/>
    <w:rsid w:val="3F040BBC"/>
    <w:rsid w:val="3F0802A4"/>
    <w:rsid w:val="3F0A4915"/>
    <w:rsid w:val="3F2603F2"/>
    <w:rsid w:val="3F2A07B1"/>
    <w:rsid w:val="3F2E6343"/>
    <w:rsid w:val="3F3604C7"/>
    <w:rsid w:val="3F4105B4"/>
    <w:rsid w:val="3F4257E3"/>
    <w:rsid w:val="3F4C39D9"/>
    <w:rsid w:val="3F544847"/>
    <w:rsid w:val="3F585330"/>
    <w:rsid w:val="3F5C7F8B"/>
    <w:rsid w:val="3F5D7BA0"/>
    <w:rsid w:val="3F6251B6"/>
    <w:rsid w:val="3F637183"/>
    <w:rsid w:val="3F696EB6"/>
    <w:rsid w:val="3F6F5283"/>
    <w:rsid w:val="3F712FB6"/>
    <w:rsid w:val="3F717F20"/>
    <w:rsid w:val="3F757E04"/>
    <w:rsid w:val="3F762A0F"/>
    <w:rsid w:val="3F813EB6"/>
    <w:rsid w:val="3F8C1701"/>
    <w:rsid w:val="3F9244F0"/>
    <w:rsid w:val="3F966EEE"/>
    <w:rsid w:val="3F9F1F66"/>
    <w:rsid w:val="3FA132A1"/>
    <w:rsid w:val="3FA255B3"/>
    <w:rsid w:val="3FA4757D"/>
    <w:rsid w:val="3FA56E51"/>
    <w:rsid w:val="3FAF1A7E"/>
    <w:rsid w:val="3FB05F21"/>
    <w:rsid w:val="3FB13A48"/>
    <w:rsid w:val="3FB70450"/>
    <w:rsid w:val="3FB74309"/>
    <w:rsid w:val="3FBB6674"/>
    <w:rsid w:val="3FC574F3"/>
    <w:rsid w:val="3FCD2003"/>
    <w:rsid w:val="3FD31C10"/>
    <w:rsid w:val="3FE773AA"/>
    <w:rsid w:val="3FEB51AC"/>
    <w:rsid w:val="3FEF3F72"/>
    <w:rsid w:val="3FF12096"/>
    <w:rsid w:val="3FF335F9"/>
    <w:rsid w:val="3FF948DF"/>
    <w:rsid w:val="3FFA59E9"/>
    <w:rsid w:val="40024A4A"/>
    <w:rsid w:val="400377D9"/>
    <w:rsid w:val="4004626D"/>
    <w:rsid w:val="400707F3"/>
    <w:rsid w:val="40110F38"/>
    <w:rsid w:val="401C18F7"/>
    <w:rsid w:val="401C5365"/>
    <w:rsid w:val="40237C7B"/>
    <w:rsid w:val="40296E63"/>
    <w:rsid w:val="40395BA0"/>
    <w:rsid w:val="403C1487"/>
    <w:rsid w:val="4042621C"/>
    <w:rsid w:val="40452EED"/>
    <w:rsid w:val="40520BD7"/>
    <w:rsid w:val="405215CC"/>
    <w:rsid w:val="40542A61"/>
    <w:rsid w:val="405E2F00"/>
    <w:rsid w:val="4063054B"/>
    <w:rsid w:val="40644F5E"/>
    <w:rsid w:val="406722F2"/>
    <w:rsid w:val="40703D60"/>
    <w:rsid w:val="407A6407"/>
    <w:rsid w:val="407C4872"/>
    <w:rsid w:val="408353E4"/>
    <w:rsid w:val="4087015A"/>
    <w:rsid w:val="4097623E"/>
    <w:rsid w:val="40B00C12"/>
    <w:rsid w:val="40B25CC9"/>
    <w:rsid w:val="40B77DE3"/>
    <w:rsid w:val="40C559FD"/>
    <w:rsid w:val="40CE4185"/>
    <w:rsid w:val="40D043A1"/>
    <w:rsid w:val="40D40AD0"/>
    <w:rsid w:val="40D94361"/>
    <w:rsid w:val="40D95004"/>
    <w:rsid w:val="40DC13F4"/>
    <w:rsid w:val="40DC4AF4"/>
    <w:rsid w:val="40DE261A"/>
    <w:rsid w:val="40E02699"/>
    <w:rsid w:val="40E2063B"/>
    <w:rsid w:val="40E74410"/>
    <w:rsid w:val="40E84714"/>
    <w:rsid w:val="40EB5D2C"/>
    <w:rsid w:val="40F1696F"/>
    <w:rsid w:val="40F2439B"/>
    <w:rsid w:val="40F83A94"/>
    <w:rsid w:val="40FA2EBC"/>
    <w:rsid w:val="4102345C"/>
    <w:rsid w:val="41323A55"/>
    <w:rsid w:val="41395DC0"/>
    <w:rsid w:val="413A6CF9"/>
    <w:rsid w:val="41436921"/>
    <w:rsid w:val="414B4EDC"/>
    <w:rsid w:val="414B67C1"/>
    <w:rsid w:val="414D1C8C"/>
    <w:rsid w:val="4152309F"/>
    <w:rsid w:val="41523F5F"/>
    <w:rsid w:val="4159130B"/>
    <w:rsid w:val="415D42EA"/>
    <w:rsid w:val="415D61C7"/>
    <w:rsid w:val="41657605"/>
    <w:rsid w:val="416D1BF0"/>
    <w:rsid w:val="417411D1"/>
    <w:rsid w:val="417B41BA"/>
    <w:rsid w:val="41840250"/>
    <w:rsid w:val="4193026E"/>
    <w:rsid w:val="41934C3B"/>
    <w:rsid w:val="41964058"/>
    <w:rsid w:val="41970A1B"/>
    <w:rsid w:val="41A108A7"/>
    <w:rsid w:val="41A33F03"/>
    <w:rsid w:val="41AA074E"/>
    <w:rsid w:val="41AC7E24"/>
    <w:rsid w:val="41AF2B15"/>
    <w:rsid w:val="41BD389B"/>
    <w:rsid w:val="41BD6726"/>
    <w:rsid w:val="41C17BF0"/>
    <w:rsid w:val="41C54101"/>
    <w:rsid w:val="41C952EA"/>
    <w:rsid w:val="41D05678"/>
    <w:rsid w:val="41D34932"/>
    <w:rsid w:val="41D640BB"/>
    <w:rsid w:val="41D7449A"/>
    <w:rsid w:val="41E13755"/>
    <w:rsid w:val="41E8485F"/>
    <w:rsid w:val="41E92AEB"/>
    <w:rsid w:val="41EC6FB9"/>
    <w:rsid w:val="41EE0F83"/>
    <w:rsid w:val="41F1637D"/>
    <w:rsid w:val="41F43CBE"/>
    <w:rsid w:val="41F845C1"/>
    <w:rsid w:val="41F849F9"/>
    <w:rsid w:val="41FA1184"/>
    <w:rsid w:val="41FA7928"/>
    <w:rsid w:val="41FE239B"/>
    <w:rsid w:val="41FF4F3E"/>
    <w:rsid w:val="4200449D"/>
    <w:rsid w:val="42075BA1"/>
    <w:rsid w:val="42131660"/>
    <w:rsid w:val="4213610B"/>
    <w:rsid w:val="421C34E4"/>
    <w:rsid w:val="421C5D07"/>
    <w:rsid w:val="421D7038"/>
    <w:rsid w:val="42233522"/>
    <w:rsid w:val="42360234"/>
    <w:rsid w:val="423A3BCC"/>
    <w:rsid w:val="424167CF"/>
    <w:rsid w:val="424A7F17"/>
    <w:rsid w:val="424E57D2"/>
    <w:rsid w:val="424F39DC"/>
    <w:rsid w:val="42577237"/>
    <w:rsid w:val="425C74A5"/>
    <w:rsid w:val="425E5B6D"/>
    <w:rsid w:val="425E6442"/>
    <w:rsid w:val="4260560E"/>
    <w:rsid w:val="426B70B9"/>
    <w:rsid w:val="427750E2"/>
    <w:rsid w:val="427A0B10"/>
    <w:rsid w:val="42816906"/>
    <w:rsid w:val="4283791D"/>
    <w:rsid w:val="42927B60"/>
    <w:rsid w:val="42932CB3"/>
    <w:rsid w:val="429D6505"/>
    <w:rsid w:val="42AD2B62"/>
    <w:rsid w:val="42AD4959"/>
    <w:rsid w:val="42AE5C8C"/>
    <w:rsid w:val="42B234EB"/>
    <w:rsid w:val="42B26C49"/>
    <w:rsid w:val="42B6567A"/>
    <w:rsid w:val="42BA6F5D"/>
    <w:rsid w:val="42BB3775"/>
    <w:rsid w:val="42C50A67"/>
    <w:rsid w:val="42C8103A"/>
    <w:rsid w:val="42D31245"/>
    <w:rsid w:val="42D86F01"/>
    <w:rsid w:val="42DB59FD"/>
    <w:rsid w:val="42DC527F"/>
    <w:rsid w:val="42E163F2"/>
    <w:rsid w:val="42FB5D15"/>
    <w:rsid w:val="43063105"/>
    <w:rsid w:val="430640AA"/>
    <w:rsid w:val="43093658"/>
    <w:rsid w:val="43121C70"/>
    <w:rsid w:val="43122A4F"/>
    <w:rsid w:val="431B5DA8"/>
    <w:rsid w:val="432B2B89"/>
    <w:rsid w:val="432F1E46"/>
    <w:rsid w:val="432F53AF"/>
    <w:rsid w:val="4332001A"/>
    <w:rsid w:val="433567E2"/>
    <w:rsid w:val="433A3D54"/>
    <w:rsid w:val="433A6FE6"/>
    <w:rsid w:val="43442CD2"/>
    <w:rsid w:val="43457D85"/>
    <w:rsid w:val="43461A6B"/>
    <w:rsid w:val="43480868"/>
    <w:rsid w:val="4350713C"/>
    <w:rsid w:val="4359242C"/>
    <w:rsid w:val="435B43F6"/>
    <w:rsid w:val="435C6309"/>
    <w:rsid w:val="43652320"/>
    <w:rsid w:val="43660D2E"/>
    <w:rsid w:val="436653E0"/>
    <w:rsid w:val="436C397A"/>
    <w:rsid w:val="437E3CA6"/>
    <w:rsid w:val="438020AF"/>
    <w:rsid w:val="438B65E9"/>
    <w:rsid w:val="439C3E62"/>
    <w:rsid w:val="439F7064"/>
    <w:rsid w:val="43A03350"/>
    <w:rsid w:val="43AA6A1D"/>
    <w:rsid w:val="43BC2A83"/>
    <w:rsid w:val="43BD0C0D"/>
    <w:rsid w:val="43BD5690"/>
    <w:rsid w:val="43C4431A"/>
    <w:rsid w:val="43C46F34"/>
    <w:rsid w:val="43C7383A"/>
    <w:rsid w:val="43C85AEE"/>
    <w:rsid w:val="43CD03EF"/>
    <w:rsid w:val="43D3521E"/>
    <w:rsid w:val="43D70CA3"/>
    <w:rsid w:val="43DE2D77"/>
    <w:rsid w:val="43E22422"/>
    <w:rsid w:val="43F73405"/>
    <w:rsid w:val="43FB34E3"/>
    <w:rsid w:val="43FD4086"/>
    <w:rsid w:val="44000AFA"/>
    <w:rsid w:val="440920A4"/>
    <w:rsid w:val="440A77C0"/>
    <w:rsid w:val="440B48F8"/>
    <w:rsid w:val="44104D7E"/>
    <w:rsid w:val="44140054"/>
    <w:rsid w:val="441D64D3"/>
    <w:rsid w:val="44202251"/>
    <w:rsid w:val="442A232C"/>
    <w:rsid w:val="442D1437"/>
    <w:rsid w:val="443D108D"/>
    <w:rsid w:val="443D6E8A"/>
    <w:rsid w:val="444F55DD"/>
    <w:rsid w:val="44562E10"/>
    <w:rsid w:val="445663BA"/>
    <w:rsid w:val="446379C6"/>
    <w:rsid w:val="4467501D"/>
    <w:rsid w:val="4468170E"/>
    <w:rsid w:val="446A7F2E"/>
    <w:rsid w:val="446D218D"/>
    <w:rsid w:val="4484065E"/>
    <w:rsid w:val="44881055"/>
    <w:rsid w:val="4489554D"/>
    <w:rsid w:val="448D7897"/>
    <w:rsid w:val="44A615DB"/>
    <w:rsid w:val="44A67A50"/>
    <w:rsid w:val="44B23A87"/>
    <w:rsid w:val="44B951CC"/>
    <w:rsid w:val="44BA70CA"/>
    <w:rsid w:val="44C164DB"/>
    <w:rsid w:val="44C22253"/>
    <w:rsid w:val="44CD14E0"/>
    <w:rsid w:val="44DF2C9A"/>
    <w:rsid w:val="44EC636D"/>
    <w:rsid w:val="44ED72D0"/>
    <w:rsid w:val="44EE135A"/>
    <w:rsid w:val="44EF4B92"/>
    <w:rsid w:val="44EF4E4C"/>
    <w:rsid w:val="44F20B0B"/>
    <w:rsid w:val="44F87A23"/>
    <w:rsid w:val="450A1158"/>
    <w:rsid w:val="4517556E"/>
    <w:rsid w:val="4518283D"/>
    <w:rsid w:val="451F5006"/>
    <w:rsid w:val="45201E46"/>
    <w:rsid w:val="452151CC"/>
    <w:rsid w:val="45224105"/>
    <w:rsid w:val="452A0524"/>
    <w:rsid w:val="452C718B"/>
    <w:rsid w:val="452D3A41"/>
    <w:rsid w:val="452E5F4C"/>
    <w:rsid w:val="45323F15"/>
    <w:rsid w:val="453C6F4C"/>
    <w:rsid w:val="45460E14"/>
    <w:rsid w:val="454B20CD"/>
    <w:rsid w:val="45590B62"/>
    <w:rsid w:val="45612018"/>
    <w:rsid w:val="45667DC6"/>
    <w:rsid w:val="4567463B"/>
    <w:rsid w:val="45687B0A"/>
    <w:rsid w:val="45690DEB"/>
    <w:rsid w:val="456E6E15"/>
    <w:rsid w:val="456F14C8"/>
    <w:rsid w:val="457347FE"/>
    <w:rsid w:val="45741A66"/>
    <w:rsid w:val="45823CD4"/>
    <w:rsid w:val="458946E9"/>
    <w:rsid w:val="458B61B4"/>
    <w:rsid w:val="459C4979"/>
    <w:rsid w:val="459F7FF5"/>
    <w:rsid w:val="45A47C0E"/>
    <w:rsid w:val="45A656D1"/>
    <w:rsid w:val="45B32AE0"/>
    <w:rsid w:val="45B95B02"/>
    <w:rsid w:val="45C51FFB"/>
    <w:rsid w:val="45C75D73"/>
    <w:rsid w:val="45DB7109"/>
    <w:rsid w:val="45DE3BD5"/>
    <w:rsid w:val="45EA1A61"/>
    <w:rsid w:val="45EF19A1"/>
    <w:rsid w:val="45F25354"/>
    <w:rsid w:val="45F3595C"/>
    <w:rsid w:val="45F4468E"/>
    <w:rsid w:val="45FA5496"/>
    <w:rsid w:val="45FB0109"/>
    <w:rsid w:val="45FD79E7"/>
    <w:rsid w:val="46015BF1"/>
    <w:rsid w:val="46054AED"/>
    <w:rsid w:val="460D0797"/>
    <w:rsid w:val="46103B49"/>
    <w:rsid w:val="46251BEC"/>
    <w:rsid w:val="462B66E0"/>
    <w:rsid w:val="46344F00"/>
    <w:rsid w:val="46356FD5"/>
    <w:rsid w:val="463B22BD"/>
    <w:rsid w:val="464078D3"/>
    <w:rsid w:val="46413A4D"/>
    <w:rsid w:val="46472A10"/>
    <w:rsid w:val="46483E29"/>
    <w:rsid w:val="464F1ED4"/>
    <w:rsid w:val="46577FD6"/>
    <w:rsid w:val="46602F53"/>
    <w:rsid w:val="46737CA9"/>
    <w:rsid w:val="467B093B"/>
    <w:rsid w:val="4682613E"/>
    <w:rsid w:val="46884FD4"/>
    <w:rsid w:val="4688750A"/>
    <w:rsid w:val="468C10DF"/>
    <w:rsid w:val="46900FBA"/>
    <w:rsid w:val="46906BA5"/>
    <w:rsid w:val="4691580A"/>
    <w:rsid w:val="469B55FA"/>
    <w:rsid w:val="469B5824"/>
    <w:rsid w:val="469F1111"/>
    <w:rsid w:val="46A34F9B"/>
    <w:rsid w:val="46A547F3"/>
    <w:rsid w:val="46A71700"/>
    <w:rsid w:val="46AE00CF"/>
    <w:rsid w:val="46B5206F"/>
    <w:rsid w:val="46BB084E"/>
    <w:rsid w:val="46BC0309"/>
    <w:rsid w:val="46BF2EEE"/>
    <w:rsid w:val="46C4216E"/>
    <w:rsid w:val="46CB6627"/>
    <w:rsid w:val="46D955A7"/>
    <w:rsid w:val="46E73F22"/>
    <w:rsid w:val="46F52192"/>
    <w:rsid w:val="46F91B2B"/>
    <w:rsid w:val="46FA70DF"/>
    <w:rsid w:val="47007847"/>
    <w:rsid w:val="470D2223"/>
    <w:rsid w:val="47133957"/>
    <w:rsid w:val="47134FE8"/>
    <w:rsid w:val="47163BC5"/>
    <w:rsid w:val="471640E6"/>
    <w:rsid w:val="471C7D7D"/>
    <w:rsid w:val="47220768"/>
    <w:rsid w:val="472A3FB6"/>
    <w:rsid w:val="47392CA0"/>
    <w:rsid w:val="4739367F"/>
    <w:rsid w:val="473D46BC"/>
    <w:rsid w:val="47495429"/>
    <w:rsid w:val="474D57A3"/>
    <w:rsid w:val="474F326B"/>
    <w:rsid w:val="47555600"/>
    <w:rsid w:val="4757651D"/>
    <w:rsid w:val="475F1A92"/>
    <w:rsid w:val="47601E83"/>
    <w:rsid w:val="47631D32"/>
    <w:rsid w:val="476B58F6"/>
    <w:rsid w:val="47721D0E"/>
    <w:rsid w:val="47727F60"/>
    <w:rsid w:val="47737835"/>
    <w:rsid w:val="47756079"/>
    <w:rsid w:val="47796D88"/>
    <w:rsid w:val="477B0609"/>
    <w:rsid w:val="477C3513"/>
    <w:rsid w:val="47803AED"/>
    <w:rsid w:val="4783283D"/>
    <w:rsid w:val="478D2B7B"/>
    <w:rsid w:val="47911EEF"/>
    <w:rsid w:val="479C6D48"/>
    <w:rsid w:val="47A07E0C"/>
    <w:rsid w:val="47A22C9A"/>
    <w:rsid w:val="47AA594C"/>
    <w:rsid w:val="47B0072E"/>
    <w:rsid w:val="47BE6865"/>
    <w:rsid w:val="47CB141F"/>
    <w:rsid w:val="47CB7671"/>
    <w:rsid w:val="47D06A35"/>
    <w:rsid w:val="47DA6BAC"/>
    <w:rsid w:val="47DE0355"/>
    <w:rsid w:val="47E64CED"/>
    <w:rsid w:val="47EA3D2C"/>
    <w:rsid w:val="47FC67D2"/>
    <w:rsid w:val="47FC782A"/>
    <w:rsid w:val="47FC78CF"/>
    <w:rsid w:val="480346E5"/>
    <w:rsid w:val="480542FE"/>
    <w:rsid w:val="480756B2"/>
    <w:rsid w:val="48096298"/>
    <w:rsid w:val="48096DEF"/>
    <w:rsid w:val="480A798E"/>
    <w:rsid w:val="480F301E"/>
    <w:rsid w:val="481233E6"/>
    <w:rsid w:val="481354F0"/>
    <w:rsid w:val="48160E3A"/>
    <w:rsid w:val="481E1E96"/>
    <w:rsid w:val="48220A60"/>
    <w:rsid w:val="48220D44"/>
    <w:rsid w:val="48223734"/>
    <w:rsid w:val="482A7C30"/>
    <w:rsid w:val="482F072B"/>
    <w:rsid w:val="48362D3C"/>
    <w:rsid w:val="48382F58"/>
    <w:rsid w:val="48420DC4"/>
    <w:rsid w:val="484232D5"/>
    <w:rsid w:val="48473080"/>
    <w:rsid w:val="484A4F29"/>
    <w:rsid w:val="484A762B"/>
    <w:rsid w:val="484C3CCD"/>
    <w:rsid w:val="48551B0C"/>
    <w:rsid w:val="48565BE8"/>
    <w:rsid w:val="48656583"/>
    <w:rsid w:val="4870272E"/>
    <w:rsid w:val="48733F90"/>
    <w:rsid w:val="487E032C"/>
    <w:rsid w:val="48822425"/>
    <w:rsid w:val="48860E58"/>
    <w:rsid w:val="488C6E91"/>
    <w:rsid w:val="48947F0A"/>
    <w:rsid w:val="48977333"/>
    <w:rsid w:val="489C56E5"/>
    <w:rsid w:val="48A07302"/>
    <w:rsid w:val="48A5451B"/>
    <w:rsid w:val="48AC624A"/>
    <w:rsid w:val="48AD7924"/>
    <w:rsid w:val="48B06F92"/>
    <w:rsid w:val="48B87BF5"/>
    <w:rsid w:val="48BB37F1"/>
    <w:rsid w:val="48CF69F2"/>
    <w:rsid w:val="48D015CC"/>
    <w:rsid w:val="48D04759"/>
    <w:rsid w:val="48D12A38"/>
    <w:rsid w:val="48D12A65"/>
    <w:rsid w:val="48D67B5B"/>
    <w:rsid w:val="48DD4821"/>
    <w:rsid w:val="48E443BB"/>
    <w:rsid w:val="4900334A"/>
    <w:rsid w:val="4905293A"/>
    <w:rsid w:val="49065663"/>
    <w:rsid w:val="49065BC0"/>
    <w:rsid w:val="49094ECF"/>
    <w:rsid w:val="4916740D"/>
    <w:rsid w:val="49176E65"/>
    <w:rsid w:val="491A440C"/>
    <w:rsid w:val="491F1A22"/>
    <w:rsid w:val="4922204C"/>
    <w:rsid w:val="492E0AF5"/>
    <w:rsid w:val="49303C2F"/>
    <w:rsid w:val="49344461"/>
    <w:rsid w:val="493C0826"/>
    <w:rsid w:val="493C71A0"/>
    <w:rsid w:val="493E3446"/>
    <w:rsid w:val="493F0393"/>
    <w:rsid w:val="49463453"/>
    <w:rsid w:val="49520049"/>
    <w:rsid w:val="49531EC7"/>
    <w:rsid w:val="4957464A"/>
    <w:rsid w:val="495C77D2"/>
    <w:rsid w:val="49660B10"/>
    <w:rsid w:val="496F6108"/>
    <w:rsid w:val="497129E0"/>
    <w:rsid w:val="49731D6E"/>
    <w:rsid w:val="49747C79"/>
    <w:rsid w:val="49791213"/>
    <w:rsid w:val="497958A5"/>
    <w:rsid w:val="497E5577"/>
    <w:rsid w:val="49857AF3"/>
    <w:rsid w:val="49B14177"/>
    <w:rsid w:val="49B66B38"/>
    <w:rsid w:val="49B85748"/>
    <w:rsid w:val="49BA541C"/>
    <w:rsid w:val="49BF20F7"/>
    <w:rsid w:val="49C07F1A"/>
    <w:rsid w:val="49C14635"/>
    <w:rsid w:val="49CB472F"/>
    <w:rsid w:val="49CD3B48"/>
    <w:rsid w:val="49CF0244"/>
    <w:rsid w:val="49DC7715"/>
    <w:rsid w:val="49DE7B2F"/>
    <w:rsid w:val="49E60771"/>
    <w:rsid w:val="49E80CD6"/>
    <w:rsid w:val="49EB5DA8"/>
    <w:rsid w:val="49ED7A7E"/>
    <w:rsid w:val="49ED7D72"/>
    <w:rsid w:val="49F340B5"/>
    <w:rsid w:val="49F41101"/>
    <w:rsid w:val="49F54A11"/>
    <w:rsid w:val="49FC7742"/>
    <w:rsid w:val="4A023139"/>
    <w:rsid w:val="4A0A4C18"/>
    <w:rsid w:val="4A0A4F59"/>
    <w:rsid w:val="4A1433AF"/>
    <w:rsid w:val="4A196056"/>
    <w:rsid w:val="4A1B15D4"/>
    <w:rsid w:val="4A1C322B"/>
    <w:rsid w:val="4A2007F8"/>
    <w:rsid w:val="4A2E7440"/>
    <w:rsid w:val="4A3F249A"/>
    <w:rsid w:val="4A42707D"/>
    <w:rsid w:val="4A437992"/>
    <w:rsid w:val="4A453376"/>
    <w:rsid w:val="4A493BE6"/>
    <w:rsid w:val="4A4F1CEA"/>
    <w:rsid w:val="4A533FA8"/>
    <w:rsid w:val="4A5360F1"/>
    <w:rsid w:val="4A5437BE"/>
    <w:rsid w:val="4A5A5FCB"/>
    <w:rsid w:val="4A5F6B2F"/>
    <w:rsid w:val="4A6B7F72"/>
    <w:rsid w:val="4A6D0536"/>
    <w:rsid w:val="4A6E5737"/>
    <w:rsid w:val="4A6F1F0F"/>
    <w:rsid w:val="4A762F51"/>
    <w:rsid w:val="4A765636"/>
    <w:rsid w:val="4A793333"/>
    <w:rsid w:val="4A7A13CA"/>
    <w:rsid w:val="4A7B576F"/>
    <w:rsid w:val="4A8471A8"/>
    <w:rsid w:val="4A8A3006"/>
    <w:rsid w:val="4A9A1C0C"/>
    <w:rsid w:val="4A9C6892"/>
    <w:rsid w:val="4AA05114"/>
    <w:rsid w:val="4AA06B93"/>
    <w:rsid w:val="4AAD341B"/>
    <w:rsid w:val="4AB56AE2"/>
    <w:rsid w:val="4AC15AD6"/>
    <w:rsid w:val="4AC52021"/>
    <w:rsid w:val="4ADA20A4"/>
    <w:rsid w:val="4ADD142B"/>
    <w:rsid w:val="4AE0787A"/>
    <w:rsid w:val="4AE559CC"/>
    <w:rsid w:val="4AEB06C7"/>
    <w:rsid w:val="4AEE2A22"/>
    <w:rsid w:val="4AEE2B5A"/>
    <w:rsid w:val="4AF55A6A"/>
    <w:rsid w:val="4AF561A9"/>
    <w:rsid w:val="4AFD5FB8"/>
    <w:rsid w:val="4B150E4D"/>
    <w:rsid w:val="4B187071"/>
    <w:rsid w:val="4B1D6FB7"/>
    <w:rsid w:val="4B2E23F0"/>
    <w:rsid w:val="4B3814C1"/>
    <w:rsid w:val="4B4158ED"/>
    <w:rsid w:val="4B473169"/>
    <w:rsid w:val="4B481EFF"/>
    <w:rsid w:val="4B4C0582"/>
    <w:rsid w:val="4B4D6D1A"/>
    <w:rsid w:val="4B517637"/>
    <w:rsid w:val="4B547222"/>
    <w:rsid w:val="4B5906C2"/>
    <w:rsid w:val="4B600C5B"/>
    <w:rsid w:val="4B667DDC"/>
    <w:rsid w:val="4B6D6DCA"/>
    <w:rsid w:val="4B6E22D0"/>
    <w:rsid w:val="4B865D88"/>
    <w:rsid w:val="4B8D3D6B"/>
    <w:rsid w:val="4B8E1ADD"/>
    <w:rsid w:val="4B91479A"/>
    <w:rsid w:val="4B9336BF"/>
    <w:rsid w:val="4B94679F"/>
    <w:rsid w:val="4B9D5B42"/>
    <w:rsid w:val="4BA162D3"/>
    <w:rsid w:val="4BAC19F1"/>
    <w:rsid w:val="4BAF5189"/>
    <w:rsid w:val="4BB73B85"/>
    <w:rsid w:val="4BBE19C6"/>
    <w:rsid w:val="4BBE7F7A"/>
    <w:rsid w:val="4BC220E1"/>
    <w:rsid w:val="4BC30E79"/>
    <w:rsid w:val="4BC33965"/>
    <w:rsid w:val="4BCD40B9"/>
    <w:rsid w:val="4BE041DA"/>
    <w:rsid w:val="4BE8259F"/>
    <w:rsid w:val="4BE909E0"/>
    <w:rsid w:val="4BF22E9F"/>
    <w:rsid w:val="4C0116B6"/>
    <w:rsid w:val="4C0201EE"/>
    <w:rsid w:val="4C0875E3"/>
    <w:rsid w:val="4C09147E"/>
    <w:rsid w:val="4C1102B4"/>
    <w:rsid w:val="4C124BC8"/>
    <w:rsid w:val="4C210300"/>
    <w:rsid w:val="4C224DB8"/>
    <w:rsid w:val="4C237A7B"/>
    <w:rsid w:val="4C273A82"/>
    <w:rsid w:val="4C3158E1"/>
    <w:rsid w:val="4C336756"/>
    <w:rsid w:val="4C485952"/>
    <w:rsid w:val="4C4A0649"/>
    <w:rsid w:val="4C4B0C8F"/>
    <w:rsid w:val="4C4D68A6"/>
    <w:rsid w:val="4C546E1B"/>
    <w:rsid w:val="4C653E05"/>
    <w:rsid w:val="4C6E2B99"/>
    <w:rsid w:val="4C7E5ECA"/>
    <w:rsid w:val="4C876AA5"/>
    <w:rsid w:val="4C8A0C1D"/>
    <w:rsid w:val="4C8B61CE"/>
    <w:rsid w:val="4C8F299A"/>
    <w:rsid w:val="4C97604D"/>
    <w:rsid w:val="4CAA1387"/>
    <w:rsid w:val="4CB43CD7"/>
    <w:rsid w:val="4CC50B32"/>
    <w:rsid w:val="4CC823D1"/>
    <w:rsid w:val="4CCF418E"/>
    <w:rsid w:val="4CD31551"/>
    <w:rsid w:val="4CDE13BE"/>
    <w:rsid w:val="4CDE2D1C"/>
    <w:rsid w:val="4CE32F81"/>
    <w:rsid w:val="4CE425FB"/>
    <w:rsid w:val="4CED7717"/>
    <w:rsid w:val="4CEE4E99"/>
    <w:rsid w:val="4CF109D4"/>
    <w:rsid w:val="4CF44D53"/>
    <w:rsid w:val="4D0C0535"/>
    <w:rsid w:val="4D0E00FB"/>
    <w:rsid w:val="4D113D78"/>
    <w:rsid w:val="4D176606"/>
    <w:rsid w:val="4D1A12FB"/>
    <w:rsid w:val="4D200FBF"/>
    <w:rsid w:val="4D2E3FEE"/>
    <w:rsid w:val="4D3245B5"/>
    <w:rsid w:val="4D3402BA"/>
    <w:rsid w:val="4D371A30"/>
    <w:rsid w:val="4D3F2693"/>
    <w:rsid w:val="4D4B1038"/>
    <w:rsid w:val="4D5711AA"/>
    <w:rsid w:val="4D5A665F"/>
    <w:rsid w:val="4D5E4344"/>
    <w:rsid w:val="4D5E6D65"/>
    <w:rsid w:val="4D5F2739"/>
    <w:rsid w:val="4D6B266C"/>
    <w:rsid w:val="4D6C7200"/>
    <w:rsid w:val="4D6D5452"/>
    <w:rsid w:val="4D7E060B"/>
    <w:rsid w:val="4D9535EA"/>
    <w:rsid w:val="4D9A38A9"/>
    <w:rsid w:val="4D9A4DB8"/>
    <w:rsid w:val="4D9B50BA"/>
    <w:rsid w:val="4D9C6910"/>
    <w:rsid w:val="4D9F3688"/>
    <w:rsid w:val="4DA4699A"/>
    <w:rsid w:val="4DA70238"/>
    <w:rsid w:val="4DAC2F4C"/>
    <w:rsid w:val="4DB01A1A"/>
    <w:rsid w:val="4DB80713"/>
    <w:rsid w:val="4DBE1A86"/>
    <w:rsid w:val="4DC813F1"/>
    <w:rsid w:val="4DC91F90"/>
    <w:rsid w:val="4DC94652"/>
    <w:rsid w:val="4DD411CC"/>
    <w:rsid w:val="4DD83C34"/>
    <w:rsid w:val="4DDA5BB6"/>
    <w:rsid w:val="4DE263ED"/>
    <w:rsid w:val="4DE630CC"/>
    <w:rsid w:val="4DEC4FB0"/>
    <w:rsid w:val="4DEC5398"/>
    <w:rsid w:val="4DEF4176"/>
    <w:rsid w:val="4DF516A2"/>
    <w:rsid w:val="4DF67695"/>
    <w:rsid w:val="4DFB5605"/>
    <w:rsid w:val="4DFD41FB"/>
    <w:rsid w:val="4E0336C0"/>
    <w:rsid w:val="4E047438"/>
    <w:rsid w:val="4E06026C"/>
    <w:rsid w:val="4E075D8A"/>
    <w:rsid w:val="4E0E3D55"/>
    <w:rsid w:val="4E11738D"/>
    <w:rsid w:val="4E1521B0"/>
    <w:rsid w:val="4E1B3590"/>
    <w:rsid w:val="4E347D1E"/>
    <w:rsid w:val="4E3B5CAD"/>
    <w:rsid w:val="4E3C7A10"/>
    <w:rsid w:val="4E404914"/>
    <w:rsid w:val="4E456BDA"/>
    <w:rsid w:val="4E4B5067"/>
    <w:rsid w:val="4E4C2032"/>
    <w:rsid w:val="4E561001"/>
    <w:rsid w:val="4E5643FF"/>
    <w:rsid w:val="4E68211A"/>
    <w:rsid w:val="4E6A1991"/>
    <w:rsid w:val="4E71255A"/>
    <w:rsid w:val="4E7356A1"/>
    <w:rsid w:val="4E7A5D97"/>
    <w:rsid w:val="4E7B3764"/>
    <w:rsid w:val="4E810A89"/>
    <w:rsid w:val="4E812288"/>
    <w:rsid w:val="4E8428DD"/>
    <w:rsid w:val="4E870795"/>
    <w:rsid w:val="4E8A7E8A"/>
    <w:rsid w:val="4E8E38F1"/>
    <w:rsid w:val="4E947BB8"/>
    <w:rsid w:val="4E9A6500"/>
    <w:rsid w:val="4E9E646A"/>
    <w:rsid w:val="4EB37C3D"/>
    <w:rsid w:val="4EB40E5E"/>
    <w:rsid w:val="4EB90223"/>
    <w:rsid w:val="4EBD3763"/>
    <w:rsid w:val="4EC00FAD"/>
    <w:rsid w:val="4EC201C3"/>
    <w:rsid w:val="4EC32FF8"/>
    <w:rsid w:val="4EC33BA0"/>
    <w:rsid w:val="4EC7103F"/>
    <w:rsid w:val="4EC83B07"/>
    <w:rsid w:val="4ED04B92"/>
    <w:rsid w:val="4EE07EA5"/>
    <w:rsid w:val="4EE51E8F"/>
    <w:rsid w:val="4EF456FF"/>
    <w:rsid w:val="4EF83441"/>
    <w:rsid w:val="4EFE64FC"/>
    <w:rsid w:val="4F0040A4"/>
    <w:rsid w:val="4F041DE6"/>
    <w:rsid w:val="4F074804"/>
    <w:rsid w:val="4F0771E0"/>
    <w:rsid w:val="4F0F6E17"/>
    <w:rsid w:val="4F13001E"/>
    <w:rsid w:val="4F174463"/>
    <w:rsid w:val="4F190D64"/>
    <w:rsid w:val="4F1D44DC"/>
    <w:rsid w:val="4F1E5158"/>
    <w:rsid w:val="4F243C2C"/>
    <w:rsid w:val="4F280008"/>
    <w:rsid w:val="4F2C53DC"/>
    <w:rsid w:val="4F300C1C"/>
    <w:rsid w:val="4F332307"/>
    <w:rsid w:val="4F33740B"/>
    <w:rsid w:val="4F364DBE"/>
    <w:rsid w:val="4F3930A8"/>
    <w:rsid w:val="4F3F6884"/>
    <w:rsid w:val="4F493C9D"/>
    <w:rsid w:val="4F5148FF"/>
    <w:rsid w:val="4F553ABF"/>
    <w:rsid w:val="4F610D6D"/>
    <w:rsid w:val="4F6C3D97"/>
    <w:rsid w:val="4F7043C3"/>
    <w:rsid w:val="4F7277DF"/>
    <w:rsid w:val="4F8624A9"/>
    <w:rsid w:val="4F967CD7"/>
    <w:rsid w:val="4F97429E"/>
    <w:rsid w:val="4F976143"/>
    <w:rsid w:val="4F9843DC"/>
    <w:rsid w:val="4FA36773"/>
    <w:rsid w:val="4FA965C7"/>
    <w:rsid w:val="4FAF0C94"/>
    <w:rsid w:val="4FBF5D0D"/>
    <w:rsid w:val="4FC24FED"/>
    <w:rsid w:val="4FC62A8C"/>
    <w:rsid w:val="4FD765C5"/>
    <w:rsid w:val="4FDA5733"/>
    <w:rsid w:val="4FDE7696"/>
    <w:rsid w:val="4FE20F0D"/>
    <w:rsid w:val="4FE47521"/>
    <w:rsid w:val="4FE51552"/>
    <w:rsid w:val="4FE6773D"/>
    <w:rsid w:val="4FEB6B02"/>
    <w:rsid w:val="4FED4FDF"/>
    <w:rsid w:val="4FFC3E97"/>
    <w:rsid w:val="500364BB"/>
    <w:rsid w:val="50073BAB"/>
    <w:rsid w:val="5009759E"/>
    <w:rsid w:val="500B3889"/>
    <w:rsid w:val="500F77D1"/>
    <w:rsid w:val="501D3B75"/>
    <w:rsid w:val="50243DC2"/>
    <w:rsid w:val="502B1973"/>
    <w:rsid w:val="50340756"/>
    <w:rsid w:val="50371D47"/>
    <w:rsid w:val="503F0BFC"/>
    <w:rsid w:val="50446212"/>
    <w:rsid w:val="50485D02"/>
    <w:rsid w:val="504B06AB"/>
    <w:rsid w:val="50504C4B"/>
    <w:rsid w:val="505A77E4"/>
    <w:rsid w:val="506B51B0"/>
    <w:rsid w:val="50821724"/>
    <w:rsid w:val="50821C8A"/>
    <w:rsid w:val="508403B9"/>
    <w:rsid w:val="508A0853"/>
    <w:rsid w:val="509C6E7C"/>
    <w:rsid w:val="50A02E6C"/>
    <w:rsid w:val="50A40932"/>
    <w:rsid w:val="50A955ED"/>
    <w:rsid w:val="50AD025B"/>
    <w:rsid w:val="50B73A69"/>
    <w:rsid w:val="50BA24EF"/>
    <w:rsid w:val="50CB4205"/>
    <w:rsid w:val="50D15CF8"/>
    <w:rsid w:val="50DA429D"/>
    <w:rsid w:val="50E81CB8"/>
    <w:rsid w:val="50E83434"/>
    <w:rsid w:val="50EF1F01"/>
    <w:rsid w:val="50FB51EE"/>
    <w:rsid w:val="50FC37CC"/>
    <w:rsid w:val="5100038B"/>
    <w:rsid w:val="51085492"/>
    <w:rsid w:val="510B71B7"/>
    <w:rsid w:val="51121308"/>
    <w:rsid w:val="5119144D"/>
    <w:rsid w:val="511B50BD"/>
    <w:rsid w:val="511B51C5"/>
    <w:rsid w:val="511E568D"/>
    <w:rsid w:val="51246EB8"/>
    <w:rsid w:val="512F0C70"/>
    <w:rsid w:val="5133132A"/>
    <w:rsid w:val="513B489A"/>
    <w:rsid w:val="51423430"/>
    <w:rsid w:val="51447ED3"/>
    <w:rsid w:val="51530173"/>
    <w:rsid w:val="515C50ED"/>
    <w:rsid w:val="515D0B7B"/>
    <w:rsid w:val="515D5C50"/>
    <w:rsid w:val="5162104E"/>
    <w:rsid w:val="516C5A20"/>
    <w:rsid w:val="516C72A2"/>
    <w:rsid w:val="51711289"/>
    <w:rsid w:val="517319AD"/>
    <w:rsid w:val="51735001"/>
    <w:rsid w:val="51741536"/>
    <w:rsid w:val="51764AF1"/>
    <w:rsid w:val="518A25EC"/>
    <w:rsid w:val="51984A67"/>
    <w:rsid w:val="519D41BE"/>
    <w:rsid w:val="519F20E6"/>
    <w:rsid w:val="51A21356"/>
    <w:rsid w:val="51A50BFA"/>
    <w:rsid w:val="51AB3076"/>
    <w:rsid w:val="51AC28BD"/>
    <w:rsid w:val="51B028A0"/>
    <w:rsid w:val="51BD5BC1"/>
    <w:rsid w:val="51D8730D"/>
    <w:rsid w:val="51DD691E"/>
    <w:rsid w:val="51DF61F2"/>
    <w:rsid w:val="51F06651"/>
    <w:rsid w:val="51F26FC8"/>
    <w:rsid w:val="51F8392E"/>
    <w:rsid w:val="51FC0A11"/>
    <w:rsid w:val="51FE0D6E"/>
    <w:rsid w:val="51FE2294"/>
    <w:rsid w:val="520143BB"/>
    <w:rsid w:val="520420FD"/>
    <w:rsid w:val="52086E69"/>
    <w:rsid w:val="520E65E0"/>
    <w:rsid w:val="520F496B"/>
    <w:rsid w:val="5229133D"/>
    <w:rsid w:val="522C128B"/>
    <w:rsid w:val="52321467"/>
    <w:rsid w:val="523A13C9"/>
    <w:rsid w:val="52405B6C"/>
    <w:rsid w:val="52412A09"/>
    <w:rsid w:val="52455161"/>
    <w:rsid w:val="524744D4"/>
    <w:rsid w:val="52560EF8"/>
    <w:rsid w:val="525775DE"/>
    <w:rsid w:val="525D2AE3"/>
    <w:rsid w:val="526112FD"/>
    <w:rsid w:val="5261584E"/>
    <w:rsid w:val="52674432"/>
    <w:rsid w:val="526947F5"/>
    <w:rsid w:val="52743DE8"/>
    <w:rsid w:val="52766C01"/>
    <w:rsid w:val="5281370D"/>
    <w:rsid w:val="52846D9A"/>
    <w:rsid w:val="52975EEA"/>
    <w:rsid w:val="52AC5C47"/>
    <w:rsid w:val="52B23907"/>
    <w:rsid w:val="52B23CBC"/>
    <w:rsid w:val="52B41F34"/>
    <w:rsid w:val="52B50E88"/>
    <w:rsid w:val="52BC09E1"/>
    <w:rsid w:val="52BC45D8"/>
    <w:rsid w:val="52BE482B"/>
    <w:rsid w:val="52C823A8"/>
    <w:rsid w:val="52CB6C65"/>
    <w:rsid w:val="52CF270B"/>
    <w:rsid w:val="52D96D1C"/>
    <w:rsid w:val="52E74282"/>
    <w:rsid w:val="52E77591"/>
    <w:rsid w:val="52EA7726"/>
    <w:rsid w:val="530B16F1"/>
    <w:rsid w:val="53141638"/>
    <w:rsid w:val="53153C0C"/>
    <w:rsid w:val="532002F2"/>
    <w:rsid w:val="53204909"/>
    <w:rsid w:val="53231E9E"/>
    <w:rsid w:val="532420A3"/>
    <w:rsid w:val="53302731"/>
    <w:rsid w:val="53382046"/>
    <w:rsid w:val="53430783"/>
    <w:rsid w:val="534E1882"/>
    <w:rsid w:val="534F2226"/>
    <w:rsid w:val="535367A5"/>
    <w:rsid w:val="535A53CF"/>
    <w:rsid w:val="535B7CED"/>
    <w:rsid w:val="5365094C"/>
    <w:rsid w:val="536B290F"/>
    <w:rsid w:val="536C4A8A"/>
    <w:rsid w:val="536F5F7E"/>
    <w:rsid w:val="53806410"/>
    <w:rsid w:val="53962C9E"/>
    <w:rsid w:val="53973C1A"/>
    <w:rsid w:val="539A6875"/>
    <w:rsid w:val="539D0113"/>
    <w:rsid w:val="539E62B6"/>
    <w:rsid w:val="539F032F"/>
    <w:rsid w:val="53A039CC"/>
    <w:rsid w:val="53A122EC"/>
    <w:rsid w:val="53A1505A"/>
    <w:rsid w:val="53A441D1"/>
    <w:rsid w:val="53AD039C"/>
    <w:rsid w:val="53B82C62"/>
    <w:rsid w:val="53B86F6A"/>
    <w:rsid w:val="53BA6F17"/>
    <w:rsid w:val="53BC5A15"/>
    <w:rsid w:val="53BD2563"/>
    <w:rsid w:val="53C45C9E"/>
    <w:rsid w:val="53C53E81"/>
    <w:rsid w:val="53D41B71"/>
    <w:rsid w:val="53DA70F1"/>
    <w:rsid w:val="53DF59F7"/>
    <w:rsid w:val="53E144A4"/>
    <w:rsid w:val="53E14A1D"/>
    <w:rsid w:val="53E21FCA"/>
    <w:rsid w:val="53E36D11"/>
    <w:rsid w:val="53E42050"/>
    <w:rsid w:val="53E455B6"/>
    <w:rsid w:val="53E612C9"/>
    <w:rsid w:val="53E804B6"/>
    <w:rsid w:val="53EC2E48"/>
    <w:rsid w:val="53F3587D"/>
    <w:rsid w:val="53F57F4F"/>
    <w:rsid w:val="53FD5056"/>
    <w:rsid w:val="54027899"/>
    <w:rsid w:val="54063E08"/>
    <w:rsid w:val="54095C24"/>
    <w:rsid w:val="54140B2A"/>
    <w:rsid w:val="541C372E"/>
    <w:rsid w:val="54342609"/>
    <w:rsid w:val="543437E8"/>
    <w:rsid w:val="543A2EA9"/>
    <w:rsid w:val="543F3071"/>
    <w:rsid w:val="5445084F"/>
    <w:rsid w:val="54454DB1"/>
    <w:rsid w:val="544666CF"/>
    <w:rsid w:val="54475DED"/>
    <w:rsid w:val="544B1B62"/>
    <w:rsid w:val="544F0844"/>
    <w:rsid w:val="544F58E0"/>
    <w:rsid w:val="54502D52"/>
    <w:rsid w:val="54657BD2"/>
    <w:rsid w:val="547215A0"/>
    <w:rsid w:val="54732FDB"/>
    <w:rsid w:val="54780C4E"/>
    <w:rsid w:val="547C41CC"/>
    <w:rsid w:val="548457F1"/>
    <w:rsid w:val="54883230"/>
    <w:rsid w:val="54883D71"/>
    <w:rsid w:val="549279F4"/>
    <w:rsid w:val="549A5EE9"/>
    <w:rsid w:val="549D6934"/>
    <w:rsid w:val="54A37B65"/>
    <w:rsid w:val="54A57CFE"/>
    <w:rsid w:val="54A94A67"/>
    <w:rsid w:val="54C56444"/>
    <w:rsid w:val="54C82840"/>
    <w:rsid w:val="54D53FCC"/>
    <w:rsid w:val="54DD4654"/>
    <w:rsid w:val="54EF7847"/>
    <w:rsid w:val="54F05465"/>
    <w:rsid w:val="54F26714"/>
    <w:rsid w:val="54F40207"/>
    <w:rsid w:val="54F73313"/>
    <w:rsid w:val="54F80955"/>
    <w:rsid w:val="55020B76"/>
    <w:rsid w:val="550375D1"/>
    <w:rsid w:val="550C7C9E"/>
    <w:rsid w:val="55147E09"/>
    <w:rsid w:val="551C775D"/>
    <w:rsid w:val="551D6150"/>
    <w:rsid w:val="55264684"/>
    <w:rsid w:val="552D1C3E"/>
    <w:rsid w:val="552D3719"/>
    <w:rsid w:val="55363E50"/>
    <w:rsid w:val="55452810"/>
    <w:rsid w:val="55454CC8"/>
    <w:rsid w:val="554848BA"/>
    <w:rsid w:val="554F60D0"/>
    <w:rsid w:val="555170A7"/>
    <w:rsid w:val="55570796"/>
    <w:rsid w:val="55592A2E"/>
    <w:rsid w:val="555E00CB"/>
    <w:rsid w:val="55681C52"/>
    <w:rsid w:val="557070DC"/>
    <w:rsid w:val="557742E6"/>
    <w:rsid w:val="5577646D"/>
    <w:rsid w:val="557B26D6"/>
    <w:rsid w:val="557C414F"/>
    <w:rsid w:val="557D1859"/>
    <w:rsid w:val="557E7D2B"/>
    <w:rsid w:val="558160E5"/>
    <w:rsid w:val="5583158B"/>
    <w:rsid w:val="5587107B"/>
    <w:rsid w:val="5587536D"/>
    <w:rsid w:val="558C3EFE"/>
    <w:rsid w:val="558E4010"/>
    <w:rsid w:val="55966EF8"/>
    <w:rsid w:val="5598354E"/>
    <w:rsid w:val="559A50C1"/>
    <w:rsid w:val="559B174B"/>
    <w:rsid w:val="55A734CB"/>
    <w:rsid w:val="55AB51B7"/>
    <w:rsid w:val="55B00597"/>
    <w:rsid w:val="55BA127A"/>
    <w:rsid w:val="55BB275B"/>
    <w:rsid w:val="55C61B82"/>
    <w:rsid w:val="55CC5C27"/>
    <w:rsid w:val="55CC77A6"/>
    <w:rsid w:val="55CE0CF4"/>
    <w:rsid w:val="55CE2806"/>
    <w:rsid w:val="55DB4F23"/>
    <w:rsid w:val="55DE14CA"/>
    <w:rsid w:val="55E23A15"/>
    <w:rsid w:val="55F34962"/>
    <w:rsid w:val="55FB249F"/>
    <w:rsid w:val="56051FA0"/>
    <w:rsid w:val="56052390"/>
    <w:rsid w:val="56066443"/>
    <w:rsid w:val="560A4E39"/>
    <w:rsid w:val="560B1CAC"/>
    <w:rsid w:val="560C332E"/>
    <w:rsid w:val="562073C2"/>
    <w:rsid w:val="56233E2B"/>
    <w:rsid w:val="562804CC"/>
    <w:rsid w:val="562E5978"/>
    <w:rsid w:val="563034C0"/>
    <w:rsid w:val="56383990"/>
    <w:rsid w:val="563D09E9"/>
    <w:rsid w:val="563F3595"/>
    <w:rsid w:val="563F54B2"/>
    <w:rsid w:val="56417C4B"/>
    <w:rsid w:val="56436DEA"/>
    <w:rsid w:val="56441C93"/>
    <w:rsid w:val="56451E4C"/>
    <w:rsid w:val="564735D2"/>
    <w:rsid w:val="564B02FA"/>
    <w:rsid w:val="564D1F93"/>
    <w:rsid w:val="565809C8"/>
    <w:rsid w:val="565847C5"/>
    <w:rsid w:val="56597128"/>
    <w:rsid w:val="565C5AA9"/>
    <w:rsid w:val="565D3B8A"/>
    <w:rsid w:val="565F3782"/>
    <w:rsid w:val="56625965"/>
    <w:rsid w:val="567052A4"/>
    <w:rsid w:val="56717635"/>
    <w:rsid w:val="567275FC"/>
    <w:rsid w:val="567914D1"/>
    <w:rsid w:val="567B169F"/>
    <w:rsid w:val="5685000B"/>
    <w:rsid w:val="56867CBB"/>
    <w:rsid w:val="568715E9"/>
    <w:rsid w:val="568B06F7"/>
    <w:rsid w:val="5697709C"/>
    <w:rsid w:val="569B3810"/>
    <w:rsid w:val="56A96DCF"/>
    <w:rsid w:val="56B219D7"/>
    <w:rsid w:val="56B22A9C"/>
    <w:rsid w:val="56B539C6"/>
    <w:rsid w:val="56B91F1D"/>
    <w:rsid w:val="56BC4D54"/>
    <w:rsid w:val="56BE5ABA"/>
    <w:rsid w:val="56C24C59"/>
    <w:rsid w:val="56C97471"/>
    <w:rsid w:val="56CA65A1"/>
    <w:rsid w:val="56CC4F86"/>
    <w:rsid w:val="56CD7B35"/>
    <w:rsid w:val="56CF2477"/>
    <w:rsid w:val="56D123A7"/>
    <w:rsid w:val="56D20B13"/>
    <w:rsid w:val="56D26737"/>
    <w:rsid w:val="56D45B12"/>
    <w:rsid w:val="56D743D4"/>
    <w:rsid w:val="56D90919"/>
    <w:rsid w:val="56DF0A43"/>
    <w:rsid w:val="56E31118"/>
    <w:rsid w:val="56E83D9B"/>
    <w:rsid w:val="56F4648F"/>
    <w:rsid w:val="56F50A93"/>
    <w:rsid w:val="56FC555B"/>
    <w:rsid w:val="570E17B8"/>
    <w:rsid w:val="57172725"/>
    <w:rsid w:val="57223EA4"/>
    <w:rsid w:val="57253D43"/>
    <w:rsid w:val="57521214"/>
    <w:rsid w:val="575223DF"/>
    <w:rsid w:val="57533D66"/>
    <w:rsid w:val="57570C9A"/>
    <w:rsid w:val="57645497"/>
    <w:rsid w:val="57696EE6"/>
    <w:rsid w:val="577072BF"/>
    <w:rsid w:val="57795F69"/>
    <w:rsid w:val="577D60E1"/>
    <w:rsid w:val="5785458A"/>
    <w:rsid w:val="57885615"/>
    <w:rsid w:val="578D2770"/>
    <w:rsid w:val="578D66F1"/>
    <w:rsid w:val="578E1256"/>
    <w:rsid w:val="579051E9"/>
    <w:rsid w:val="5792537F"/>
    <w:rsid w:val="579346D1"/>
    <w:rsid w:val="5794182D"/>
    <w:rsid w:val="57953DAE"/>
    <w:rsid w:val="579F0B0E"/>
    <w:rsid w:val="57AD28EF"/>
    <w:rsid w:val="57B72A76"/>
    <w:rsid w:val="57BA277F"/>
    <w:rsid w:val="57BB4089"/>
    <w:rsid w:val="57BC7813"/>
    <w:rsid w:val="57BE7B82"/>
    <w:rsid w:val="57C11FC5"/>
    <w:rsid w:val="57C3426C"/>
    <w:rsid w:val="57CE1F93"/>
    <w:rsid w:val="57CF318E"/>
    <w:rsid w:val="57D26A53"/>
    <w:rsid w:val="57D47AED"/>
    <w:rsid w:val="57DF0B24"/>
    <w:rsid w:val="57DF393A"/>
    <w:rsid w:val="57E16E8F"/>
    <w:rsid w:val="57E95AC7"/>
    <w:rsid w:val="57F4510A"/>
    <w:rsid w:val="57F657B1"/>
    <w:rsid w:val="57F77DDD"/>
    <w:rsid w:val="57F8000E"/>
    <w:rsid w:val="58020E8D"/>
    <w:rsid w:val="5807028E"/>
    <w:rsid w:val="580E682E"/>
    <w:rsid w:val="581846DD"/>
    <w:rsid w:val="581E589F"/>
    <w:rsid w:val="581F37ED"/>
    <w:rsid w:val="5823146A"/>
    <w:rsid w:val="582C6290"/>
    <w:rsid w:val="58391D10"/>
    <w:rsid w:val="58396153"/>
    <w:rsid w:val="583F4356"/>
    <w:rsid w:val="583F79EB"/>
    <w:rsid w:val="58417C07"/>
    <w:rsid w:val="58472DCB"/>
    <w:rsid w:val="584A2216"/>
    <w:rsid w:val="58546918"/>
    <w:rsid w:val="58562F86"/>
    <w:rsid w:val="585711D8"/>
    <w:rsid w:val="585D60C3"/>
    <w:rsid w:val="585F008D"/>
    <w:rsid w:val="58603B9A"/>
    <w:rsid w:val="58680F22"/>
    <w:rsid w:val="586D09FC"/>
    <w:rsid w:val="586E7E8F"/>
    <w:rsid w:val="587538B5"/>
    <w:rsid w:val="58757B0F"/>
    <w:rsid w:val="587672C9"/>
    <w:rsid w:val="587A4C3C"/>
    <w:rsid w:val="587B083D"/>
    <w:rsid w:val="58845D45"/>
    <w:rsid w:val="588743D1"/>
    <w:rsid w:val="5887701A"/>
    <w:rsid w:val="589A7ED5"/>
    <w:rsid w:val="589F2192"/>
    <w:rsid w:val="58A01EEE"/>
    <w:rsid w:val="58A41F44"/>
    <w:rsid w:val="58AA50DC"/>
    <w:rsid w:val="58AB32D2"/>
    <w:rsid w:val="58B373D2"/>
    <w:rsid w:val="58BC103B"/>
    <w:rsid w:val="58C46E3D"/>
    <w:rsid w:val="58C80137"/>
    <w:rsid w:val="58C90842"/>
    <w:rsid w:val="58CD4FF7"/>
    <w:rsid w:val="58D2376D"/>
    <w:rsid w:val="58D41EBB"/>
    <w:rsid w:val="58DB5C12"/>
    <w:rsid w:val="58DE3625"/>
    <w:rsid w:val="58E72AE7"/>
    <w:rsid w:val="58E81EDF"/>
    <w:rsid w:val="58E862D4"/>
    <w:rsid w:val="58ED5699"/>
    <w:rsid w:val="58EF0374"/>
    <w:rsid w:val="58F20A2E"/>
    <w:rsid w:val="58F20F01"/>
    <w:rsid w:val="58F3077A"/>
    <w:rsid w:val="58F44EBC"/>
    <w:rsid w:val="590100CA"/>
    <w:rsid w:val="59050C34"/>
    <w:rsid w:val="590564D7"/>
    <w:rsid w:val="590B32DC"/>
    <w:rsid w:val="590B4DC0"/>
    <w:rsid w:val="590C5424"/>
    <w:rsid w:val="590E1874"/>
    <w:rsid w:val="591D50AE"/>
    <w:rsid w:val="59372D3D"/>
    <w:rsid w:val="5938332B"/>
    <w:rsid w:val="59385E71"/>
    <w:rsid w:val="593B10F6"/>
    <w:rsid w:val="593D342B"/>
    <w:rsid w:val="594120C4"/>
    <w:rsid w:val="594E2814"/>
    <w:rsid w:val="59507A54"/>
    <w:rsid w:val="595B0854"/>
    <w:rsid w:val="595B56FE"/>
    <w:rsid w:val="596120F0"/>
    <w:rsid w:val="596423F7"/>
    <w:rsid w:val="596974D2"/>
    <w:rsid w:val="596F4300"/>
    <w:rsid w:val="59747B68"/>
    <w:rsid w:val="59803DCC"/>
    <w:rsid w:val="5984081B"/>
    <w:rsid w:val="598558D1"/>
    <w:rsid w:val="5986567D"/>
    <w:rsid w:val="598A5B73"/>
    <w:rsid w:val="598A7039"/>
    <w:rsid w:val="598A7F20"/>
    <w:rsid w:val="598D6049"/>
    <w:rsid w:val="59900BE9"/>
    <w:rsid w:val="599668F7"/>
    <w:rsid w:val="599F73C0"/>
    <w:rsid w:val="59AF0332"/>
    <w:rsid w:val="59C0439F"/>
    <w:rsid w:val="59C80A21"/>
    <w:rsid w:val="59C95F43"/>
    <w:rsid w:val="59CD0BD9"/>
    <w:rsid w:val="59CE248B"/>
    <w:rsid w:val="59D37031"/>
    <w:rsid w:val="59DB5E85"/>
    <w:rsid w:val="59DD74BB"/>
    <w:rsid w:val="59E3084A"/>
    <w:rsid w:val="59E44CEE"/>
    <w:rsid w:val="59EE18A4"/>
    <w:rsid w:val="59EE33AE"/>
    <w:rsid w:val="59F24F7E"/>
    <w:rsid w:val="59F3772A"/>
    <w:rsid w:val="59F51695"/>
    <w:rsid w:val="59F57EA7"/>
    <w:rsid w:val="5A093EC3"/>
    <w:rsid w:val="5A0F5C98"/>
    <w:rsid w:val="5A131A8C"/>
    <w:rsid w:val="5A1D61FA"/>
    <w:rsid w:val="5A1F62FB"/>
    <w:rsid w:val="5A243AEA"/>
    <w:rsid w:val="5A2C317E"/>
    <w:rsid w:val="5A2E267B"/>
    <w:rsid w:val="5A2E2818"/>
    <w:rsid w:val="5A333433"/>
    <w:rsid w:val="5A346EB9"/>
    <w:rsid w:val="5A382944"/>
    <w:rsid w:val="5A3879CE"/>
    <w:rsid w:val="5A4371E7"/>
    <w:rsid w:val="5A464451"/>
    <w:rsid w:val="5A493177"/>
    <w:rsid w:val="5A4B6B1B"/>
    <w:rsid w:val="5A4E660B"/>
    <w:rsid w:val="5A5343F7"/>
    <w:rsid w:val="5A544A98"/>
    <w:rsid w:val="5A606013"/>
    <w:rsid w:val="5A6574B1"/>
    <w:rsid w:val="5A690B5A"/>
    <w:rsid w:val="5A691E77"/>
    <w:rsid w:val="5A6B7714"/>
    <w:rsid w:val="5A826344"/>
    <w:rsid w:val="5A8E2657"/>
    <w:rsid w:val="5A9643C6"/>
    <w:rsid w:val="5A9D3DC6"/>
    <w:rsid w:val="5AA068EF"/>
    <w:rsid w:val="5AA77AC9"/>
    <w:rsid w:val="5ABE2233"/>
    <w:rsid w:val="5ABF2EA2"/>
    <w:rsid w:val="5AC034D1"/>
    <w:rsid w:val="5AC610F4"/>
    <w:rsid w:val="5AD14852"/>
    <w:rsid w:val="5ADA5831"/>
    <w:rsid w:val="5ADD07DB"/>
    <w:rsid w:val="5ADD34EB"/>
    <w:rsid w:val="5AE244BD"/>
    <w:rsid w:val="5AE259CE"/>
    <w:rsid w:val="5AEC3D25"/>
    <w:rsid w:val="5AEF2DFF"/>
    <w:rsid w:val="5AF02B4E"/>
    <w:rsid w:val="5AF45982"/>
    <w:rsid w:val="5AF7109D"/>
    <w:rsid w:val="5AF8090C"/>
    <w:rsid w:val="5B0A4D6B"/>
    <w:rsid w:val="5B127639"/>
    <w:rsid w:val="5B166A16"/>
    <w:rsid w:val="5B186800"/>
    <w:rsid w:val="5B2847D6"/>
    <w:rsid w:val="5B2B06FA"/>
    <w:rsid w:val="5B3A5112"/>
    <w:rsid w:val="5B5019C1"/>
    <w:rsid w:val="5B503C92"/>
    <w:rsid w:val="5B632B72"/>
    <w:rsid w:val="5B6339F0"/>
    <w:rsid w:val="5B634980"/>
    <w:rsid w:val="5B693586"/>
    <w:rsid w:val="5B6F05E7"/>
    <w:rsid w:val="5B7200D7"/>
    <w:rsid w:val="5B793214"/>
    <w:rsid w:val="5B7F0130"/>
    <w:rsid w:val="5B886DCE"/>
    <w:rsid w:val="5B994919"/>
    <w:rsid w:val="5BA37815"/>
    <w:rsid w:val="5BA71169"/>
    <w:rsid w:val="5BAB5397"/>
    <w:rsid w:val="5BB029AE"/>
    <w:rsid w:val="5BC014EB"/>
    <w:rsid w:val="5BC33CA3"/>
    <w:rsid w:val="5BC4623A"/>
    <w:rsid w:val="5BC5230E"/>
    <w:rsid w:val="5BD45438"/>
    <w:rsid w:val="5BD635B4"/>
    <w:rsid w:val="5BDA4670"/>
    <w:rsid w:val="5BDF5D95"/>
    <w:rsid w:val="5BE320EB"/>
    <w:rsid w:val="5BE32D83"/>
    <w:rsid w:val="5BF21A53"/>
    <w:rsid w:val="5BF26EDC"/>
    <w:rsid w:val="5BF27147"/>
    <w:rsid w:val="5BF83865"/>
    <w:rsid w:val="5BFD30FD"/>
    <w:rsid w:val="5BFE7528"/>
    <w:rsid w:val="5C005E8D"/>
    <w:rsid w:val="5C02714E"/>
    <w:rsid w:val="5C0703B3"/>
    <w:rsid w:val="5C0827EA"/>
    <w:rsid w:val="5C0A7E72"/>
    <w:rsid w:val="5C2C4C6B"/>
    <w:rsid w:val="5C383DA3"/>
    <w:rsid w:val="5C3A6600"/>
    <w:rsid w:val="5C3B666F"/>
    <w:rsid w:val="5C470ACE"/>
    <w:rsid w:val="5C48498B"/>
    <w:rsid w:val="5C4C048C"/>
    <w:rsid w:val="5C557C0D"/>
    <w:rsid w:val="5C5D6C9C"/>
    <w:rsid w:val="5C5E30D8"/>
    <w:rsid w:val="5C654924"/>
    <w:rsid w:val="5C6B59C8"/>
    <w:rsid w:val="5C6D4B06"/>
    <w:rsid w:val="5C775059"/>
    <w:rsid w:val="5C806B65"/>
    <w:rsid w:val="5C8E203C"/>
    <w:rsid w:val="5CA00E74"/>
    <w:rsid w:val="5CA41329"/>
    <w:rsid w:val="5CA57FF1"/>
    <w:rsid w:val="5CAA7713"/>
    <w:rsid w:val="5CAC022B"/>
    <w:rsid w:val="5CC051CE"/>
    <w:rsid w:val="5CC15922"/>
    <w:rsid w:val="5CC3183C"/>
    <w:rsid w:val="5CC901CB"/>
    <w:rsid w:val="5CCB18FE"/>
    <w:rsid w:val="5CD639E3"/>
    <w:rsid w:val="5CDC12BC"/>
    <w:rsid w:val="5CDC19FF"/>
    <w:rsid w:val="5CDD7C50"/>
    <w:rsid w:val="5CED210B"/>
    <w:rsid w:val="5CEF46CF"/>
    <w:rsid w:val="5CF6735B"/>
    <w:rsid w:val="5CFA0FA9"/>
    <w:rsid w:val="5CFE770A"/>
    <w:rsid w:val="5D0822A8"/>
    <w:rsid w:val="5D0B433F"/>
    <w:rsid w:val="5D0F6B14"/>
    <w:rsid w:val="5D131446"/>
    <w:rsid w:val="5D145980"/>
    <w:rsid w:val="5D2B0BA2"/>
    <w:rsid w:val="5D303DA6"/>
    <w:rsid w:val="5D35760E"/>
    <w:rsid w:val="5D40333D"/>
    <w:rsid w:val="5D4367C0"/>
    <w:rsid w:val="5D4B35B7"/>
    <w:rsid w:val="5D4E450D"/>
    <w:rsid w:val="5D4F02C2"/>
    <w:rsid w:val="5D50508A"/>
    <w:rsid w:val="5D5346BB"/>
    <w:rsid w:val="5D604EDA"/>
    <w:rsid w:val="5D635F29"/>
    <w:rsid w:val="5D762C66"/>
    <w:rsid w:val="5D7D01F9"/>
    <w:rsid w:val="5D81605E"/>
    <w:rsid w:val="5D836C1B"/>
    <w:rsid w:val="5D8663E4"/>
    <w:rsid w:val="5D8A6ECC"/>
    <w:rsid w:val="5D8E1C9C"/>
    <w:rsid w:val="5D9E058D"/>
    <w:rsid w:val="5DA42896"/>
    <w:rsid w:val="5DA672C1"/>
    <w:rsid w:val="5DA86A39"/>
    <w:rsid w:val="5DAB1E3B"/>
    <w:rsid w:val="5DAE1930"/>
    <w:rsid w:val="5DAE78AC"/>
    <w:rsid w:val="5DB239C4"/>
    <w:rsid w:val="5DB572EF"/>
    <w:rsid w:val="5DB67E9C"/>
    <w:rsid w:val="5DB85154"/>
    <w:rsid w:val="5DC12509"/>
    <w:rsid w:val="5DD0709C"/>
    <w:rsid w:val="5DDB002E"/>
    <w:rsid w:val="5DF245F1"/>
    <w:rsid w:val="5DF70D68"/>
    <w:rsid w:val="5DF75DF1"/>
    <w:rsid w:val="5DFD0936"/>
    <w:rsid w:val="5E0968EF"/>
    <w:rsid w:val="5E0C3CAE"/>
    <w:rsid w:val="5E1452DD"/>
    <w:rsid w:val="5E153F01"/>
    <w:rsid w:val="5E2467F1"/>
    <w:rsid w:val="5E273F47"/>
    <w:rsid w:val="5E2C0A12"/>
    <w:rsid w:val="5E3641C2"/>
    <w:rsid w:val="5E391380"/>
    <w:rsid w:val="5E3B2F89"/>
    <w:rsid w:val="5E3B6EA6"/>
    <w:rsid w:val="5E3E79C9"/>
    <w:rsid w:val="5E48511F"/>
    <w:rsid w:val="5E51556C"/>
    <w:rsid w:val="5E53174C"/>
    <w:rsid w:val="5E574118"/>
    <w:rsid w:val="5E577EF0"/>
    <w:rsid w:val="5E5B0410"/>
    <w:rsid w:val="5E62666A"/>
    <w:rsid w:val="5E663254"/>
    <w:rsid w:val="5E695F0B"/>
    <w:rsid w:val="5E6A778C"/>
    <w:rsid w:val="5E706C46"/>
    <w:rsid w:val="5E762B30"/>
    <w:rsid w:val="5E7F7B66"/>
    <w:rsid w:val="5E836331"/>
    <w:rsid w:val="5E895FEC"/>
    <w:rsid w:val="5E9F5687"/>
    <w:rsid w:val="5EA15D4B"/>
    <w:rsid w:val="5EA62054"/>
    <w:rsid w:val="5EA92062"/>
    <w:rsid w:val="5EB00087"/>
    <w:rsid w:val="5EB14C3F"/>
    <w:rsid w:val="5EBB2505"/>
    <w:rsid w:val="5EC10DCB"/>
    <w:rsid w:val="5EC549C2"/>
    <w:rsid w:val="5ECC5D50"/>
    <w:rsid w:val="5ED66BCF"/>
    <w:rsid w:val="5EE211F5"/>
    <w:rsid w:val="5EEF341C"/>
    <w:rsid w:val="5EF027A2"/>
    <w:rsid w:val="5EF06C4F"/>
    <w:rsid w:val="5EFA2462"/>
    <w:rsid w:val="5EFC2720"/>
    <w:rsid w:val="5F0932AE"/>
    <w:rsid w:val="5F096FA4"/>
    <w:rsid w:val="5F0E502B"/>
    <w:rsid w:val="5F116711"/>
    <w:rsid w:val="5F1A2B43"/>
    <w:rsid w:val="5F1F422E"/>
    <w:rsid w:val="5F2976B3"/>
    <w:rsid w:val="5F2C29DB"/>
    <w:rsid w:val="5F306D8B"/>
    <w:rsid w:val="5F3E5E3E"/>
    <w:rsid w:val="5F4F2140"/>
    <w:rsid w:val="5F5024DD"/>
    <w:rsid w:val="5F50744C"/>
    <w:rsid w:val="5F571ABE"/>
    <w:rsid w:val="5F593525"/>
    <w:rsid w:val="5F5F4E16"/>
    <w:rsid w:val="5F692A55"/>
    <w:rsid w:val="5F6A7425"/>
    <w:rsid w:val="5F6F0822"/>
    <w:rsid w:val="5F6F4C44"/>
    <w:rsid w:val="5F702936"/>
    <w:rsid w:val="5F70500B"/>
    <w:rsid w:val="5F716230"/>
    <w:rsid w:val="5F7302EE"/>
    <w:rsid w:val="5F816A4C"/>
    <w:rsid w:val="5F8C1FFD"/>
    <w:rsid w:val="5F915E5D"/>
    <w:rsid w:val="5F922AF6"/>
    <w:rsid w:val="5F926365"/>
    <w:rsid w:val="5F950838"/>
    <w:rsid w:val="5F9873C4"/>
    <w:rsid w:val="5F9D139A"/>
    <w:rsid w:val="5FA32F55"/>
    <w:rsid w:val="5FA523A5"/>
    <w:rsid w:val="5FA6034F"/>
    <w:rsid w:val="5FA647F3"/>
    <w:rsid w:val="5FA840C8"/>
    <w:rsid w:val="5FAD5B82"/>
    <w:rsid w:val="5FB837BB"/>
    <w:rsid w:val="5FBF1411"/>
    <w:rsid w:val="5FC30F01"/>
    <w:rsid w:val="5FC32030"/>
    <w:rsid w:val="5FC7404B"/>
    <w:rsid w:val="5FD56E87"/>
    <w:rsid w:val="5FDD7591"/>
    <w:rsid w:val="5FDE58EB"/>
    <w:rsid w:val="5FE07D05"/>
    <w:rsid w:val="5FE35555"/>
    <w:rsid w:val="5FE77A3C"/>
    <w:rsid w:val="5FEC7DEC"/>
    <w:rsid w:val="5FEE2EC4"/>
    <w:rsid w:val="5FEE32EF"/>
    <w:rsid w:val="5FEF53F7"/>
    <w:rsid w:val="5FFE5B9B"/>
    <w:rsid w:val="6005151A"/>
    <w:rsid w:val="60056E82"/>
    <w:rsid w:val="60124491"/>
    <w:rsid w:val="60172FFB"/>
    <w:rsid w:val="601D48A9"/>
    <w:rsid w:val="602D3A1C"/>
    <w:rsid w:val="603262EF"/>
    <w:rsid w:val="60376B02"/>
    <w:rsid w:val="603E67DA"/>
    <w:rsid w:val="604757E5"/>
    <w:rsid w:val="60506A49"/>
    <w:rsid w:val="60510748"/>
    <w:rsid w:val="605325BC"/>
    <w:rsid w:val="60536729"/>
    <w:rsid w:val="605373E7"/>
    <w:rsid w:val="60625708"/>
    <w:rsid w:val="60632846"/>
    <w:rsid w:val="6065020A"/>
    <w:rsid w:val="60671B1B"/>
    <w:rsid w:val="60677D0C"/>
    <w:rsid w:val="606930DB"/>
    <w:rsid w:val="60747DE8"/>
    <w:rsid w:val="60805044"/>
    <w:rsid w:val="60866601"/>
    <w:rsid w:val="60A551E3"/>
    <w:rsid w:val="60A56859"/>
    <w:rsid w:val="60B41741"/>
    <w:rsid w:val="60B81FC6"/>
    <w:rsid w:val="60BD12E1"/>
    <w:rsid w:val="60C47ACF"/>
    <w:rsid w:val="60C70EC5"/>
    <w:rsid w:val="60CB6517"/>
    <w:rsid w:val="60CC405A"/>
    <w:rsid w:val="60CE5DB0"/>
    <w:rsid w:val="60DD5FF3"/>
    <w:rsid w:val="60EA22BD"/>
    <w:rsid w:val="60F0178A"/>
    <w:rsid w:val="60F670B5"/>
    <w:rsid w:val="610139B4"/>
    <w:rsid w:val="6101652E"/>
    <w:rsid w:val="610379FC"/>
    <w:rsid w:val="61046F44"/>
    <w:rsid w:val="610B7004"/>
    <w:rsid w:val="610D0C72"/>
    <w:rsid w:val="61130ED3"/>
    <w:rsid w:val="6115769F"/>
    <w:rsid w:val="611759A9"/>
    <w:rsid w:val="611B344F"/>
    <w:rsid w:val="611F0EB5"/>
    <w:rsid w:val="611F514C"/>
    <w:rsid w:val="612560C5"/>
    <w:rsid w:val="61291671"/>
    <w:rsid w:val="61324CCE"/>
    <w:rsid w:val="614845B4"/>
    <w:rsid w:val="61500EBB"/>
    <w:rsid w:val="61572491"/>
    <w:rsid w:val="6159768F"/>
    <w:rsid w:val="615C1D94"/>
    <w:rsid w:val="615D559B"/>
    <w:rsid w:val="61600AAB"/>
    <w:rsid w:val="61601F36"/>
    <w:rsid w:val="616E1356"/>
    <w:rsid w:val="617320A8"/>
    <w:rsid w:val="61803767"/>
    <w:rsid w:val="618A6A46"/>
    <w:rsid w:val="618B6149"/>
    <w:rsid w:val="61923215"/>
    <w:rsid w:val="619335A0"/>
    <w:rsid w:val="61972646"/>
    <w:rsid w:val="619850C5"/>
    <w:rsid w:val="6199791F"/>
    <w:rsid w:val="619D2C5A"/>
    <w:rsid w:val="61A308B4"/>
    <w:rsid w:val="61AB2D15"/>
    <w:rsid w:val="61AB60F1"/>
    <w:rsid w:val="61AD4FE4"/>
    <w:rsid w:val="61BD035E"/>
    <w:rsid w:val="61BD7BD2"/>
    <w:rsid w:val="61BF5E45"/>
    <w:rsid w:val="61C91E35"/>
    <w:rsid w:val="61D16C2E"/>
    <w:rsid w:val="61D62F3C"/>
    <w:rsid w:val="61E215D8"/>
    <w:rsid w:val="61E55405"/>
    <w:rsid w:val="61EB0BE3"/>
    <w:rsid w:val="61FC40F2"/>
    <w:rsid w:val="61FF01EB"/>
    <w:rsid w:val="620530C5"/>
    <w:rsid w:val="620A7866"/>
    <w:rsid w:val="62127F1E"/>
    <w:rsid w:val="621A0C60"/>
    <w:rsid w:val="621B3775"/>
    <w:rsid w:val="621D6AA4"/>
    <w:rsid w:val="62273244"/>
    <w:rsid w:val="622A0D38"/>
    <w:rsid w:val="62364782"/>
    <w:rsid w:val="62382A94"/>
    <w:rsid w:val="623B10F8"/>
    <w:rsid w:val="625C0C89"/>
    <w:rsid w:val="625E2A66"/>
    <w:rsid w:val="626101CD"/>
    <w:rsid w:val="62636F31"/>
    <w:rsid w:val="62644844"/>
    <w:rsid w:val="626C3986"/>
    <w:rsid w:val="626F35C2"/>
    <w:rsid w:val="627E1822"/>
    <w:rsid w:val="627F52AC"/>
    <w:rsid w:val="62830E1C"/>
    <w:rsid w:val="628864B6"/>
    <w:rsid w:val="62894684"/>
    <w:rsid w:val="62921F5D"/>
    <w:rsid w:val="62967742"/>
    <w:rsid w:val="62975D11"/>
    <w:rsid w:val="62976675"/>
    <w:rsid w:val="62980A4D"/>
    <w:rsid w:val="629B61F5"/>
    <w:rsid w:val="62A51328"/>
    <w:rsid w:val="62A54D47"/>
    <w:rsid w:val="62A80F69"/>
    <w:rsid w:val="62B1780C"/>
    <w:rsid w:val="62B32B5C"/>
    <w:rsid w:val="62BA1744"/>
    <w:rsid w:val="62C63EB7"/>
    <w:rsid w:val="62C765F0"/>
    <w:rsid w:val="62D8390F"/>
    <w:rsid w:val="62D92E88"/>
    <w:rsid w:val="62D97BC9"/>
    <w:rsid w:val="62DB6432"/>
    <w:rsid w:val="62E179C1"/>
    <w:rsid w:val="62F6339C"/>
    <w:rsid w:val="62F772F7"/>
    <w:rsid w:val="62FC5438"/>
    <w:rsid w:val="6300246C"/>
    <w:rsid w:val="6304211F"/>
    <w:rsid w:val="6306019D"/>
    <w:rsid w:val="63082571"/>
    <w:rsid w:val="630A1768"/>
    <w:rsid w:val="630B4679"/>
    <w:rsid w:val="631515F2"/>
    <w:rsid w:val="631A3228"/>
    <w:rsid w:val="631D5758"/>
    <w:rsid w:val="631F6AF4"/>
    <w:rsid w:val="632E3B85"/>
    <w:rsid w:val="63351CAA"/>
    <w:rsid w:val="633640E0"/>
    <w:rsid w:val="63370F5F"/>
    <w:rsid w:val="63377300"/>
    <w:rsid w:val="63393B10"/>
    <w:rsid w:val="633A3443"/>
    <w:rsid w:val="634429BD"/>
    <w:rsid w:val="6352192B"/>
    <w:rsid w:val="635A6EFB"/>
    <w:rsid w:val="635F6700"/>
    <w:rsid w:val="63694D48"/>
    <w:rsid w:val="636F1A45"/>
    <w:rsid w:val="63770F3A"/>
    <w:rsid w:val="63795746"/>
    <w:rsid w:val="637B686F"/>
    <w:rsid w:val="637E2C22"/>
    <w:rsid w:val="637E4E58"/>
    <w:rsid w:val="637F7835"/>
    <w:rsid w:val="638221FF"/>
    <w:rsid w:val="638601B6"/>
    <w:rsid w:val="6386606E"/>
    <w:rsid w:val="638B37B2"/>
    <w:rsid w:val="638D0C6D"/>
    <w:rsid w:val="63926986"/>
    <w:rsid w:val="6394356A"/>
    <w:rsid w:val="6396402E"/>
    <w:rsid w:val="639855BF"/>
    <w:rsid w:val="639D5F0D"/>
    <w:rsid w:val="63A159FD"/>
    <w:rsid w:val="63B079EF"/>
    <w:rsid w:val="63B50BF2"/>
    <w:rsid w:val="63B5399A"/>
    <w:rsid w:val="63C61B2C"/>
    <w:rsid w:val="63CE7FF6"/>
    <w:rsid w:val="63D35B23"/>
    <w:rsid w:val="63D40BE9"/>
    <w:rsid w:val="63E853DA"/>
    <w:rsid w:val="63E878EA"/>
    <w:rsid w:val="63EB4ECB"/>
    <w:rsid w:val="63F72784"/>
    <w:rsid w:val="63F7386F"/>
    <w:rsid w:val="63FB41F7"/>
    <w:rsid w:val="640116B3"/>
    <w:rsid w:val="640F6E0B"/>
    <w:rsid w:val="64102431"/>
    <w:rsid w:val="64142C2F"/>
    <w:rsid w:val="64183E80"/>
    <w:rsid w:val="642E6B65"/>
    <w:rsid w:val="643028DD"/>
    <w:rsid w:val="64352553"/>
    <w:rsid w:val="64460353"/>
    <w:rsid w:val="644A5CC1"/>
    <w:rsid w:val="644C3595"/>
    <w:rsid w:val="644F3607"/>
    <w:rsid w:val="64566D75"/>
    <w:rsid w:val="646275E1"/>
    <w:rsid w:val="646A2293"/>
    <w:rsid w:val="6472739A"/>
    <w:rsid w:val="6476781C"/>
    <w:rsid w:val="647C54E3"/>
    <w:rsid w:val="649C7F73"/>
    <w:rsid w:val="64A31301"/>
    <w:rsid w:val="64A5243A"/>
    <w:rsid w:val="64A62BA0"/>
    <w:rsid w:val="64A66831"/>
    <w:rsid w:val="64A66A16"/>
    <w:rsid w:val="64A70DF2"/>
    <w:rsid w:val="64A82A93"/>
    <w:rsid w:val="64AC0EEF"/>
    <w:rsid w:val="64BE76B9"/>
    <w:rsid w:val="64D8544F"/>
    <w:rsid w:val="64DA2C7F"/>
    <w:rsid w:val="64DB0A9B"/>
    <w:rsid w:val="64DD208C"/>
    <w:rsid w:val="64DE058B"/>
    <w:rsid w:val="64DF440C"/>
    <w:rsid w:val="64E35BA2"/>
    <w:rsid w:val="64ED6433"/>
    <w:rsid w:val="64F22C4F"/>
    <w:rsid w:val="64F531DE"/>
    <w:rsid w:val="64FD2397"/>
    <w:rsid w:val="64FF16AF"/>
    <w:rsid w:val="65013772"/>
    <w:rsid w:val="650B36A5"/>
    <w:rsid w:val="650F7CFD"/>
    <w:rsid w:val="65140808"/>
    <w:rsid w:val="651D2358"/>
    <w:rsid w:val="65206C7A"/>
    <w:rsid w:val="65250642"/>
    <w:rsid w:val="65256CF4"/>
    <w:rsid w:val="652A4D5F"/>
    <w:rsid w:val="65322C66"/>
    <w:rsid w:val="65373578"/>
    <w:rsid w:val="653B3089"/>
    <w:rsid w:val="6544632F"/>
    <w:rsid w:val="654614FB"/>
    <w:rsid w:val="65472703"/>
    <w:rsid w:val="655A374A"/>
    <w:rsid w:val="655E28EA"/>
    <w:rsid w:val="656D038A"/>
    <w:rsid w:val="65713906"/>
    <w:rsid w:val="657C1F62"/>
    <w:rsid w:val="65827169"/>
    <w:rsid w:val="65841133"/>
    <w:rsid w:val="65870C23"/>
    <w:rsid w:val="658A1928"/>
    <w:rsid w:val="658A7C58"/>
    <w:rsid w:val="658C5A86"/>
    <w:rsid w:val="659B6099"/>
    <w:rsid w:val="65A2242B"/>
    <w:rsid w:val="65AD4A5B"/>
    <w:rsid w:val="65B366EA"/>
    <w:rsid w:val="65B763A9"/>
    <w:rsid w:val="65BA0674"/>
    <w:rsid w:val="65BC152C"/>
    <w:rsid w:val="65C07C91"/>
    <w:rsid w:val="65C85F90"/>
    <w:rsid w:val="65CB43FB"/>
    <w:rsid w:val="65CC4888"/>
    <w:rsid w:val="65CF05CE"/>
    <w:rsid w:val="65CF7132"/>
    <w:rsid w:val="65D42921"/>
    <w:rsid w:val="65D5198E"/>
    <w:rsid w:val="65E120E1"/>
    <w:rsid w:val="65E47E23"/>
    <w:rsid w:val="65EA561C"/>
    <w:rsid w:val="65EC557B"/>
    <w:rsid w:val="65F20086"/>
    <w:rsid w:val="65FF6A0B"/>
    <w:rsid w:val="66005868"/>
    <w:rsid w:val="660E4EA0"/>
    <w:rsid w:val="6617413C"/>
    <w:rsid w:val="66225632"/>
    <w:rsid w:val="66276EC1"/>
    <w:rsid w:val="66291CDA"/>
    <w:rsid w:val="66303DC2"/>
    <w:rsid w:val="663568D1"/>
    <w:rsid w:val="663F4EBC"/>
    <w:rsid w:val="66427552"/>
    <w:rsid w:val="6649257D"/>
    <w:rsid w:val="66522FDF"/>
    <w:rsid w:val="66650F64"/>
    <w:rsid w:val="66677E85"/>
    <w:rsid w:val="666B2582"/>
    <w:rsid w:val="666F5E1C"/>
    <w:rsid w:val="66780FBD"/>
    <w:rsid w:val="66807B4C"/>
    <w:rsid w:val="668549C3"/>
    <w:rsid w:val="66A3277A"/>
    <w:rsid w:val="66B15D46"/>
    <w:rsid w:val="66B3358D"/>
    <w:rsid w:val="66CF18C0"/>
    <w:rsid w:val="66D4381F"/>
    <w:rsid w:val="66DE298A"/>
    <w:rsid w:val="66E3770B"/>
    <w:rsid w:val="66E63727"/>
    <w:rsid w:val="66E856F1"/>
    <w:rsid w:val="66EF20EF"/>
    <w:rsid w:val="66F3668F"/>
    <w:rsid w:val="66F81DD8"/>
    <w:rsid w:val="66FB2F38"/>
    <w:rsid w:val="66FD38E6"/>
    <w:rsid w:val="66FE5F57"/>
    <w:rsid w:val="67047645"/>
    <w:rsid w:val="670E2295"/>
    <w:rsid w:val="670E22CE"/>
    <w:rsid w:val="671328EF"/>
    <w:rsid w:val="671C4941"/>
    <w:rsid w:val="671E7365"/>
    <w:rsid w:val="671F124A"/>
    <w:rsid w:val="671F55B7"/>
    <w:rsid w:val="67297466"/>
    <w:rsid w:val="672C45D9"/>
    <w:rsid w:val="672F1BBF"/>
    <w:rsid w:val="6734105D"/>
    <w:rsid w:val="673E2C7A"/>
    <w:rsid w:val="674D05F7"/>
    <w:rsid w:val="67566CD3"/>
    <w:rsid w:val="675A65EF"/>
    <w:rsid w:val="675D27C2"/>
    <w:rsid w:val="676669E2"/>
    <w:rsid w:val="676677FE"/>
    <w:rsid w:val="676A3BC6"/>
    <w:rsid w:val="676E209B"/>
    <w:rsid w:val="676F218E"/>
    <w:rsid w:val="677A33C6"/>
    <w:rsid w:val="678418BE"/>
    <w:rsid w:val="678D631F"/>
    <w:rsid w:val="679D12D4"/>
    <w:rsid w:val="679D4072"/>
    <w:rsid w:val="67AB0BF9"/>
    <w:rsid w:val="67AF38F8"/>
    <w:rsid w:val="67B6134C"/>
    <w:rsid w:val="67BD26DA"/>
    <w:rsid w:val="67C26AFE"/>
    <w:rsid w:val="67C63C85"/>
    <w:rsid w:val="67D76A10"/>
    <w:rsid w:val="67E763A5"/>
    <w:rsid w:val="67EC69EE"/>
    <w:rsid w:val="67F24FAC"/>
    <w:rsid w:val="67FA1B80"/>
    <w:rsid w:val="67FE71E6"/>
    <w:rsid w:val="681A6E8B"/>
    <w:rsid w:val="681F6961"/>
    <w:rsid w:val="682409AB"/>
    <w:rsid w:val="68243BF9"/>
    <w:rsid w:val="6829174D"/>
    <w:rsid w:val="683459B3"/>
    <w:rsid w:val="683631DC"/>
    <w:rsid w:val="684131D7"/>
    <w:rsid w:val="68424519"/>
    <w:rsid w:val="68430416"/>
    <w:rsid w:val="684C1346"/>
    <w:rsid w:val="684E3059"/>
    <w:rsid w:val="685B26EF"/>
    <w:rsid w:val="685B6C2B"/>
    <w:rsid w:val="685E3EBD"/>
    <w:rsid w:val="685F3791"/>
    <w:rsid w:val="68610A2F"/>
    <w:rsid w:val="686739D9"/>
    <w:rsid w:val="686F6E01"/>
    <w:rsid w:val="68742AA3"/>
    <w:rsid w:val="68774438"/>
    <w:rsid w:val="68805514"/>
    <w:rsid w:val="688A198A"/>
    <w:rsid w:val="689C5636"/>
    <w:rsid w:val="68A224C1"/>
    <w:rsid w:val="68A85467"/>
    <w:rsid w:val="68AA7AA8"/>
    <w:rsid w:val="68AE4F9A"/>
    <w:rsid w:val="68B77FE9"/>
    <w:rsid w:val="68BA4E6C"/>
    <w:rsid w:val="68C16928"/>
    <w:rsid w:val="68C77CB4"/>
    <w:rsid w:val="68C87588"/>
    <w:rsid w:val="68D134EA"/>
    <w:rsid w:val="68D42E3C"/>
    <w:rsid w:val="68D662DC"/>
    <w:rsid w:val="68D93E6E"/>
    <w:rsid w:val="68DF5215"/>
    <w:rsid w:val="68E94247"/>
    <w:rsid w:val="68EC69D0"/>
    <w:rsid w:val="68F15ADF"/>
    <w:rsid w:val="68F5791B"/>
    <w:rsid w:val="68FC3FFB"/>
    <w:rsid w:val="68FE11FC"/>
    <w:rsid w:val="690028D2"/>
    <w:rsid w:val="690031C6"/>
    <w:rsid w:val="69004F74"/>
    <w:rsid w:val="6903292F"/>
    <w:rsid w:val="69045FA6"/>
    <w:rsid w:val="69061224"/>
    <w:rsid w:val="6909793D"/>
    <w:rsid w:val="690C55A3"/>
    <w:rsid w:val="69116D5B"/>
    <w:rsid w:val="69140A20"/>
    <w:rsid w:val="691D4401"/>
    <w:rsid w:val="691F2BE3"/>
    <w:rsid w:val="69207B74"/>
    <w:rsid w:val="692213C1"/>
    <w:rsid w:val="69224EEB"/>
    <w:rsid w:val="69236EB5"/>
    <w:rsid w:val="69272501"/>
    <w:rsid w:val="6931512E"/>
    <w:rsid w:val="69316E2F"/>
    <w:rsid w:val="69330DF7"/>
    <w:rsid w:val="693370F8"/>
    <w:rsid w:val="693727D9"/>
    <w:rsid w:val="693E784B"/>
    <w:rsid w:val="6942558D"/>
    <w:rsid w:val="6949691B"/>
    <w:rsid w:val="694C5DA9"/>
    <w:rsid w:val="694E2071"/>
    <w:rsid w:val="6953779A"/>
    <w:rsid w:val="695417C2"/>
    <w:rsid w:val="6954706E"/>
    <w:rsid w:val="695B1A33"/>
    <w:rsid w:val="695B21AB"/>
    <w:rsid w:val="69652A6D"/>
    <w:rsid w:val="69692B1A"/>
    <w:rsid w:val="696A1876"/>
    <w:rsid w:val="69735746"/>
    <w:rsid w:val="69766163"/>
    <w:rsid w:val="697A3B33"/>
    <w:rsid w:val="697A71F6"/>
    <w:rsid w:val="697E527C"/>
    <w:rsid w:val="69846021"/>
    <w:rsid w:val="698C4871"/>
    <w:rsid w:val="699E2F58"/>
    <w:rsid w:val="69AD6D13"/>
    <w:rsid w:val="69B23B9D"/>
    <w:rsid w:val="69B875FD"/>
    <w:rsid w:val="69BA679F"/>
    <w:rsid w:val="69BF3B13"/>
    <w:rsid w:val="69C24530"/>
    <w:rsid w:val="69C3307B"/>
    <w:rsid w:val="69C84780"/>
    <w:rsid w:val="69CC5C05"/>
    <w:rsid w:val="69CE02FF"/>
    <w:rsid w:val="69D12417"/>
    <w:rsid w:val="69D372E8"/>
    <w:rsid w:val="69D44760"/>
    <w:rsid w:val="69DC05AC"/>
    <w:rsid w:val="69F05057"/>
    <w:rsid w:val="69F80D0F"/>
    <w:rsid w:val="6A086D94"/>
    <w:rsid w:val="6A1707C7"/>
    <w:rsid w:val="6A232950"/>
    <w:rsid w:val="6A284C5E"/>
    <w:rsid w:val="6A34231F"/>
    <w:rsid w:val="6A376E77"/>
    <w:rsid w:val="6A43771D"/>
    <w:rsid w:val="6A4569B1"/>
    <w:rsid w:val="6A4E0D05"/>
    <w:rsid w:val="6A5116A1"/>
    <w:rsid w:val="6A520EC7"/>
    <w:rsid w:val="6A573EC4"/>
    <w:rsid w:val="6A6D0853"/>
    <w:rsid w:val="6A7554EE"/>
    <w:rsid w:val="6A7C018E"/>
    <w:rsid w:val="6A842025"/>
    <w:rsid w:val="6A8568FA"/>
    <w:rsid w:val="6A876B90"/>
    <w:rsid w:val="6A8A5DA2"/>
    <w:rsid w:val="6AA4489F"/>
    <w:rsid w:val="6AA61B4B"/>
    <w:rsid w:val="6AC525E6"/>
    <w:rsid w:val="6AC83870"/>
    <w:rsid w:val="6ACA548D"/>
    <w:rsid w:val="6AD67827"/>
    <w:rsid w:val="6ADF0B16"/>
    <w:rsid w:val="6AE71E94"/>
    <w:rsid w:val="6AE83F12"/>
    <w:rsid w:val="6AEE41CC"/>
    <w:rsid w:val="6AF87E20"/>
    <w:rsid w:val="6AFC2F65"/>
    <w:rsid w:val="6AFE7291"/>
    <w:rsid w:val="6AFF6BBA"/>
    <w:rsid w:val="6B0B19AE"/>
    <w:rsid w:val="6B0B2767"/>
    <w:rsid w:val="6B0F5943"/>
    <w:rsid w:val="6B15453C"/>
    <w:rsid w:val="6B180D44"/>
    <w:rsid w:val="6B230226"/>
    <w:rsid w:val="6B2D7B77"/>
    <w:rsid w:val="6B322639"/>
    <w:rsid w:val="6B36000C"/>
    <w:rsid w:val="6B3F07C8"/>
    <w:rsid w:val="6B4518BE"/>
    <w:rsid w:val="6B49728D"/>
    <w:rsid w:val="6B4F0D37"/>
    <w:rsid w:val="6B553F4E"/>
    <w:rsid w:val="6B621DBD"/>
    <w:rsid w:val="6B6C68AA"/>
    <w:rsid w:val="6B712159"/>
    <w:rsid w:val="6B74731A"/>
    <w:rsid w:val="6B770B57"/>
    <w:rsid w:val="6B7E6624"/>
    <w:rsid w:val="6B853FEC"/>
    <w:rsid w:val="6B883445"/>
    <w:rsid w:val="6B8E07FD"/>
    <w:rsid w:val="6B8F25DF"/>
    <w:rsid w:val="6B96571C"/>
    <w:rsid w:val="6B99345E"/>
    <w:rsid w:val="6B9B737D"/>
    <w:rsid w:val="6B9F6CC6"/>
    <w:rsid w:val="6BA02A3F"/>
    <w:rsid w:val="6BA11BBA"/>
    <w:rsid w:val="6BAD3E9C"/>
    <w:rsid w:val="6BB14984"/>
    <w:rsid w:val="6BB22A33"/>
    <w:rsid w:val="6BB67B6C"/>
    <w:rsid w:val="6BB91977"/>
    <w:rsid w:val="6BC373D1"/>
    <w:rsid w:val="6BC52268"/>
    <w:rsid w:val="6BC524A5"/>
    <w:rsid w:val="6BC97BF5"/>
    <w:rsid w:val="6BC97EFC"/>
    <w:rsid w:val="6BCE4D71"/>
    <w:rsid w:val="6BD372D9"/>
    <w:rsid w:val="6BDB75D3"/>
    <w:rsid w:val="6BE23A64"/>
    <w:rsid w:val="6BEA5A68"/>
    <w:rsid w:val="6BEB4639"/>
    <w:rsid w:val="6BEB5FCA"/>
    <w:rsid w:val="6BF344BD"/>
    <w:rsid w:val="6BF5021A"/>
    <w:rsid w:val="6BF95CAB"/>
    <w:rsid w:val="6BF973A6"/>
    <w:rsid w:val="6BFD1C3F"/>
    <w:rsid w:val="6C0208BD"/>
    <w:rsid w:val="6C112E52"/>
    <w:rsid w:val="6C180A51"/>
    <w:rsid w:val="6C2052A3"/>
    <w:rsid w:val="6C2160DC"/>
    <w:rsid w:val="6C27495B"/>
    <w:rsid w:val="6C292A34"/>
    <w:rsid w:val="6C3F6237"/>
    <w:rsid w:val="6C4258A4"/>
    <w:rsid w:val="6C4935C3"/>
    <w:rsid w:val="6C512363"/>
    <w:rsid w:val="6C524B28"/>
    <w:rsid w:val="6C5A65E2"/>
    <w:rsid w:val="6C5B7F1B"/>
    <w:rsid w:val="6C5F2275"/>
    <w:rsid w:val="6C636C38"/>
    <w:rsid w:val="6C6770B8"/>
    <w:rsid w:val="6C69186D"/>
    <w:rsid w:val="6C6F2161"/>
    <w:rsid w:val="6C787517"/>
    <w:rsid w:val="6C7C0F9C"/>
    <w:rsid w:val="6C8163CC"/>
    <w:rsid w:val="6C827810"/>
    <w:rsid w:val="6C8655BE"/>
    <w:rsid w:val="6C892993"/>
    <w:rsid w:val="6C895281"/>
    <w:rsid w:val="6C9426DB"/>
    <w:rsid w:val="6C9C0599"/>
    <w:rsid w:val="6CA45CA7"/>
    <w:rsid w:val="6CAB0C56"/>
    <w:rsid w:val="6CB347D0"/>
    <w:rsid w:val="6CC56897"/>
    <w:rsid w:val="6CCA46B3"/>
    <w:rsid w:val="6CCC48CD"/>
    <w:rsid w:val="6CD7567B"/>
    <w:rsid w:val="6CE36AAC"/>
    <w:rsid w:val="6CE632CD"/>
    <w:rsid w:val="6CE87EDF"/>
    <w:rsid w:val="6CEB0EC0"/>
    <w:rsid w:val="6CEC7E82"/>
    <w:rsid w:val="6CF86297"/>
    <w:rsid w:val="6CF92406"/>
    <w:rsid w:val="6D0112BB"/>
    <w:rsid w:val="6D031B69"/>
    <w:rsid w:val="6D035AE3"/>
    <w:rsid w:val="6D0668D1"/>
    <w:rsid w:val="6D0A4613"/>
    <w:rsid w:val="6D1147C7"/>
    <w:rsid w:val="6D15307C"/>
    <w:rsid w:val="6D1920DA"/>
    <w:rsid w:val="6D1C037E"/>
    <w:rsid w:val="6D1C4347"/>
    <w:rsid w:val="6D1C44D4"/>
    <w:rsid w:val="6D2356D5"/>
    <w:rsid w:val="6D29585F"/>
    <w:rsid w:val="6D2C4FB6"/>
    <w:rsid w:val="6D305867"/>
    <w:rsid w:val="6D3216FC"/>
    <w:rsid w:val="6D326C1C"/>
    <w:rsid w:val="6D350F65"/>
    <w:rsid w:val="6D3934CC"/>
    <w:rsid w:val="6D3B2A1F"/>
    <w:rsid w:val="6D413DAD"/>
    <w:rsid w:val="6D4A4BAC"/>
    <w:rsid w:val="6D4E30D4"/>
    <w:rsid w:val="6D527369"/>
    <w:rsid w:val="6D570689"/>
    <w:rsid w:val="6D574DE6"/>
    <w:rsid w:val="6D5A2094"/>
    <w:rsid w:val="6D6205F3"/>
    <w:rsid w:val="6D637C61"/>
    <w:rsid w:val="6D655D6D"/>
    <w:rsid w:val="6D67340C"/>
    <w:rsid w:val="6D6878DA"/>
    <w:rsid w:val="6D6A6E60"/>
    <w:rsid w:val="6D6B4986"/>
    <w:rsid w:val="6D6E47AC"/>
    <w:rsid w:val="6D714162"/>
    <w:rsid w:val="6D755573"/>
    <w:rsid w:val="6D851995"/>
    <w:rsid w:val="6D8860A5"/>
    <w:rsid w:val="6D8C327A"/>
    <w:rsid w:val="6DA7098A"/>
    <w:rsid w:val="6DB042DB"/>
    <w:rsid w:val="6DB15728"/>
    <w:rsid w:val="6DB34098"/>
    <w:rsid w:val="6DB462E4"/>
    <w:rsid w:val="6DB545B6"/>
    <w:rsid w:val="6DB63056"/>
    <w:rsid w:val="6DBD2988"/>
    <w:rsid w:val="6DC5678C"/>
    <w:rsid w:val="6DCE5641"/>
    <w:rsid w:val="6DD644F6"/>
    <w:rsid w:val="6DDE15FC"/>
    <w:rsid w:val="6DE02FB4"/>
    <w:rsid w:val="6DE25953"/>
    <w:rsid w:val="6DE313AF"/>
    <w:rsid w:val="6DE85812"/>
    <w:rsid w:val="6DF02DEC"/>
    <w:rsid w:val="6DF131B8"/>
    <w:rsid w:val="6DF40E20"/>
    <w:rsid w:val="6DF60CDD"/>
    <w:rsid w:val="6DFD0543"/>
    <w:rsid w:val="6DFD137A"/>
    <w:rsid w:val="6E0950DD"/>
    <w:rsid w:val="6E0A2581"/>
    <w:rsid w:val="6E0B1F3F"/>
    <w:rsid w:val="6E196EE0"/>
    <w:rsid w:val="6E1A6AD8"/>
    <w:rsid w:val="6E1D63BF"/>
    <w:rsid w:val="6E254B52"/>
    <w:rsid w:val="6E2E4776"/>
    <w:rsid w:val="6E387103"/>
    <w:rsid w:val="6E471F4D"/>
    <w:rsid w:val="6E4771A1"/>
    <w:rsid w:val="6E514CED"/>
    <w:rsid w:val="6E515A07"/>
    <w:rsid w:val="6E565636"/>
    <w:rsid w:val="6E57044A"/>
    <w:rsid w:val="6E5A48B8"/>
    <w:rsid w:val="6E5B1C8C"/>
    <w:rsid w:val="6E5B575C"/>
    <w:rsid w:val="6E5D4C17"/>
    <w:rsid w:val="6E657628"/>
    <w:rsid w:val="6E6623CD"/>
    <w:rsid w:val="6E674F91"/>
    <w:rsid w:val="6E704291"/>
    <w:rsid w:val="6E811281"/>
    <w:rsid w:val="6E943FBB"/>
    <w:rsid w:val="6EAA005F"/>
    <w:rsid w:val="6EAF7A82"/>
    <w:rsid w:val="6EB02F99"/>
    <w:rsid w:val="6EB563D5"/>
    <w:rsid w:val="6EBE093D"/>
    <w:rsid w:val="6EC15AA3"/>
    <w:rsid w:val="6ED053E9"/>
    <w:rsid w:val="6ED92677"/>
    <w:rsid w:val="6EDA3E50"/>
    <w:rsid w:val="6EE17B7F"/>
    <w:rsid w:val="6EE34660"/>
    <w:rsid w:val="6EEB6413"/>
    <w:rsid w:val="6EEB6C2C"/>
    <w:rsid w:val="6EED4DD5"/>
    <w:rsid w:val="6EF90903"/>
    <w:rsid w:val="6F002C0D"/>
    <w:rsid w:val="6F0135A7"/>
    <w:rsid w:val="6F0C76CD"/>
    <w:rsid w:val="6F0F3530"/>
    <w:rsid w:val="6F225983"/>
    <w:rsid w:val="6F245233"/>
    <w:rsid w:val="6F264A9E"/>
    <w:rsid w:val="6F285CF7"/>
    <w:rsid w:val="6F2860B3"/>
    <w:rsid w:val="6F2A34B2"/>
    <w:rsid w:val="6F2C5FF8"/>
    <w:rsid w:val="6F325E67"/>
    <w:rsid w:val="6F3938DE"/>
    <w:rsid w:val="6F42334D"/>
    <w:rsid w:val="6F451933"/>
    <w:rsid w:val="6F481423"/>
    <w:rsid w:val="6F4B7DD1"/>
    <w:rsid w:val="6F4E1E36"/>
    <w:rsid w:val="6F4F68E3"/>
    <w:rsid w:val="6F515D60"/>
    <w:rsid w:val="6F5722E8"/>
    <w:rsid w:val="6F5E577F"/>
    <w:rsid w:val="6F636E31"/>
    <w:rsid w:val="6F6B1524"/>
    <w:rsid w:val="6F6C3363"/>
    <w:rsid w:val="6F751AEC"/>
    <w:rsid w:val="6F811397"/>
    <w:rsid w:val="6F836B0B"/>
    <w:rsid w:val="6F850120"/>
    <w:rsid w:val="6F854425"/>
    <w:rsid w:val="6F8E216A"/>
    <w:rsid w:val="6F916D91"/>
    <w:rsid w:val="6F9854BB"/>
    <w:rsid w:val="6FA028AE"/>
    <w:rsid w:val="6FA128E1"/>
    <w:rsid w:val="6FA26B38"/>
    <w:rsid w:val="6FA333B6"/>
    <w:rsid w:val="6FAF1B80"/>
    <w:rsid w:val="6FBB4A72"/>
    <w:rsid w:val="6FC0372E"/>
    <w:rsid w:val="6FC0720B"/>
    <w:rsid w:val="6FC35714"/>
    <w:rsid w:val="6FCE7B7A"/>
    <w:rsid w:val="6FD20959"/>
    <w:rsid w:val="6FD77184"/>
    <w:rsid w:val="6FDC550E"/>
    <w:rsid w:val="6FDE08CA"/>
    <w:rsid w:val="6FE5312D"/>
    <w:rsid w:val="6FEF2BB1"/>
    <w:rsid w:val="6FEF7BA6"/>
    <w:rsid w:val="6FF5479D"/>
    <w:rsid w:val="6FFC5590"/>
    <w:rsid w:val="70015793"/>
    <w:rsid w:val="70070860"/>
    <w:rsid w:val="700A2EBA"/>
    <w:rsid w:val="70102B68"/>
    <w:rsid w:val="701148BF"/>
    <w:rsid w:val="70131BF2"/>
    <w:rsid w:val="70147557"/>
    <w:rsid w:val="70194B6E"/>
    <w:rsid w:val="7023779A"/>
    <w:rsid w:val="702A28D7"/>
    <w:rsid w:val="702C6A27"/>
    <w:rsid w:val="702F0163"/>
    <w:rsid w:val="70340BDB"/>
    <w:rsid w:val="70383246"/>
    <w:rsid w:val="703E35EF"/>
    <w:rsid w:val="70482C3B"/>
    <w:rsid w:val="705160B5"/>
    <w:rsid w:val="70661C56"/>
    <w:rsid w:val="706707E4"/>
    <w:rsid w:val="7068367F"/>
    <w:rsid w:val="706C2EEF"/>
    <w:rsid w:val="706D1DD0"/>
    <w:rsid w:val="707A385E"/>
    <w:rsid w:val="70827064"/>
    <w:rsid w:val="70856B87"/>
    <w:rsid w:val="70896CFF"/>
    <w:rsid w:val="708E7A0F"/>
    <w:rsid w:val="70926DFA"/>
    <w:rsid w:val="70991987"/>
    <w:rsid w:val="709D6074"/>
    <w:rsid w:val="709D6A1D"/>
    <w:rsid w:val="709F1C61"/>
    <w:rsid w:val="70A427B6"/>
    <w:rsid w:val="70A503D6"/>
    <w:rsid w:val="70A75200"/>
    <w:rsid w:val="70B22F52"/>
    <w:rsid w:val="70B96C2C"/>
    <w:rsid w:val="70BC0FD8"/>
    <w:rsid w:val="70BE6479"/>
    <w:rsid w:val="70C504E8"/>
    <w:rsid w:val="70C50E09"/>
    <w:rsid w:val="70C76378"/>
    <w:rsid w:val="70D527EE"/>
    <w:rsid w:val="70D60FB3"/>
    <w:rsid w:val="70DE3AE6"/>
    <w:rsid w:val="70E47AC7"/>
    <w:rsid w:val="70E7214C"/>
    <w:rsid w:val="70EB6F9A"/>
    <w:rsid w:val="70EC5ABB"/>
    <w:rsid w:val="70ED20E8"/>
    <w:rsid w:val="70F03C9B"/>
    <w:rsid w:val="70F74C48"/>
    <w:rsid w:val="70F97914"/>
    <w:rsid w:val="710254C8"/>
    <w:rsid w:val="71061024"/>
    <w:rsid w:val="7113156F"/>
    <w:rsid w:val="711E56C5"/>
    <w:rsid w:val="71214BE1"/>
    <w:rsid w:val="7124712B"/>
    <w:rsid w:val="712B2DAA"/>
    <w:rsid w:val="713420C5"/>
    <w:rsid w:val="713A4D9B"/>
    <w:rsid w:val="713D45EF"/>
    <w:rsid w:val="713E68F1"/>
    <w:rsid w:val="713F1985"/>
    <w:rsid w:val="714B0D57"/>
    <w:rsid w:val="71522EF9"/>
    <w:rsid w:val="71557E27"/>
    <w:rsid w:val="71590FDC"/>
    <w:rsid w:val="715B486D"/>
    <w:rsid w:val="715B5300"/>
    <w:rsid w:val="715C11B6"/>
    <w:rsid w:val="715C2CB4"/>
    <w:rsid w:val="71676D88"/>
    <w:rsid w:val="716A7A68"/>
    <w:rsid w:val="71724BF4"/>
    <w:rsid w:val="7172726B"/>
    <w:rsid w:val="71752DEB"/>
    <w:rsid w:val="71755DD4"/>
    <w:rsid w:val="717946E8"/>
    <w:rsid w:val="717D51C0"/>
    <w:rsid w:val="71892F60"/>
    <w:rsid w:val="71A17BF5"/>
    <w:rsid w:val="71A60AD7"/>
    <w:rsid w:val="71A62431"/>
    <w:rsid w:val="71AB2D08"/>
    <w:rsid w:val="71AC7D91"/>
    <w:rsid w:val="71B15694"/>
    <w:rsid w:val="71BF425E"/>
    <w:rsid w:val="71C82CA0"/>
    <w:rsid w:val="71D15700"/>
    <w:rsid w:val="71D27F8A"/>
    <w:rsid w:val="71D371D0"/>
    <w:rsid w:val="71D800C8"/>
    <w:rsid w:val="71E2535D"/>
    <w:rsid w:val="71E573FD"/>
    <w:rsid w:val="71E63F20"/>
    <w:rsid w:val="71E82A49"/>
    <w:rsid w:val="71ED71C6"/>
    <w:rsid w:val="71F20E07"/>
    <w:rsid w:val="71F83599"/>
    <w:rsid w:val="71F907B3"/>
    <w:rsid w:val="72005FE5"/>
    <w:rsid w:val="720535FB"/>
    <w:rsid w:val="720A29C0"/>
    <w:rsid w:val="720D5E2F"/>
    <w:rsid w:val="72165809"/>
    <w:rsid w:val="7219067C"/>
    <w:rsid w:val="72203F91"/>
    <w:rsid w:val="723B70AA"/>
    <w:rsid w:val="723F3FFF"/>
    <w:rsid w:val="72402885"/>
    <w:rsid w:val="72440855"/>
    <w:rsid w:val="72553024"/>
    <w:rsid w:val="725B4445"/>
    <w:rsid w:val="725C39A2"/>
    <w:rsid w:val="725F32CD"/>
    <w:rsid w:val="726A16B0"/>
    <w:rsid w:val="726D5CBB"/>
    <w:rsid w:val="726E34C9"/>
    <w:rsid w:val="726F5270"/>
    <w:rsid w:val="72781E83"/>
    <w:rsid w:val="727F1DE7"/>
    <w:rsid w:val="728F13F9"/>
    <w:rsid w:val="729D7BEE"/>
    <w:rsid w:val="729F135A"/>
    <w:rsid w:val="72AB36C3"/>
    <w:rsid w:val="72AD7197"/>
    <w:rsid w:val="72AF2E9B"/>
    <w:rsid w:val="72AF4886"/>
    <w:rsid w:val="72AF5315"/>
    <w:rsid w:val="72CA0E97"/>
    <w:rsid w:val="72CF7087"/>
    <w:rsid w:val="72D059B7"/>
    <w:rsid w:val="72D07765"/>
    <w:rsid w:val="72D70FCE"/>
    <w:rsid w:val="72D944E7"/>
    <w:rsid w:val="72DD1E82"/>
    <w:rsid w:val="72E840ED"/>
    <w:rsid w:val="72FA6ED8"/>
    <w:rsid w:val="72FC1970"/>
    <w:rsid w:val="72FD36BB"/>
    <w:rsid w:val="72FF6553"/>
    <w:rsid w:val="7306141C"/>
    <w:rsid w:val="73122968"/>
    <w:rsid w:val="73131037"/>
    <w:rsid w:val="73134035"/>
    <w:rsid w:val="731765E6"/>
    <w:rsid w:val="731D00F6"/>
    <w:rsid w:val="731D6B1E"/>
    <w:rsid w:val="731F5D5E"/>
    <w:rsid w:val="73203F87"/>
    <w:rsid w:val="732147ED"/>
    <w:rsid w:val="73221F8B"/>
    <w:rsid w:val="73267628"/>
    <w:rsid w:val="73285B4D"/>
    <w:rsid w:val="732F4E6A"/>
    <w:rsid w:val="73342A8E"/>
    <w:rsid w:val="73366493"/>
    <w:rsid w:val="7341582F"/>
    <w:rsid w:val="73441884"/>
    <w:rsid w:val="73441D26"/>
    <w:rsid w:val="734E77D5"/>
    <w:rsid w:val="73530396"/>
    <w:rsid w:val="735B696D"/>
    <w:rsid w:val="735C5933"/>
    <w:rsid w:val="7362505B"/>
    <w:rsid w:val="73625BB7"/>
    <w:rsid w:val="73661E78"/>
    <w:rsid w:val="736808B4"/>
    <w:rsid w:val="736A40BC"/>
    <w:rsid w:val="736D1458"/>
    <w:rsid w:val="73700F48"/>
    <w:rsid w:val="737316E8"/>
    <w:rsid w:val="73776163"/>
    <w:rsid w:val="73796CBD"/>
    <w:rsid w:val="73797DFD"/>
    <w:rsid w:val="737D5D23"/>
    <w:rsid w:val="737E1A25"/>
    <w:rsid w:val="737F2F3A"/>
    <w:rsid w:val="73825D4D"/>
    <w:rsid w:val="7386076C"/>
    <w:rsid w:val="738F5872"/>
    <w:rsid w:val="739F538A"/>
    <w:rsid w:val="73AD766A"/>
    <w:rsid w:val="73AF2610"/>
    <w:rsid w:val="73AF515A"/>
    <w:rsid w:val="73BA5622"/>
    <w:rsid w:val="73BA5F48"/>
    <w:rsid w:val="73C51AD5"/>
    <w:rsid w:val="73C85B40"/>
    <w:rsid w:val="73C91FB4"/>
    <w:rsid w:val="73CC76C9"/>
    <w:rsid w:val="73D7251E"/>
    <w:rsid w:val="73F12089"/>
    <w:rsid w:val="73F152F7"/>
    <w:rsid w:val="73F73418"/>
    <w:rsid w:val="73F76F74"/>
    <w:rsid w:val="741A5169"/>
    <w:rsid w:val="741B5F6F"/>
    <w:rsid w:val="741E793C"/>
    <w:rsid w:val="74257F85"/>
    <w:rsid w:val="742C5B79"/>
    <w:rsid w:val="7444128F"/>
    <w:rsid w:val="74463A57"/>
    <w:rsid w:val="744D12DF"/>
    <w:rsid w:val="7452521E"/>
    <w:rsid w:val="745E3944"/>
    <w:rsid w:val="7464128A"/>
    <w:rsid w:val="74714F78"/>
    <w:rsid w:val="74732A9E"/>
    <w:rsid w:val="747800B5"/>
    <w:rsid w:val="74861462"/>
    <w:rsid w:val="7488601C"/>
    <w:rsid w:val="749063A1"/>
    <w:rsid w:val="74910796"/>
    <w:rsid w:val="74A013B9"/>
    <w:rsid w:val="74A022AC"/>
    <w:rsid w:val="74A4410A"/>
    <w:rsid w:val="74A607F9"/>
    <w:rsid w:val="74A85EB0"/>
    <w:rsid w:val="74AB5178"/>
    <w:rsid w:val="74AB5C30"/>
    <w:rsid w:val="74AE1D28"/>
    <w:rsid w:val="74AF103D"/>
    <w:rsid w:val="74B775E4"/>
    <w:rsid w:val="74C36C69"/>
    <w:rsid w:val="74C3761C"/>
    <w:rsid w:val="74CB78A4"/>
    <w:rsid w:val="74CE370B"/>
    <w:rsid w:val="74D55507"/>
    <w:rsid w:val="74DB737D"/>
    <w:rsid w:val="74DF6386"/>
    <w:rsid w:val="74E267D1"/>
    <w:rsid w:val="74ED1ED6"/>
    <w:rsid w:val="74EF4935"/>
    <w:rsid w:val="75047846"/>
    <w:rsid w:val="75066682"/>
    <w:rsid w:val="75085BB7"/>
    <w:rsid w:val="750D2EF3"/>
    <w:rsid w:val="750D4B8A"/>
    <w:rsid w:val="750D5F35"/>
    <w:rsid w:val="75130A3C"/>
    <w:rsid w:val="75134281"/>
    <w:rsid w:val="7513602F"/>
    <w:rsid w:val="751F0834"/>
    <w:rsid w:val="75226272"/>
    <w:rsid w:val="752A665F"/>
    <w:rsid w:val="75332942"/>
    <w:rsid w:val="75385A96"/>
    <w:rsid w:val="75442FFC"/>
    <w:rsid w:val="754B3061"/>
    <w:rsid w:val="754D3A38"/>
    <w:rsid w:val="754E66B7"/>
    <w:rsid w:val="755300CB"/>
    <w:rsid w:val="75542A4A"/>
    <w:rsid w:val="75577A04"/>
    <w:rsid w:val="75592207"/>
    <w:rsid w:val="7561323F"/>
    <w:rsid w:val="75752846"/>
    <w:rsid w:val="75784922"/>
    <w:rsid w:val="757A6033"/>
    <w:rsid w:val="75864A53"/>
    <w:rsid w:val="758E6DA3"/>
    <w:rsid w:val="759635CE"/>
    <w:rsid w:val="75994833"/>
    <w:rsid w:val="759B0CC7"/>
    <w:rsid w:val="759D778A"/>
    <w:rsid w:val="759E1D9D"/>
    <w:rsid w:val="759E7FEF"/>
    <w:rsid w:val="75A66BB7"/>
    <w:rsid w:val="75A82C1C"/>
    <w:rsid w:val="75A94E1A"/>
    <w:rsid w:val="75AD3016"/>
    <w:rsid w:val="75B97201"/>
    <w:rsid w:val="75BD6FA0"/>
    <w:rsid w:val="75BE5493"/>
    <w:rsid w:val="75BF2CF2"/>
    <w:rsid w:val="75C64E50"/>
    <w:rsid w:val="75C83DA3"/>
    <w:rsid w:val="75D25E44"/>
    <w:rsid w:val="75D62EAF"/>
    <w:rsid w:val="75E122E8"/>
    <w:rsid w:val="75E314E1"/>
    <w:rsid w:val="75E34C58"/>
    <w:rsid w:val="75EA6DC1"/>
    <w:rsid w:val="75EC5087"/>
    <w:rsid w:val="75EF43A6"/>
    <w:rsid w:val="75F44454"/>
    <w:rsid w:val="75F57767"/>
    <w:rsid w:val="75FD6934"/>
    <w:rsid w:val="760616F0"/>
    <w:rsid w:val="760969FB"/>
    <w:rsid w:val="761220F3"/>
    <w:rsid w:val="761C777D"/>
    <w:rsid w:val="761E403F"/>
    <w:rsid w:val="76205882"/>
    <w:rsid w:val="7629149D"/>
    <w:rsid w:val="762B1157"/>
    <w:rsid w:val="762E7A1A"/>
    <w:rsid w:val="762F0BB1"/>
    <w:rsid w:val="7635099D"/>
    <w:rsid w:val="7646556A"/>
    <w:rsid w:val="76530DD9"/>
    <w:rsid w:val="76592168"/>
    <w:rsid w:val="765B2104"/>
    <w:rsid w:val="765B5EE0"/>
    <w:rsid w:val="765B7C8E"/>
    <w:rsid w:val="76611C1D"/>
    <w:rsid w:val="76663C03"/>
    <w:rsid w:val="766B58D1"/>
    <w:rsid w:val="766D7DC9"/>
    <w:rsid w:val="767629A6"/>
    <w:rsid w:val="767D7DFF"/>
    <w:rsid w:val="76805946"/>
    <w:rsid w:val="768A40CF"/>
    <w:rsid w:val="768D033D"/>
    <w:rsid w:val="768D6460"/>
    <w:rsid w:val="769245DD"/>
    <w:rsid w:val="7696369C"/>
    <w:rsid w:val="769661E4"/>
    <w:rsid w:val="76A2794A"/>
    <w:rsid w:val="76A628BE"/>
    <w:rsid w:val="76A66CFD"/>
    <w:rsid w:val="76C03F95"/>
    <w:rsid w:val="76C62D39"/>
    <w:rsid w:val="76D26107"/>
    <w:rsid w:val="76D62116"/>
    <w:rsid w:val="76D91011"/>
    <w:rsid w:val="76D93845"/>
    <w:rsid w:val="76DE441B"/>
    <w:rsid w:val="76DE4B6E"/>
    <w:rsid w:val="76E81EA9"/>
    <w:rsid w:val="770342A5"/>
    <w:rsid w:val="770863A3"/>
    <w:rsid w:val="770976EA"/>
    <w:rsid w:val="771377F9"/>
    <w:rsid w:val="7717339E"/>
    <w:rsid w:val="771B06F9"/>
    <w:rsid w:val="77216056"/>
    <w:rsid w:val="773329B9"/>
    <w:rsid w:val="77354636"/>
    <w:rsid w:val="7739358F"/>
    <w:rsid w:val="77620D2F"/>
    <w:rsid w:val="77676119"/>
    <w:rsid w:val="776E39F1"/>
    <w:rsid w:val="77762421"/>
    <w:rsid w:val="777C4360"/>
    <w:rsid w:val="77822FF8"/>
    <w:rsid w:val="779C1A04"/>
    <w:rsid w:val="77A3571E"/>
    <w:rsid w:val="77B27D81"/>
    <w:rsid w:val="77B315C6"/>
    <w:rsid w:val="77B31E9C"/>
    <w:rsid w:val="77B56B1F"/>
    <w:rsid w:val="77BD355A"/>
    <w:rsid w:val="77C20D0A"/>
    <w:rsid w:val="77C22409"/>
    <w:rsid w:val="77CB0ED0"/>
    <w:rsid w:val="77D44A90"/>
    <w:rsid w:val="77D60D85"/>
    <w:rsid w:val="77DC2E91"/>
    <w:rsid w:val="77E34CB2"/>
    <w:rsid w:val="77E4165D"/>
    <w:rsid w:val="77E624EC"/>
    <w:rsid w:val="77F9775E"/>
    <w:rsid w:val="78012CBC"/>
    <w:rsid w:val="7801310F"/>
    <w:rsid w:val="78034139"/>
    <w:rsid w:val="780A2C37"/>
    <w:rsid w:val="780C2A7F"/>
    <w:rsid w:val="780F09F4"/>
    <w:rsid w:val="780F0D30"/>
    <w:rsid w:val="780F71B0"/>
    <w:rsid w:val="781B5927"/>
    <w:rsid w:val="782446B8"/>
    <w:rsid w:val="78283ED7"/>
    <w:rsid w:val="78372035"/>
    <w:rsid w:val="78412EB3"/>
    <w:rsid w:val="7842045C"/>
    <w:rsid w:val="784E54AF"/>
    <w:rsid w:val="785249A2"/>
    <w:rsid w:val="78543C5E"/>
    <w:rsid w:val="78590D35"/>
    <w:rsid w:val="785A7E30"/>
    <w:rsid w:val="785E6707"/>
    <w:rsid w:val="78656092"/>
    <w:rsid w:val="78657FA9"/>
    <w:rsid w:val="786D2419"/>
    <w:rsid w:val="78722E90"/>
    <w:rsid w:val="787768D5"/>
    <w:rsid w:val="788306DC"/>
    <w:rsid w:val="78830FA6"/>
    <w:rsid w:val="78911745"/>
    <w:rsid w:val="78915BE9"/>
    <w:rsid w:val="78926BAA"/>
    <w:rsid w:val="78992CEF"/>
    <w:rsid w:val="78A53CFB"/>
    <w:rsid w:val="78A90480"/>
    <w:rsid w:val="78B30547"/>
    <w:rsid w:val="78BA18A6"/>
    <w:rsid w:val="78C32321"/>
    <w:rsid w:val="78CC445B"/>
    <w:rsid w:val="78D37FAF"/>
    <w:rsid w:val="78D976CD"/>
    <w:rsid w:val="78DA7590"/>
    <w:rsid w:val="78E57CE3"/>
    <w:rsid w:val="78E61E81"/>
    <w:rsid w:val="78E7170A"/>
    <w:rsid w:val="78FB3062"/>
    <w:rsid w:val="79147406"/>
    <w:rsid w:val="791800B8"/>
    <w:rsid w:val="79185DAB"/>
    <w:rsid w:val="791A0209"/>
    <w:rsid w:val="792069BF"/>
    <w:rsid w:val="79316479"/>
    <w:rsid w:val="793706B1"/>
    <w:rsid w:val="7941563C"/>
    <w:rsid w:val="7945303A"/>
    <w:rsid w:val="7949313E"/>
    <w:rsid w:val="794959B2"/>
    <w:rsid w:val="794C1B10"/>
    <w:rsid w:val="79511CAF"/>
    <w:rsid w:val="795400C0"/>
    <w:rsid w:val="796C7F0F"/>
    <w:rsid w:val="797409B5"/>
    <w:rsid w:val="797B1C1E"/>
    <w:rsid w:val="797C074E"/>
    <w:rsid w:val="79892B16"/>
    <w:rsid w:val="798A32FE"/>
    <w:rsid w:val="79960FFF"/>
    <w:rsid w:val="79961451"/>
    <w:rsid w:val="799A4B52"/>
    <w:rsid w:val="799E680F"/>
    <w:rsid w:val="79A25E80"/>
    <w:rsid w:val="79A47D6C"/>
    <w:rsid w:val="79A6315D"/>
    <w:rsid w:val="79A70F6B"/>
    <w:rsid w:val="79B82979"/>
    <w:rsid w:val="79BE539F"/>
    <w:rsid w:val="79C46A79"/>
    <w:rsid w:val="79C92E1E"/>
    <w:rsid w:val="79CC1CC4"/>
    <w:rsid w:val="79D600F4"/>
    <w:rsid w:val="79E17625"/>
    <w:rsid w:val="79E27D26"/>
    <w:rsid w:val="79EA1A55"/>
    <w:rsid w:val="79ED6E4F"/>
    <w:rsid w:val="79EE75AE"/>
    <w:rsid w:val="79F772B7"/>
    <w:rsid w:val="79F8577F"/>
    <w:rsid w:val="79FB27FE"/>
    <w:rsid w:val="79FB7B5D"/>
    <w:rsid w:val="79FD523D"/>
    <w:rsid w:val="79FE105C"/>
    <w:rsid w:val="79FF0080"/>
    <w:rsid w:val="7A170370"/>
    <w:rsid w:val="7A20717E"/>
    <w:rsid w:val="7A212F9C"/>
    <w:rsid w:val="7A2E2EA3"/>
    <w:rsid w:val="7A301431"/>
    <w:rsid w:val="7A316FC1"/>
    <w:rsid w:val="7A364017"/>
    <w:rsid w:val="7A43200F"/>
    <w:rsid w:val="7A4532FE"/>
    <w:rsid w:val="7A4564C6"/>
    <w:rsid w:val="7A460BE1"/>
    <w:rsid w:val="7A4822D7"/>
    <w:rsid w:val="7A504709"/>
    <w:rsid w:val="7A593E62"/>
    <w:rsid w:val="7A660973"/>
    <w:rsid w:val="7A687DE1"/>
    <w:rsid w:val="7A6D4269"/>
    <w:rsid w:val="7A740443"/>
    <w:rsid w:val="7A772BBC"/>
    <w:rsid w:val="7A7F1A71"/>
    <w:rsid w:val="7A8265E1"/>
    <w:rsid w:val="7A8632CB"/>
    <w:rsid w:val="7A897628"/>
    <w:rsid w:val="7A9279F6"/>
    <w:rsid w:val="7A937688"/>
    <w:rsid w:val="7A944DBE"/>
    <w:rsid w:val="7A965E6A"/>
    <w:rsid w:val="7A9B68AB"/>
    <w:rsid w:val="7AC53928"/>
    <w:rsid w:val="7AC625C2"/>
    <w:rsid w:val="7ACD6C80"/>
    <w:rsid w:val="7ACF17C1"/>
    <w:rsid w:val="7AD87AFF"/>
    <w:rsid w:val="7AD90E11"/>
    <w:rsid w:val="7AE21A39"/>
    <w:rsid w:val="7AE364A4"/>
    <w:rsid w:val="7AE37DFE"/>
    <w:rsid w:val="7AE53FCA"/>
    <w:rsid w:val="7AEC39B9"/>
    <w:rsid w:val="7AF0722F"/>
    <w:rsid w:val="7AF3498F"/>
    <w:rsid w:val="7AF56302"/>
    <w:rsid w:val="7AFB37ED"/>
    <w:rsid w:val="7B061228"/>
    <w:rsid w:val="7B0B038E"/>
    <w:rsid w:val="7B120BD1"/>
    <w:rsid w:val="7B266586"/>
    <w:rsid w:val="7B2E0DBF"/>
    <w:rsid w:val="7B426F7D"/>
    <w:rsid w:val="7B4539DB"/>
    <w:rsid w:val="7B4909FD"/>
    <w:rsid w:val="7B4C3525"/>
    <w:rsid w:val="7B533262"/>
    <w:rsid w:val="7B560F34"/>
    <w:rsid w:val="7B5D5641"/>
    <w:rsid w:val="7B5E1BF4"/>
    <w:rsid w:val="7B5F2B22"/>
    <w:rsid w:val="7B5F5B2A"/>
    <w:rsid w:val="7B6453BE"/>
    <w:rsid w:val="7B686D42"/>
    <w:rsid w:val="7B6D006E"/>
    <w:rsid w:val="7B763167"/>
    <w:rsid w:val="7B780CA4"/>
    <w:rsid w:val="7B7B52C7"/>
    <w:rsid w:val="7B841746"/>
    <w:rsid w:val="7B854452"/>
    <w:rsid w:val="7B8657AD"/>
    <w:rsid w:val="7B8A4216"/>
    <w:rsid w:val="7B8C2698"/>
    <w:rsid w:val="7B9D450C"/>
    <w:rsid w:val="7BA07EF1"/>
    <w:rsid w:val="7BA31D75"/>
    <w:rsid w:val="7BA44BC8"/>
    <w:rsid w:val="7BAB5214"/>
    <w:rsid w:val="7BAC7041"/>
    <w:rsid w:val="7BB0138C"/>
    <w:rsid w:val="7BB26861"/>
    <w:rsid w:val="7BC24F9E"/>
    <w:rsid w:val="7BC26559"/>
    <w:rsid w:val="7BC55205"/>
    <w:rsid w:val="7BC71922"/>
    <w:rsid w:val="7BCF76DB"/>
    <w:rsid w:val="7BDC361B"/>
    <w:rsid w:val="7BDD6BE8"/>
    <w:rsid w:val="7BDE7231"/>
    <w:rsid w:val="7BE52583"/>
    <w:rsid w:val="7BE76803"/>
    <w:rsid w:val="7BE858CB"/>
    <w:rsid w:val="7BFD106A"/>
    <w:rsid w:val="7C001AA6"/>
    <w:rsid w:val="7C0641F8"/>
    <w:rsid w:val="7C0D4B58"/>
    <w:rsid w:val="7C117FA6"/>
    <w:rsid w:val="7C1728A9"/>
    <w:rsid w:val="7C213E9C"/>
    <w:rsid w:val="7C237D33"/>
    <w:rsid w:val="7C2C186C"/>
    <w:rsid w:val="7C2D15F7"/>
    <w:rsid w:val="7C2E2834"/>
    <w:rsid w:val="7C336E5B"/>
    <w:rsid w:val="7C3519BC"/>
    <w:rsid w:val="7C4531C0"/>
    <w:rsid w:val="7C4F582A"/>
    <w:rsid w:val="7C6B25F6"/>
    <w:rsid w:val="7C6C5AC7"/>
    <w:rsid w:val="7C7255FA"/>
    <w:rsid w:val="7C725D31"/>
    <w:rsid w:val="7C7902CF"/>
    <w:rsid w:val="7C7D6098"/>
    <w:rsid w:val="7C8A41BB"/>
    <w:rsid w:val="7C9944BA"/>
    <w:rsid w:val="7C9D7D81"/>
    <w:rsid w:val="7CA61FCD"/>
    <w:rsid w:val="7CB2612E"/>
    <w:rsid w:val="7CB65C1E"/>
    <w:rsid w:val="7CBB3234"/>
    <w:rsid w:val="7CBE11B0"/>
    <w:rsid w:val="7CBE4456"/>
    <w:rsid w:val="7CBF4430"/>
    <w:rsid w:val="7CC31605"/>
    <w:rsid w:val="7CC6544B"/>
    <w:rsid w:val="7CCD242C"/>
    <w:rsid w:val="7CEE6037"/>
    <w:rsid w:val="7CEF7382"/>
    <w:rsid w:val="7CF51217"/>
    <w:rsid w:val="7CF77FE5"/>
    <w:rsid w:val="7CFB28AA"/>
    <w:rsid w:val="7CFD384D"/>
    <w:rsid w:val="7D0239FF"/>
    <w:rsid w:val="7D0B0093"/>
    <w:rsid w:val="7D0B5C51"/>
    <w:rsid w:val="7D0D1D47"/>
    <w:rsid w:val="7D1459E1"/>
    <w:rsid w:val="7D147451"/>
    <w:rsid w:val="7D152149"/>
    <w:rsid w:val="7D1B0177"/>
    <w:rsid w:val="7D1B3CD3"/>
    <w:rsid w:val="7D1D4E05"/>
    <w:rsid w:val="7D1D5C9D"/>
    <w:rsid w:val="7D2A2168"/>
    <w:rsid w:val="7D2E2405"/>
    <w:rsid w:val="7D363315"/>
    <w:rsid w:val="7D3725CD"/>
    <w:rsid w:val="7D3F0F24"/>
    <w:rsid w:val="7D423956"/>
    <w:rsid w:val="7D537911"/>
    <w:rsid w:val="7D572A32"/>
    <w:rsid w:val="7D5853D6"/>
    <w:rsid w:val="7D5A6B4B"/>
    <w:rsid w:val="7D5E40CD"/>
    <w:rsid w:val="7D6E49FE"/>
    <w:rsid w:val="7D755AD9"/>
    <w:rsid w:val="7D7615E3"/>
    <w:rsid w:val="7D76392E"/>
    <w:rsid w:val="7D7F1A46"/>
    <w:rsid w:val="7D826BA0"/>
    <w:rsid w:val="7D87352C"/>
    <w:rsid w:val="7D8C18EE"/>
    <w:rsid w:val="7D980C12"/>
    <w:rsid w:val="7DA84717"/>
    <w:rsid w:val="7DAC0DCF"/>
    <w:rsid w:val="7DAD5CA9"/>
    <w:rsid w:val="7DAE659C"/>
    <w:rsid w:val="7DBF115D"/>
    <w:rsid w:val="7DC104D8"/>
    <w:rsid w:val="7DC30A8A"/>
    <w:rsid w:val="7DCD470D"/>
    <w:rsid w:val="7DCD56F2"/>
    <w:rsid w:val="7DD21606"/>
    <w:rsid w:val="7DD442D3"/>
    <w:rsid w:val="7DD4482F"/>
    <w:rsid w:val="7DD70981"/>
    <w:rsid w:val="7DDD71DA"/>
    <w:rsid w:val="7DDF73F6"/>
    <w:rsid w:val="7DE57330"/>
    <w:rsid w:val="7DE625CA"/>
    <w:rsid w:val="7DF2712A"/>
    <w:rsid w:val="7DF64E2A"/>
    <w:rsid w:val="7DF90701"/>
    <w:rsid w:val="7E030AED"/>
    <w:rsid w:val="7E0351C1"/>
    <w:rsid w:val="7E066731"/>
    <w:rsid w:val="7E0F55C9"/>
    <w:rsid w:val="7E142EA9"/>
    <w:rsid w:val="7E1A042F"/>
    <w:rsid w:val="7E20088D"/>
    <w:rsid w:val="7E2662DE"/>
    <w:rsid w:val="7E2D0752"/>
    <w:rsid w:val="7E2E7A36"/>
    <w:rsid w:val="7E36368B"/>
    <w:rsid w:val="7E4804EE"/>
    <w:rsid w:val="7E4A6641"/>
    <w:rsid w:val="7E4C76AB"/>
    <w:rsid w:val="7E4F012F"/>
    <w:rsid w:val="7E5A75B8"/>
    <w:rsid w:val="7E5C45EE"/>
    <w:rsid w:val="7E617E0B"/>
    <w:rsid w:val="7E644305"/>
    <w:rsid w:val="7E6472C9"/>
    <w:rsid w:val="7E6873EC"/>
    <w:rsid w:val="7E6D67B0"/>
    <w:rsid w:val="7E725FF8"/>
    <w:rsid w:val="7E77747F"/>
    <w:rsid w:val="7E7C60C0"/>
    <w:rsid w:val="7E812299"/>
    <w:rsid w:val="7E851D4C"/>
    <w:rsid w:val="7E853162"/>
    <w:rsid w:val="7E8532D4"/>
    <w:rsid w:val="7E8B057B"/>
    <w:rsid w:val="7E9204D8"/>
    <w:rsid w:val="7EA50335"/>
    <w:rsid w:val="7EA63565"/>
    <w:rsid w:val="7EA641FD"/>
    <w:rsid w:val="7EAB01A3"/>
    <w:rsid w:val="7EAD4DFF"/>
    <w:rsid w:val="7EB578BD"/>
    <w:rsid w:val="7EBC447E"/>
    <w:rsid w:val="7ED0232C"/>
    <w:rsid w:val="7ED5755E"/>
    <w:rsid w:val="7ED92098"/>
    <w:rsid w:val="7EDE7ED6"/>
    <w:rsid w:val="7EE51E2F"/>
    <w:rsid w:val="7EE60C15"/>
    <w:rsid w:val="7EE84E7B"/>
    <w:rsid w:val="7EEA0AB4"/>
    <w:rsid w:val="7EEE6F0F"/>
    <w:rsid w:val="7EF03CB6"/>
    <w:rsid w:val="7EF2014F"/>
    <w:rsid w:val="7EF23CD9"/>
    <w:rsid w:val="7EF420C9"/>
    <w:rsid w:val="7EF939F5"/>
    <w:rsid w:val="7EFB3DBC"/>
    <w:rsid w:val="7EFF3101"/>
    <w:rsid w:val="7F001CE7"/>
    <w:rsid w:val="7F097F27"/>
    <w:rsid w:val="7F0E3D76"/>
    <w:rsid w:val="7F114720"/>
    <w:rsid w:val="7F2344A4"/>
    <w:rsid w:val="7F2D7AE1"/>
    <w:rsid w:val="7F2D7CEE"/>
    <w:rsid w:val="7F3040A4"/>
    <w:rsid w:val="7F33260A"/>
    <w:rsid w:val="7F344D10"/>
    <w:rsid w:val="7F345520"/>
    <w:rsid w:val="7F3511B2"/>
    <w:rsid w:val="7F3F44B7"/>
    <w:rsid w:val="7F470740"/>
    <w:rsid w:val="7F500519"/>
    <w:rsid w:val="7F524E4C"/>
    <w:rsid w:val="7F531E4A"/>
    <w:rsid w:val="7F58348A"/>
    <w:rsid w:val="7F5E72BF"/>
    <w:rsid w:val="7F5F640D"/>
    <w:rsid w:val="7F623584"/>
    <w:rsid w:val="7F6D1E2C"/>
    <w:rsid w:val="7F792C6D"/>
    <w:rsid w:val="7F7B314F"/>
    <w:rsid w:val="7F7D0072"/>
    <w:rsid w:val="7F7D2B0A"/>
    <w:rsid w:val="7F8D7991"/>
    <w:rsid w:val="7F9B10FB"/>
    <w:rsid w:val="7F9E2695"/>
    <w:rsid w:val="7FAB45E0"/>
    <w:rsid w:val="7FB4759E"/>
    <w:rsid w:val="7FB65D58"/>
    <w:rsid w:val="7FC17906"/>
    <w:rsid w:val="7FC27DBB"/>
    <w:rsid w:val="7FD1771E"/>
    <w:rsid w:val="7FD83FB8"/>
    <w:rsid w:val="7FE47E50"/>
    <w:rsid w:val="7FEB5F33"/>
    <w:rsid w:val="7FEC3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99"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0"/>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2"/>
    <w:next w:val="1"/>
    <w:link w:val="48"/>
    <w:qFormat/>
    <w:locked/>
    <w:uiPriority w:val="9"/>
    <w:pPr>
      <w:keepLines/>
      <w:widowControl/>
      <w:tabs>
        <w:tab w:val="left" w:pos="360"/>
        <w:tab w:val="left" w:pos="432"/>
      </w:tabs>
      <w:spacing w:before="10" w:after="10" w:line="360" w:lineRule="auto"/>
      <w:ind w:firstLine="200" w:firstLineChars="200"/>
      <w:jc w:val="left"/>
      <w:outlineLvl w:val="1"/>
    </w:pPr>
    <w:rPr>
      <w:sz w:val="24"/>
      <w:szCs w:val="32"/>
    </w:rPr>
  </w:style>
  <w:style w:type="paragraph" w:styleId="4">
    <w:name w:val="heading 3"/>
    <w:basedOn w:val="3"/>
    <w:next w:val="1"/>
    <w:qFormat/>
    <w:locked/>
    <w:uiPriority w:val="0"/>
    <w:pPr>
      <w:ind w:firstLine="0" w:firstLineChars="0"/>
      <w:outlineLvl w:val="2"/>
    </w:pPr>
    <w:rPr>
      <w:rFonts w:eastAsia="宋体"/>
    </w:rPr>
  </w:style>
  <w:style w:type="paragraph" w:styleId="5">
    <w:name w:val="heading 4"/>
    <w:basedOn w:val="1"/>
    <w:next w:val="1"/>
    <w:qFormat/>
    <w:locked/>
    <w:uiPriority w:val="0"/>
    <w:pPr>
      <w:keepNext/>
      <w:keepLines/>
      <w:spacing w:before="280" w:after="290" w:line="376" w:lineRule="auto"/>
      <w:outlineLvl w:val="3"/>
    </w:pPr>
    <w:rPr>
      <w:rFonts w:ascii="Cambria" w:hAnsi="Cambria"/>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locked/>
    <w:uiPriority w:val="0"/>
    <w:pPr>
      <w:ind w:left="420" w:leftChars="200"/>
    </w:pPr>
  </w:style>
  <w:style w:type="paragraph" w:styleId="7">
    <w:name w:val="Normal Indent"/>
    <w:basedOn w:val="1"/>
    <w:next w:val="5"/>
    <w:qFormat/>
    <w:locked/>
    <w:uiPriority w:val="0"/>
    <w:pPr>
      <w:adjustRightInd w:val="0"/>
      <w:spacing w:line="312" w:lineRule="atLeast"/>
      <w:ind w:firstLine="420"/>
      <w:textAlignment w:val="baseline"/>
    </w:pPr>
    <w:rPr>
      <w:rFonts w:ascii="宋体" w:hAnsi="Courier New"/>
      <w:kern w:val="0"/>
      <w:szCs w:val="20"/>
    </w:rPr>
  </w:style>
  <w:style w:type="paragraph" w:styleId="8">
    <w:name w:val="caption"/>
    <w:basedOn w:val="1"/>
    <w:next w:val="9"/>
    <w:qFormat/>
    <w:locked/>
    <w:uiPriority w:val="99"/>
    <w:pPr>
      <w:keepNext/>
      <w:spacing w:before="163" w:beforeLines="50"/>
      <w:jc w:val="center"/>
    </w:pPr>
    <w:rPr>
      <w:b/>
      <w:sz w:val="22"/>
      <w:szCs w:val="22"/>
    </w:rPr>
  </w:style>
  <w:style w:type="paragraph" w:customStyle="1" w:styleId="9">
    <w:name w:val="表内表"/>
    <w:basedOn w:val="1"/>
    <w:qFormat/>
    <w:uiPriority w:val="0"/>
    <w:pPr>
      <w:adjustRightInd w:val="0"/>
      <w:snapToGrid w:val="0"/>
      <w:jc w:val="center"/>
    </w:pPr>
  </w:style>
  <w:style w:type="paragraph" w:styleId="10">
    <w:name w:val="annotation text"/>
    <w:basedOn w:val="1"/>
    <w:link w:val="49"/>
    <w:qFormat/>
    <w:uiPriority w:val="0"/>
    <w:pPr>
      <w:jc w:val="left"/>
    </w:pPr>
    <w:rPr>
      <w:kern w:val="0"/>
      <w:sz w:val="24"/>
      <w:szCs w:val="20"/>
    </w:rPr>
  </w:style>
  <w:style w:type="paragraph" w:styleId="11">
    <w:name w:val="Salutation"/>
    <w:basedOn w:val="1"/>
    <w:next w:val="1"/>
    <w:qFormat/>
    <w:locked/>
    <w:uiPriority w:val="0"/>
    <w:pPr>
      <w:spacing w:before="60"/>
      <w:ind w:firstLine="482"/>
    </w:pPr>
    <w:rPr>
      <w:rFonts w:ascii="Arial" w:hAnsi="Arial" w:eastAsia="仿宋_GB2312"/>
      <w:kern w:val="0"/>
      <w:sz w:val="24"/>
      <w:szCs w:val="20"/>
    </w:rPr>
  </w:style>
  <w:style w:type="paragraph" w:styleId="12">
    <w:name w:val="Body Text"/>
    <w:basedOn w:val="1"/>
    <w:next w:val="13"/>
    <w:link w:val="50"/>
    <w:qFormat/>
    <w:uiPriority w:val="0"/>
    <w:pPr>
      <w:widowControl/>
      <w:snapToGrid w:val="0"/>
      <w:spacing w:before="60" w:after="160" w:line="259" w:lineRule="auto"/>
      <w:ind w:right="113"/>
    </w:pPr>
    <w:rPr>
      <w:kern w:val="0"/>
      <w:sz w:val="18"/>
      <w:szCs w:val="20"/>
    </w:rPr>
  </w:style>
  <w:style w:type="paragraph" w:customStyle="1" w:styleId="13">
    <w:name w:val="xl27"/>
    <w:basedOn w:val="6"/>
    <w:next w:val="14"/>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4">
    <w:name w:val="Body Text Indent 2"/>
    <w:basedOn w:val="1"/>
    <w:next w:val="1"/>
    <w:qFormat/>
    <w:locked/>
    <w:uiPriority w:val="0"/>
    <w:pPr>
      <w:spacing w:line="360" w:lineRule="exact"/>
      <w:ind w:firstLine="420" w:firstLineChars="200"/>
    </w:pPr>
    <w:rPr>
      <w:rFonts w:ascii="仿宋_GB2312" w:eastAsia="仿宋_GB2312"/>
    </w:rPr>
  </w:style>
  <w:style w:type="paragraph" w:styleId="15">
    <w:name w:val="Body Text Indent"/>
    <w:basedOn w:val="1"/>
    <w:link w:val="51"/>
    <w:qFormat/>
    <w:uiPriority w:val="0"/>
    <w:pPr>
      <w:spacing w:after="120"/>
      <w:ind w:left="420" w:leftChars="200"/>
    </w:pPr>
    <w:rPr>
      <w:kern w:val="0"/>
      <w:sz w:val="24"/>
      <w:szCs w:val="20"/>
    </w:rPr>
  </w:style>
  <w:style w:type="paragraph" w:styleId="16">
    <w:name w:val="Block Text"/>
    <w:basedOn w:val="1"/>
    <w:next w:val="1"/>
    <w:qFormat/>
    <w:locked/>
    <w:uiPriority w:val="0"/>
    <w:pPr>
      <w:spacing w:line="300" w:lineRule="exact"/>
      <w:ind w:left="-96" w:leftChars="-40" w:right="-16" w:firstLine="482" w:firstLineChars="200"/>
    </w:pPr>
    <w:rPr>
      <w:rFonts w:ascii="宋体" w:hAnsi="宋体"/>
    </w:rPr>
  </w:style>
  <w:style w:type="paragraph" w:styleId="17">
    <w:name w:val="Plain Text"/>
    <w:basedOn w:val="1"/>
    <w:link w:val="52"/>
    <w:qFormat/>
    <w:locked/>
    <w:uiPriority w:val="0"/>
    <w:rPr>
      <w:rFonts w:ascii="宋体" w:hAnsi="Courier New" w:cs="Courier New"/>
      <w:szCs w:val="21"/>
    </w:rPr>
  </w:style>
  <w:style w:type="paragraph" w:styleId="18">
    <w:name w:val="List Bullet 5"/>
    <w:basedOn w:val="1"/>
    <w:qFormat/>
    <w:locked/>
    <w:uiPriority w:val="0"/>
    <w:pPr>
      <w:numPr>
        <w:ilvl w:val="0"/>
        <w:numId w:val="1"/>
      </w:numPr>
    </w:pPr>
  </w:style>
  <w:style w:type="paragraph" w:styleId="19">
    <w:name w:val="Date"/>
    <w:basedOn w:val="1"/>
    <w:next w:val="1"/>
    <w:link w:val="53"/>
    <w:qFormat/>
    <w:uiPriority w:val="0"/>
    <w:pPr>
      <w:ind w:left="100" w:leftChars="2500"/>
    </w:pPr>
    <w:rPr>
      <w:kern w:val="0"/>
      <w:sz w:val="24"/>
      <w:szCs w:val="20"/>
    </w:rPr>
  </w:style>
  <w:style w:type="paragraph" w:styleId="20">
    <w:name w:val="Balloon Text"/>
    <w:basedOn w:val="1"/>
    <w:link w:val="54"/>
    <w:semiHidden/>
    <w:qFormat/>
    <w:uiPriority w:val="0"/>
    <w:rPr>
      <w:kern w:val="0"/>
      <w:sz w:val="18"/>
      <w:szCs w:val="20"/>
    </w:rPr>
  </w:style>
  <w:style w:type="paragraph" w:styleId="21">
    <w:name w:val="footer"/>
    <w:basedOn w:val="1"/>
    <w:link w:val="55"/>
    <w:qFormat/>
    <w:uiPriority w:val="99"/>
    <w:pPr>
      <w:tabs>
        <w:tab w:val="center" w:pos="4153"/>
        <w:tab w:val="right" w:pos="8306"/>
      </w:tabs>
      <w:snapToGrid w:val="0"/>
      <w:jc w:val="left"/>
    </w:pPr>
    <w:rPr>
      <w:kern w:val="0"/>
      <w:sz w:val="18"/>
      <w:szCs w:val="20"/>
    </w:rPr>
  </w:style>
  <w:style w:type="paragraph" w:styleId="22">
    <w:name w:val="header"/>
    <w:basedOn w:val="1"/>
    <w:link w:val="56"/>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qFormat/>
    <w:locked/>
    <w:uiPriority w:val="0"/>
  </w:style>
  <w:style w:type="paragraph" w:styleId="24">
    <w:name w:val="List"/>
    <w:basedOn w:val="1"/>
    <w:qFormat/>
    <w:locked/>
    <w:uiPriority w:val="0"/>
    <w:pPr>
      <w:ind w:left="200" w:hanging="200" w:hangingChars="200"/>
    </w:pPr>
    <w:rPr>
      <w:szCs w:val="20"/>
    </w:rPr>
  </w:style>
  <w:style w:type="paragraph" w:styleId="25">
    <w:name w:val="Body Text Indent 3"/>
    <w:basedOn w:val="1"/>
    <w:qFormat/>
    <w:locked/>
    <w:uiPriority w:val="0"/>
    <w:pPr>
      <w:snapToGrid w:val="0"/>
      <w:spacing w:line="336" w:lineRule="auto"/>
      <w:ind w:firstLine="560"/>
    </w:pPr>
    <w:rPr>
      <w:rFonts w:eastAsia="仿宋_GB2312"/>
      <w:sz w:val="28"/>
    </w:rPr>
  </w:style>
  <w:style w:type="paragraph" w:styleId="26">
    <w:name w:val="table of figures"/>
    <w:basedOn w:val="1"/>
    <w:next w:val="1"/>
    <w:qFormat/>
    <w:locked/>
    <w:uiPriority w:val="0"/>
    <w:pPr>
      <w:ind w:left="200" w:leftChars="200" w:hanging="200" w:hangingChars="200"/>
    </w:pPr>
  </w:style>
  <w:style w:type="paragraph" w:styleId="27">
    <w:name w:val="toc 2"/>
    <w:basedOn w:val="1"/>
    <w:next w:val="1"/>
    <w:qFormat/>
    <w:locked/>
    <w:uiPriority w:val="0"/>
    <w:pPr>
      <w:ind w:left="420" w:leftChars="200"/>
    </w:pPr>
  </w:style>
  <w:style w:type="paragraph" w:styleId="28">
    <w:name w:val="Normal (Web)"/>
    <w:basedOn w:val="1"/>
    <w:link w:val="57"/>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10"/>
    <w:next w:val="10"/>
    <w:link w:val="58"/>
    <w:semiHidden/>
    <w:qFormat/>
    <w:uiPriority w:val="0"/>
    <w:rPr>
      <w:b/>
    </w:rPr>
  </w:style>
  <w:style w:type="paragraph" w:styleId="30">
    <w:name w:val="Body Text First Indent"/>
    <w:basedOn w:val="12"/>
    <w:qFormat/>
    <w:locked/>
    <w:uiPriority w:val="0"/>
    <w:pPr>
      <w:spacing w:after="120" w:line="240" w:lineRule="auto"/>
      <w:ind w:firstLine="420" w:firstLineChars="100"/>
    </w:pPr>
    <w:rPr>
      <w:sz w:val="21"/>
    </w:rPr>
  </w:style>
  <w:style w:type="paragraph" w:styleId="31">
    <w:name w:val="Body Text First Indent 2"/>
    <w:basedOn w:val="15"/>
    <w:next w:val="1"/>
    <w:qFormat/>
    <w:locked/>
    <w:uiPriority w:val="0"/>
    <w:pPr>
      <w:tabs>
        <w:tab w:val="left" w:pos="420"/>
        <w:tab w:val="left" w:pos="870"/>
        <w:tab w:val="left" w:pos="3150"/>
      </w:tabs>
      <w:autoSpaceDE w:val="0"/>
      <w:autoSpaceDN w:val="0"/>
      <w:adjustRightInd w:val="0"/>
      <w:spacing w:beforeLines="25" w:after="0" w:line="336" w:lineRule="auto"/>
      <w:ind w:left="0" w:leftChars="0" w:firstLine="527"/>
      <w:textAlignment w:val="baseline"/>
    </w:pPr>
    <w:rPr>
      <w:rFonts w:ascii="宋体"/>
      <w:szCs w:val="28"/>
    </w:rPr>
  </w:style>
  <w:style w:type="table" w:styleId="33">
    <w:name w:val="Table Grid"/>
    <w:basedOn w:val="3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locked/>
    <w:uiPriority w:val="0"/>
    <w:rPr>
      <w:b/>
    </w:rPr>
  </w:style>
  <w:style w:type="character" w:styleId="36">
    <w:name w:val="page number"/>
    <w:qFormat/>
    <w:locked/>
    <w:uiPriority w:val="0"/>
  </w:style>
  <w:style w:type="character" w:styleId="37">
    <w:name w:val="Emphasis"/>
    <w:basedOn w:val="34"/>
    <w:qFormat/>
    <w:locked/>
    <w:uiPriority w:val="0"/>
    <w:rPr>
      <w:i/>
    </w:rPr>
  </w:style>
  <w:style w:type="character" w:styleId="38">
    <w:name w:val="annotation reference"/>
    <w:qFormat/>
    <w:uiPriority w:val="99"/>
    <w:rPr>
      <w:sz w:val="21"/>
    </w:rPr>
  </w:style>
  <w:style w:type="paragraph" w:customStyle="1" w:styleId="39">
    <w:name w:val="Default"/>
    <w:basedOn w:val="40"/>
    <w:next w:val="31"/>
    <w:unhideWhenUsed/>
    <w:qFormat/>
    <w:uiPriority w:val="99"/>
    <w:pPr>
      <w:autoSpaceDE w:val="0"/>
      <w:autoSpaceDN w:val="0"/>
      <w:adjustRightInd w:val="0"/>
    </w:pPr>
    <w:rPr>
      <w:rFonts w:hint="eastAsia" w:eastAsia="Times New Roman"/>
      <w:color w:val="000000"/>
      <w:sz w:val="24"/>
      <w:szCs w:val="24"/>
    </w:rPr>
  </w:style>
  <w:style w:type="paragraph" w:customStyle="1" w:styleId="40">
    <w:name w:val="！正文 Alt+0"/>
    <w:basedOn w:val="1"/>
    <w:qFormat/>
    <w:uiPriority w:val="0"/>
    <w:pPr>
      <w:spacing w:line="360" w:lineRule="auto"/>
      <w:ind w:firstLine="200" w:firstLineChars="200"/>
    </w:pPr>
    <w:rPr>
      <w:sz w:val="28"/>
      <w:szCs w:val="28"/>
    </w:rPr>
  </w:style>
  <w:style w:type="paragraph" w:customStyle="1" w:styleId="41">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reader-word-layer reader-word-s46-2"/>
    <w:basedOn w:val="1"/>
    <w:next w:val="43"/>
    <w:qFormat/>
    <w:uiPriority w:val="0"/>
    <w:pPr>
      <w:widowControl/>
      <w:spacing w:before="280" w:after="280"/>
    </w:pPr>
    <w:rPr>
      <w:rFonts w:ascii="宋体"/>
      <w:sz w:val="24"/>
    </w:rPr>
  </w:style>
  <w:style w:type="paragraph" w:customStyle="1" w:styleId="43">
    <w:name w:val="xl35"/>
    <w:basedOn w:val="1"/>
    <w:next w:val="1"/>
    <w:qFormat/>
    <w:uiPriority w:val="0"/>
    <w:pPr>
      <w:widowControl/>
      <w:shd w:val="clear" w:color="FFFFFF" w:fill="FFFFFF"/>
      <w:spacing w:before="280" w:after="280"/>
    </w:pPr>
    <w:rPr>
      <w:rFonts w:ascii="Arial Unicode MS" w:eastAsia="Arial Unicode MS"/>
      <w:sz w:val="24"/>
    </w:rPr>
  </w:style>
  <w:style w:type="paragraph" w:customStyle="1" w:styleId="44">
    <w:name w:val="Default2"/>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45">
    <w:name w:val="电子邮件签名1"/>
    <w:basedOn w:val="1"/>
    <w:next w:val="46"/>
    <w:qFormat/>
    <w:uiPriority w:val="0"/>
    <w:pPr>
      <w:spacing w:line="460" w:lineRule="exact"/>
      <w:ind w:firstLine="200"/>
    </w:pPr>
  </w:style>
  <w:style w:type="paragraph" w:customStyle="1" w:styleId="46">
    <w:name w:val="文章"/>
    <w:basedOn w:val="15"/>
    <w:next w:val="24"/>
    <w:qFormat/>
    <w:uiPriority w:val="0"/>
    <w:pPr>
      <w:widowControl/>
      <w:ind w:firstLine="480"/>
      <w:jc w:val="center"/>
    </w:pPr>
    <w:rPr>
      <w:sz w:val="26"/>
    </w:rPr>
  </w:style>
  <w:style w:type="paragraph" w:customStyle="1" w:styleId="47">
    <w:name w:val="一级条标题"/>
    <w:basedOn w:val="2"/>
    <w:next w:val="1"/>
    <w:qFormat/>
    <w:uiPriority w:val="0"/>
    <w:pPr>
      <w:keepNext w:val="0"/>
      <w:widowControl/>
      <w:tabs>
        <w:tab w:val="left" w:pos="360"/>
        <w:tab w:val="left" w:pos="432"/>
      </w:tabs>
      <w:spacing w:before="0" w:after="0"/>
      <w:outlineLvl w:val="2"/>
    </w:pPr>
    <w:rPr>
      <w:rFonts w:ascii="黑体"/>
      <w:kern w:val="0"/>
      <w:sz w:val="21"/>
    </w:rPr>
  </w:style>
  <w:style w:type="character" w:customStyle="1" w:styleId="48">
    <w:name w:val="标题 2 字符"/>
    <w:link w:val="3"/>
    <w:qFormat/>
    <w:uiPriority w:val="9"/>
    <w:rPr>
      <w:rFonts w:ascii="Times New Roman" w:hAnsi="Times New Roman"/>
      <w:b/>
      <w:bCs/>
      <w:sz w:val="24"/>
      <w:szCs w:val="32"/>
    </w:rPr>
  </w:style>
  <w:style w:type="character" w:customStyle="1" w:styleId="49">
    <w:name w:val="批注文字 字符2"/>
    <w:link w:val="10"/>
    <w:qFormat/>
    <w:locked/>
    <w:uiPriority w:val="0"/>
    <w:rPr>
      <w:rFonts w:ascii="Times New Roman" w:hAnsi="Times New Roman" w:eastAsia="宋体"/>
      <w:sz w:val="24"/>
    </w:rPr>
  </w:style>
  <w:style w:type="character" w:customStyle="1" w:styleId="50">
    <w:name w:val="正文文本 字符"/>
    <w:link w:val="12"/>
    <w:qFormat/>
    <w:locked/>
    <w:uiPriority w:val="0"/>
    <w:rPr>
      <w:sz w:val="18"/>
    </w:rPr>
  </w:style>
  <w:style w:type="character" w:customStyle="1" w:styleId="51">
    <w:name w:val="正文文本缩进 字符"/>
    <w:link w:val="15"/>
    <w:semiHidden/>
    <w:qFormat/>
    <w:locked/>
    <w:uiPriority w:val="0"/>
    <w:rPr>
      <w:rFonts w:ascii="Times New Roman" w:hAnsi="Times New Roman" w:eastAsia="宋体"/>
      <w:sz w:val="24"/>
    </w:rPr>
  </w:style>
  <w:style w:type="character" w:customStyle="1" w:styleId="52">
    <w:name w:val="纯文本 字符"/>
    <w:link w:val="17"/>
    <w:qFormat/>
    <w:uiPriority w:val="0"/>
    <w:rPr>
      <w:rFonts w:ascii="宋体" w:hAnsi="Courier New" w:cs="Courier New"/>
      <w:kern w:val="2"/>
      <w:sz w:val="21"/>
      <w:szCs w:val="21"/>
    </w:rPr>
  </w:style>
  <w:style w:type="character" w:customStyle="1" w:styleId="53">
    <w:name w:val="日期 字符1"/>
    <w:link w:val="19"/>
    <w:qFormat/>
    <w:locked/>
    <w:uiPriority w:val="0"/>
    <w:rPr>
      <w:rFonts w:ascii="Times New Roman" w:hAnsi="Times New Roman" w:eastAsia="宋体"/>
      <w:sz w:val="24"/>
    </w:rPr>
  </w:style>
  <w:style w:type="character" w:customStyle="1" w:styleId="54">
    <w:name w:val="批注框文本 字符"/>
    <w:link w:val="20"/>
    <w:semiHidden/>
    <w:qFormat/>
    <w:locked/>
    <w:uiPriority w:val="0"/>
    <w:rPr>
      <w:rFonts w:ascii="Times New Roman" w:hAnsi="Times New Roman" w:eastAsia="宋体"/>
      <w:sz w:val="18"/>
    </w:rPr>
  </w:style>
  <w:style w:type="character" w:customStyle="1" w:styleId="55">
    <w:name w:val="页脚 字符1"/>
    <w:link w:val="21"/>
    <w:qFormat/>
    <w:locked/>
    <w:uiPriority w:val="99"/>
    <w:rPr>
      <w:sz w:val="18"/>
    </w:rPr>
  </w:style>
  <w:style w:type="character" w:customStyle="1" w:styleId="56">
    <w:name w:val="页眉 字符"/>
    <w:link w:val="22"/>
    <w:qFormat/>
    <w:locked/>
    <w:uiPriority w:val="0"/>
    <w:rPr>
      <w:sz w:val="18"/>
    </w:rPr>
  </w:style>
  <w:style w:type="character" w:customStyle="1" w:styleId="57">
    <w:name w:val="普通(网站) 字符1"/>
    <w:link w:val="28"/>
    <w:qFormat/>
    <w:locked/>
    <w:uiPriority w:val="0"/>
    <w:rPr>
      <w:rFonts w:ascii="宋体" w:hAnsi="宋体" w:eastAsia="宋体"/>
      <w:sz w:val="24"/>
    </w:rPr>
  </w:style>
  <w:style w:type="character" w:customStyle="1" w:styleId="58">
    <w:name w:val="批注主题 字符"/>
    <w:link w:val="29"/>
    <w:semiHidden/>
    <w:qFormat/>
    <w:locked/>
    <w:uiPriority w:val="0"/>
    <w:rPr>
      <w:rFonts w:ascii="Times New Roman" w:hAnsi="Times New Roman" w:eastAsia="宋体"/>
      <w:b/>
      <w:kern w:val="2"/>
      <w:sz w:val="24"/>
    </w:rPr>
  </w:style>
  <w:style w:type="character" w:customStyle="1" w:styleId="59">
    <w:name w:val="16"/>
    <w:qFormat/>
    <w:uiPriority w:val="0"/>
    <w:rPr>
      <w:rFonts w:hint="default" w:ascii="Times New Roman" w:hAnsi="Times New Roman" w:cs="Times New Roman"/>
      <w:color w:val="000000"/>
      <w:sz w:val="20"/>
      <w:szCs w:val="20"/>
    </w:rPr>
  </w:style>
  <w:style w:type="character" w:customStyle="1" w:styleId="60">
    <w:name w:val="日期 字符"/>
    <w:semiHidden/>
    <w:qFormat/>
    <w:uiPriority w:val="0"/>
    <w:rPr>
      <w:rFonts w:ascii="Times New Roman" w:hAnsi="Times New Roman" w:eastAsia="宋体"/>
      <w:sz w:val="24"/>
    </w:rPr>
  </w:style>
  <w:style w:type="character" w:customStyle="1" w:styleId="61">
    <w:name w:val="正文文本 字符1"/>
    <w:semiHidden/>
    <w:qFormat/>
    <w:uiPriority w:val="0"/>
    <w:rPr>
      <w:rFonts w:ascii="Times New Roman" w:hAnsi="Times New Roman" w:eastAsia="宋体"/>
      <w:sz w:val="24"/>
    </w:rPr>
  </w:style>
  <w:style w:type="character" w:customStyle="1" w:styleId="62">
    <w:name w:val="批注文字 字符1"/>
    <w:semiHidden/>
    <w:qFormat/>
    <w:uiPriority w:val="0"/>
    <w:rPr>
      <w:rFonts w:ascii="Times New Roman" w:hAnsi="Times New Roman" w:eastAsia="宋体"/>
      <w:sz w:val="24"/>
    </w:rPr>
  </w:style>
  <w:style w:type="character" w:customStyle="1" w:styleId="63">
    <w:name w:val="页脚 字符"/>
    <w:qFormat/>
    <w:uiPriority w:val="99"/>
  </w:style>
  <w:style w:type="character" w:customStyle="1" w:styleId="64">
    <w:name w:val="表格 Char"/>
    <w:link w:val="65"/>
    <w:qFormat/>
    <w:locked/>
    <w:uiPriority w:val="0"/>
    <w:rPr>
      <w:rFonts w:ascii="宋体"/>
      <w:sz w:val="21"/>
    </w:rPr>
  </w:style>
  <w:style w:type="paragraph" w:customStyle="1" w:styleId="65">
    <w:name w:val="表格"/>
    <w:basedOn w:val="26"/>
    <w:next w:val="1"/>
    <w:link w:val="64"/>
    <w:qFormat/>
    <w:uiPriority w:val="0"/>
    <w:pPr>
      <w:adjustRightInd w:val="0"/>
      <w:snapToGrid w:val="0"/>
      <w:spacing w:beforeLines="10" w:afterLines="10" w:line="259" w:lineRule="auto"/>
      <w:jc w:val="center"/>
    </w:pPr>
    <w:rPr>
      <w:rFonts w:ascii="宋体"/>
      <w:kern w:val="0"/>
      <w:szCs w:val="20"/>
    </w:rPr>
  </w:style>
  <w:style w:type="character" w:customStyle="1" w:styleId="66">
    <w:name w:val="15"/>
    <w:qFormat/>
    <w:uiPriority w:val="0"/>
    <w:rPr>
      <w:rFonts w:ascii="Times New Roman" w:hAnsi="Times New Roman" w:eastAsia="宋体" w:cs="Times New Roman"/>
      <w:color w:val="000000"/>
    </w:rPr>
  </w:style>
  <w:style w:type="paragraph" w:customStyle="1" w:styleId="67">
    <w:name w:val="表内样式"/>
    <w:basedOn w:val="1"/>
    <w:next w:val="1"/>
    <w:qFormat/>
    <w:uiPriority w:val="0"/>
    <w:pPr>
      <w:jc w:val="center"/>
    </w:pPr>
    <w:rPr>
      <w:kern w:val="0"/>
    </w:rPr>
  </w:style>
  <w:style w:type="paragraph" w:customStyle="1" w:styleId="68">
    <w:name w:val="大表格标题"/>
    <w:basedOn w:val="1"/>
    <w:qFormat/>
    <w:uiPriority w:val="0"/>
    <w:pPr>
      <w:jc w:val="center"/>
    </w:pPr>
    <w:rPr>
      <w:b/>
      <w:bCs/>
      <w:sz w:val="24"/>
    </w:rPr>
  </w:style>
  <w:style w:type="paragraph" w:customStyle="1" w:styleId="69">
    <w:name w:val="2级"/>
    <w:basedOn w:val="68"/>
    <w:qFormat/>
    <w:uiPriority w:val="0"/>
    <w:pPr>
      <w:spacing w:line="520" w:lineRule="exact"/>
      <w:ind w:firstLine="200" w:firstLineChars="200"/>
    </w:pPr>
  </w:style>
  <w:style w:type="paragraph" w:customStyle="1" w:styleId="70">
    <w:name w:val="报告书正文"/>
    <w:basedOn w:val="1"/>
    <w:qFormat/>
    <w:uiPriority w:val="0"/>
    <w:pPr>
      <w:adjustRightInd w:val="0"/>
      <w:snapToGrid w:val="0"/>
      <w:ind w:firstLine="425"/>
      <w:textAlignment w:val="baseline"/>
    </w:pPr>
    <w:rPr>
      <w:rFonts w:hAnsi="Arial"/>
    </w:rPr>
  </w:style>
  <w:style w:type="paragraph" w:customStyle="1" w:styleId="7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3">
    <w:name w:val="样式5"/>
    <w:basedOn w:val="74"/>
    <w:qFormat/>
    <w:uiPriority w:val="0"/>
    <w:pPr>
      <w:tabs>
        <w:tab w:val="left" w:pos="420"/>
        <w:tab w:val="left" w:pos="1260"/>
      </w:tabs>
      <w:ind w:left="420" w:hanging="420"/>
    </w:pPr>
    <w:rPr>
      <w:rFonts w:ascii="Times New Roman" w:hAnsi="Times New Roman" w:cs="Times New Roman"/>
      <w:kern w:val="0"/>
      <w:sz w:val="20"/>
      <w:szCs w:val="20"/>
    </w:rPr>
  </w:style>
  <w:style w:type="paragraph" w:customStyle="1" w:styleId="74">
    <w:name w:val="样式12"/>
    <w:basedOn w:val="1"/>
    <w:qFormat/>
    <w:uiPriority w:val="0"/>
    <w:pPr>
      <w:spacing w:line="360" w:lineRule="auto"/>
    </w:pPr>
    <w:rPr>
      <w:rFonts w:ascii="Arial" w:hAnsi="Arial" w:cs="Arial"/>
      <w:b/>
      <w:bCs/>
      <w:sz w:val="24"/>
    </w:rPr>
  </w:style>
  <w:style w:type="paragraph" w:customStyle="1" w:styleId="75">
    <w:name w:val="表内"/>
    <w:basedOn w:val="1"/>
    <w:qFormat/>
    <w:uiPriority w:val="0"/>
    <w:pPr>
      <w:spacing w:line="360" w:lineRule="auto"/>
      <w:ind w:firstLine="482"/>
    </w:pPr>
  </w:style>
  <w:style w:type="paragraph" w:customStyle="1" w:styleId="76">
    <w:name w:val="新表"/>
    <w:basedOn w:val="1"/>
    <w:qFormat/>
    <w:uiPriority w:val="0"/>
    <w:pPr>
      <w:spacing w:line="360" w:lineRule="exact"/>
    </w:pPr>
    <w:rPr>
      <w:rFonts w:eastAsia="仿宋_GB2312"/>
      <w:bCs/>
      <w:kern w:val="0"/>
      <w:sz w:val="24"/>
    </w:rPr>
  </w:style>
  <w:style w:type="character" w:customStyle="1" w:styleId="77">
    <w:name w:val="普通(网站) 字符"/>
    <w:qFormat/>
    <w:uiPriority w:val="0"/>
    <w:rPr>
      <w:rFonts w:ascii="宋体" w:hAnsi="宋体" w:cs="宋体"/>
      <w:sz w:val="24"/>
      <w:szCs w:val="24"/>
    </w:rPr>
  </w:style>
  <w:style w:type="paragraph" w:styleId="78">
    <w:name w:val="No Spacing"/>
    <w:qFormat/>
    <w:uiPriority w:val="0"/>
    <w:rPr>
      <w:rFonts w:ascii="Times New Roman" w:hAnsi="Times New Roman" w:eastAsia="宋体" w:cs="Times New Roman"/>
      <w:sz w:val="22"/>
      <w:szCs w:val="21"/>
      <w:lang w:val="en-US" w:eastAsia="zh-CN" w:bidi="ar-SA"/>
    </w:rPr>
  </w:style>
  <w:style w:type="character" w:customStyle="1" w:styleId="79">
    <w:name w:val="t_tag"/>
    <w:qFormat/>
    <w:uiPriority w:val="0"/>
  </w:style>
  <w:style w:type="paragraph" w:customStyle="1" w:styleId="80">
    <w:name w:val="应表格"/>
    <w:basedOn w:val="1"/>
    <w:qFormat/>
    <w:uiPriority w:val="0"/>
    <w:pPr>
      <w:widowControl/>
      <w:adjustRightInd w:val="0"/>
      <w:snapToGrid w:val="0"/>
      <w:spacing w:line="400" w:lineRule="exact"/>
      <w:jc w:val="center"/>
      <w:textAlignment w:val="baseline"/>
    </w:pPr>
    <w:rPr>
      <w:rFonts w:eastAsia="仿宋"/>
      <w:kern w:val="0"/>
      <w:szCs w:val="21"/>
    </w:rPr>
  </w:style>
  <w:style w:type="character" w:customStyle="1" w:styleId="81">
    <w:name w:val="批注文字 字符"/>
    <w:semiHidden/>
    <w:qFormat/>
    <w:uiPriority w:val="99"/>
    <w:rPr>
      <w:kern w:val="2"/>
      <w:sz w:val="21"/>
      <w:szCs w:val="22"/>
    </w:rPr>
  </w:style>
  <w:style w:type="character" w:customStyle="1" w:styleId="82">
    <w:name w:val="正文文本 Char"/>
    <w:qFormat/>
    <w:locked/>
    <w:uiPriority w:val="0"/>
    <w:rPr>
      <w:sz w:val="18"/>
    </w:rPr>
  </w:style>
  <w:style w:type="paragraph" w:customStyle="1" w:styleId="83">
    <w:name w:val="纯文本1"/>
    <w:basedOn w:val="1"/>
    <w:qFormat/>
    <w:uiPriority w:val="0"/>
    <w:pPr>
      <w:adjustRightInd w:val="0"/>
    </w:pPr>
    <w:rPr>
      <w:rFonts w:ascii="宋体" w:hAnsi="Courier New"/>
      <w:szCs w:val="20"/>
    </w:rPr>
  </w:style>
  <w:style w:type="paragraph" w:customStyle="1" w:styleId="84">
    <w:name w:val="样式35"/>
    <w:basedOn w:val="85"/>
    <w:next w:val="87"/>
    <w:qFormat/>
    <w:uiPriority w:val="0"/>
    <w:pPr>
      <w:tabs>
        <w:tab w:val="left" w:pos="0"/>
        <w:tab w:val="left" w:pos="360"/>
        <w:tab w:val="left" w:pos="540"/>
        <w:tab w:val="left" w:pos="567"/>
      </w:tabs>
      <w:spacing w:line="312" w:lineRule="auto"/>
      <w:ind w:firstLine="567"/>
    </w:pPr>
    <w:rPr>
      <w:rFonts w:ascii="宋体"/>
      <w:sz w:val="28"/>
    </w:rPr>
  </w:style>
  <w:style w:type="paragraph" w:customStyle="1" w:styleId="85">
    <w:name w:val="样式26"/>
    <w:basedOn w:val="86"/>
    <w:qFormat/>
    <w:uiPriority w:val="0"/>
    <w:pPr>
      <w:tabs>
        <w:tab w:val="left" w:pos="0"/>
        <w:tab w:val="left" w:pos="360"/>
        <w:tab w:val="left" w:pos="540"/>
        <w:tab w:val="left" w:pos="567"/>
      </w:tabs>
    </w:pPr>
  </w:style>
  <w:style w:type="paragraph" w:customStyle="1" w:styleId="86">
    <w:name w:val="样式21"/>
    <w:basedOn w:val="73"/>
    <w:qFormat/>
    <w:uiPriority w:val="0"/>
    <w:pPr>
      <w:tabs>
        <w:tab w:val="left" w:pos="360"/>
        <w:tab w:val="left" w:pos="567"/>
        <w:tab w:val="clear" w:pos="420"/>
        <w:tab w:val="clear" w:pos="1260"/>
      </w:tabs>
      <w:spacing w:before="120" w:after="120"/>
      <w:ind w:hanging="992"/>
    </w:pPr>
  </w:style>
  <w:style w:type="paragraph" w:customStyle="1" w:styleId="87">
    <w:name w:val="font6"/>
    <w:basedOn w:val="1"/>
    <w:next w:val="27"/>
    <w:qFormat/>
    <w:uiPriority w:val="0"/>
    <w:pPr>
      <w:widowControl/>
      <w:spacing w:before="280" w:after="280"/>
    </w:pPr>
  </w:style>
  <w:style w:type="paragraph" w:customStyle="1" w:styleId="88">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89">
    <w:name w:val="msolistparagraph"/>
    <w:basedOn w:val="1"/>
    <w:qFormat/>
    <w:uiPriority w:val="0"/>
    <w:pPr>
      <w:ind w:firstLine="420" w:firstLineChars="200"/>
    </w:pPr>
    <w:rPr>
      <w:rFonts w:ascii="Calibri" w:hAnsi="Calibri"/>
      <w:szCs w:val="22"/>
    </w:rPr>
  </w:style>
  <w:style w:type="paragraph" w:customStyle="1" w:styleId="90">
    <w:name w:val="正文 首行缩进:  2 字符"/>
    <w:basedOn w:val="1"/>
    <w:qFormat/>
    <w:uiPriority w:val="0"/>
    <w:pPr>
      <w:ind w:firstLine="579" w:firstLineChars="200"/>
    </w:pPr>
    <w:rPr>
      <w:rFonts w:cs="宋体"/>
    </w:rPr>
  </w:style>
  <w:style w:type="paragraph" w:customStyle="1" w:styleId="91">
    <w:name w:val="Table Paragraph"/>
    <w:basedOn w:val="1"/>
    <w:qFormat/>
    <w:uiPriority w:val="0"/>
  </w:style>
  <w:style w:type="paragraph" w:customStyle="1" w:styleId="92">
    <w:name w:val="环评表头"/>
    <w:basedOn w:val="1"/>
    <w:qFormat/>
    <w:uiPriority w:val="0"/>
    <w:pPr>
      <w:widowControl/>
      <w:jc w:val="center"/>
    </w:pPr>
    <w:rPr>
      <w:b/>
      <w:kern w:val="0"/>
      <w:szCs w:val="20"/>
    </w:rPr>
  </w:style>
  <w:style w:type="paragraph" w:customStyle="1" w:styleId="93">
    <w:name w:val="1 正文"/>
    <w:basedOn w:val="1"/>
    <w:qFormat/>
    <w:uiPriority w:val="0"/>
    <w:pPr>
      <w:spacing w:line="360" w:lineRule="auto"/>
      <w:ind w:firstLine="200" w:firstLineChars="200"/>
    </w:pPr>
    <w:rPr>
      <w:kern w:val="0"/>
      <w:sz w:val="24"/>
      <w:szCs w:val="20"/>
    </w:rPr>
  </w:style>
  <w:style w:type="paragraph" w:customStyle="1" w:styleId="94">
    <w:name w:val="正文文字"/>
    <w:basedOn w:val="1"/>
    <w:qFormat/>
    <w:uiPriority w:val="0"/>
    <w:pPr>
      <w:spacing w:line="560" w:lineRule="exact"/>
      <w:ind w:firstLine="200" w:firstLineChars="200"/>
    </w:pPr>
    <w:rPr>
      <w:rFonts w:ascii="宋体" w:hAnsi="宋体"/>
      <w:sz w:val="24"/>
      <w:szCs w:val="20"/>
    </w:rPr>
  </w:style>
  <w:style w:type="table" w:customStyle="1" w:styleId="95">
    <w:name w:val="Table Normal"/>
    <w:unhideWhenUsed/>
    <w:qFormat/>
    <w:uiPriority w:val="0"/>
    <w:tblPr>
      <w:tblCellMar>
        <w:top w:w="0" w:type="dxa"/>
        <w:left w:w="0" w:type="dxa"/>
        <w:bottom w:w="0" w:type="dxa"/>
        <w:right w:w="0" w:type="dxa"/>
      </w:tblCellMar>
    </w:tblPr>
  </w:style>
  <w:style w:type="paragraph" w:customStyle="1" w:styleId="96">
    <w:name w:val="表格文字"/>
    <w:basedOn w:val="24"/>
    <w:next w:val="1"/>
    <w:qFormat/>
    <w:uiPriority w:val="0"/>
    <w:pPr>
      <w:snapToGrid w:val="0"/>
      <w:spacing w:line="360" w:lineRule="auto"/>
      <w:ind w:firstLine="0" w:firstLineChars="0"/>
      <w:jc w:val="center"/>
    </w:pPr>
    <w:rPr>
      <w:szCs w:val="21"/>
    </w:rPr>
  </w:style>
  <w:style w:type="paragraph" w:customStyle="1" w:styleId="97">
    <w:name w:val="表字体"/>
    <w:basedOn w:val="1"/>
    <w:next w:val="1"/>
    <w:qFormat/>
    <w:uiPriority w:val="0"/>
    <w:pPr>
      <w:jc w:val="center"/>
    </w:pPr>
  </w:style>
  <w:style w:type="paragraph" w:customStyle="1" w:styleId="98">
    <w:name w:val="样式 (符号) 宋体 小四 行距: 1.5 倍行距"/>
    <w:basedOn w:val="1"/>
    <w:qFormat/>
    <w:uiPriority w:val="0"/>
    <w:pPr>
      <w:spacing w:line="360" w:lineRule="auto"/>
      <w:ind w:firstLine="480" w:firstLineChars="200"/>
    </w:pPr>
    <w:rPr>
      <w:rFonts w:ascii="Calibri" w:hAnsi="宋体" w:cs="宋体"/>
      <w:sz w:val="24"/>
      <w:szCs w:val="21"/>
    </w:rPr>
  </w:style>
  <w:style w:type="paragraph" w:customStyle="1" w:styleId="99">
    <w:name w:val="表中文字"/>
    <w:basedOn w:val="1"/>
    <w:qFormat/>
    <w:uiPriority w:val="0"/>
    <w:pPr>
      <w:adjustRightInd w:val="0"/>
      <w:snapToGrid w:val="0"/>
      <w:jc w:val="center"/>
    </w:pPr>
    <w:rPr>
      <w:bCs/>
    </w:rPr>
  </w:style>
  <w:style w:type="paragraph" w:customStyle="1" w:styleId="100">
    <w:name w:val="UserStyle_0"/>
    <w:basedOn w:val="101"/>
    <w:next w:val="1"/>
    <w:qFormat/>
    <w:uiPriority w:val="0"/>
    <w:rPr>
      <w:rFonts w:ascii="黑体" w:eastAsia="黑体"/>
      <w:color w:val="000000"/>
      <w:sz w:val="24"/>
    </w:rPr>
  </w:style>
  <w:style w:type="paragraph" w:customStyle="1" w:styleId="101">
    <w:name w:val="UserStyle_1"/>
    <w:basedOn w:val="1"/>
    <w:qFormat/>
    <w:uiPriority w:val="0"/>
    <w:pPr>
      <w:textAlignment w:val="baseline"/>
    </w:pPr>
    <w:rPr>
      <w:rFonts w:ascii="宋体" w:hAnsi="Courier New"/>
    </w:rPr>
  </w:style>
  <w:style w:type="paragraph" w:customStyle="1" w:styleId="102">
    <w:name w:val="报告文本"/>
    <w:basedOn w:val="1"/>
    <w:qFormat/>
    <w:uiPriority w:val="0"/>
    <w:pPr>
      <w:widowControl/>
      <w:spacing w:line="360" w:lineRule="auto"/>
      <w:ind w:firstLine="200" w:firstLineChars="200"/>
      <w:jc w:val="left"/>
    </w:pPr>
    <w:rPr>
      <w:kern w:val="0"/>
      <w:sz w:val="24"/>
    </w:rPr>
  </w:style>
  <w:style w:type="paragraph" w:customStyle="1" w:styleId="103">
    <w:name w:val="样式 (中文) 仿宋_GB2312 四号 行距:正文1"/>
    <w:basedOn w:val="1"/>
    <w:qFormat/>
    <w:uiPriority w:val="0"/>
    <w:pPr>
      <w:adjustRightInd w:val="0"/>
      <w:snapToGrid w:val="0"/>
      <w:spacing w:line="360" w:lineRule="auto"/>
      <w:ind w:firstLine="480" w:firstLineChars="200"/>
    </w:pPr>
    <w:rPr>
      <w:rFonts w:eastAsia="仿宋"/>
      <w:sz w:val="24"/>
      <w:lang w:val="zh-CN"/>
    </w:rPr>
  </w:style>
  <w:style w:type="paragraph" w:customStyle="1" w:styleId="104">
    <w:name w:val="常用原表字体"/>
    <w:basedOn w:val="1"/>
    <w:next w:val="1"/>
    <w:qFormat/>
    <w:uiPriority w:val="0"/>
    <w:rPr>
      <w:b/>
      <w:bCs/>
      <w:kern w:val="28"/>
      <w:sz w:val="24"/>
      <w:szCs w:val="20"/>
    </w:rPr>
  </w:style>
  <w:style w:type="paragraph" w:customStyle="1" w:styleId="105">
    <w:name w:val="正文正本 + 宋体"/>
    <w:basedOn w:val="1"/>
    <w:qFormat/>
    <w:uiPriority w:val="0"/>
    <w:pPr>
      <w:widowControl/>
      <w:spacing w:line="360" w:lineRule="auto"/>
      <w:ind w:firstLine="510"/>
      <w:jc w:val="left"/>
    </w:pPr>
    <w:rPr>
      <w:rFonts w:ascii="宋体" w:hAnsi="宋体"/>
      <w:kern w:val="0"/>
      <w:sz w:val="24"/>
    </w:rPr>
  </w:style>
  <w:style w:type="paragraph" w:customStyle="1" w:styleId="106">
    <w:name w:val="表 图 内容"/>
    <w:basedOn w:val="1"/>
    <w:qFormat/>
    <w:uiPriority w:val="0"/>
    <w:pPr>
      <w:jc w:val="center"/>
    </w:pPr>
    <w:rPr>
      <w:color w:val="000000"/>
    </w:rPr>
  </w:style>
  <w:style w:type="paragraph" w:customStyle="1" w:styleId="107">
    <w:name w:val="（正文）"/>
    <w:basedOn w:val="17"/>
    <w:qFormat/>
    <w:uiPriority w:val="0"/>
    <w:pPr>
      <w:tabs>
        <w:tab w:val="left" w:pos="0"/>
      </w:tabs>
      <w:adjustRightInd w:val="0"/>
      <w:spacing w:line="360" w:lineRule="auto"/>
      <w:ind w:firstLine="200" w:firstLineChars="200"/>
    </w:pPr>
    <w:rPr>
      <w:rFonts w:ascii="Calibri" w:hAnsi="Calibri"/>
      <w:sz w:val="24"/>
      <w:szCs w:val="22"/>
    </w:rPr>
  </w:style>
  <w:style w:type="paragraph" w:customStyle="1" w:styleId="108">
    <w:name w:val="xl30"/>
    <w:basedOn w:val="1"/>
    <w:qFormat/>
    <w:uiPriority w:val="0"/>
    <w:pPr>
      <w:widowControl/>
      <w:pBdr>
        <w:left w:val="single" w:color="auto" w:sz="12" w:space="0"/>
        <w:right w:val="single" w:color="auto" w:sz="4" w:space="0"/>
      </w:pBdr>
      <w:spacing w:before="100" w:after="100"/>
      <w:jc w:val="center"/>
    </w:pPr>
    <w:rPr>
      <w:rFonts w:ascii="宋体" w:hAnsi="宋体"/>
      <w:kern w:val="0"/>
      <w:sz w:val="24"/>
      <w:szCs w:val="20"/>
    </w:rPr>
  </w:style>
  <w:style w:type="paragraph" w:customStyle="1" w:styleId="109">
    <w:name w:val="正文格式"/>
    <w:basedOn w:val="1"/>
    <w:qFormat/>
    <w:uiPriority w:val="0"/>
    <w:pPr>
      <w:spacing w:line="360" w:lineRule="auto"/>
      <w:ind w:firstLine="482"/>
    </w:pPr>
    <w:rPr>
      <w:rFonts w:ascii="宋体" w:hAnsi="宋体"/>
      <w:sz w:val="24"/>
    </w:rPr>
  </w:style>
  <w:style w:type="paragraph" w:customStyle="1" w:styleId="110">
    <w:name w:val="文本"/>
    <w:qFormat/>
    <w:uiPriority w:val="0"/>
    <w:pPr>
      <w:spacing w:line="360" w:lineRule="auto"/>
      <w:ind w:firstLine="200" w:firstLineChars="200"/>
    </w:pPr>
    <w:rPr>
      <w:rFonts w:ascii="仿宋_GB2312" w:hAnsi="仿宋_GB2312" w:eastAsia="仿宋_GB2312" w:cs="Times New Roman"/>
      <w:kern w:val="2"/>
      <w:sz w:val="24"/>
      <w:lang w:val="en-US" w:eastAsia="zh-CN" w:bidi="ar-SA"/>
    </w:rPr>
  </w:style>
  <w:style w:type="paragraph" w:customStyle="1" w:styleId="111">
    <w:name w:val="ZZW"/>
    <w:basedOn w:val="1"/>
    <w:qFormat/>
    <w:uiPriority w:val="0"/>
    <w:pPr>
      <w:widowControl/>
      <w:spacing w:line="360" w:lineRule="auto"/>
      <w:ind w:firstLine="200" w:firstLineChars="200"/>
      <w:jc w:val="left"/>
    </w:pPr>
    <w:rPr>
      <w:kern w:val="0"/>
      <w:sz w:val="24"/>
      <w:szCs w:val="20"/>
    </w:rPr>
  </w:style>
  <w:style w:type="paragraph" w:customStyle="1" w:styleId="112">
    <w:name w:val="1正文"/>
    <w:basedOn w:val="1"/>
    <w:qFormat/>
    <w:uiPriority w:val="0"/>
    <w:pPr>
      <w:spacing w:line="360" w:lineRule="auto"/>
      <w:ind w:firstLine="200" w:firstLineChars="200"/>
    </w:pPr>
    <w:rPr>
      <w:sz w:val="24"/>
      <w:szCs w:val="20"/>
    </w:rPr>
  </w:style>
  <w:style w:type="paragraph" w:customStyle="1" w:styleId="113">
    <w:name w:val="table caption"/>
    <w:qFormat/>
    <w:uiPriority w:val="0"/>
    <w:pPr>
      <w:spacing w:before="120" w:after="120"/>
      <w:jc w:val="center"/>
    </w:pPr>
    <w:rPr>
      <w:rFonts w:ascii="Times New Roman" w:hAnsi="Times New Roman" w:eastAsia="黑体" w:cs="Times New Roman"/>
      <w:b/>
      <w:kern w:val="2"/>
      <w:sz w:val="24"/>
      <w:szCs w:val="24"/>
      <w:lang w:val="en-US" w:eastAsia="zh-CN" w:bidi="ar-SA"/>
    </w:rPr>
  </w:style>
  <w:style w:type="paragraph" w:customStyle="1" w:styleId="114">
    <w:name w:val="表头"/>
    <w:basedOn w:val="7"/>
    <w:qFormat/>
    <w:uiPriority w:val="0"/>
    <w:pPr>
      <w:spacing w:line="240" w:lineRule="auto"/>
      <w:ind w:firstLine="0"/>
      <w:jc w:val="center"/>
    </w:pPr>
    <w:rPr>
      <w:b/>
      <w:bCs/>
      <w:szCs w:val="21"/>
    </w:rPr>
  </w:style>
  <w:style w:type="paragraph" w:customStyle="1" w:styleId="115">
    <w:name w:val="X-0"/>
    <w:basedOn w:val="116"/>
    <w:link w:val="118"/>
    <w:qFormat/>
    <w:uiPriority w:val="0"/>
    <w:rPr>
      <w:sz w:val="24"/>
    </w:rPr>
  </w:style>
  <w:style w:type="paragraph" w:customStyle="1" w:styleId="116">
    <w:name w:val="0-1正文"/>
    <w:basedOn w:val="1"/>
    <w:link w:val="117"/>
    <w:qFormat/>
    <w:uiPriority w:val="0"/>
    <w:pPr>
      <w:autoSpaceDE w:val="0"/>
      <w:autoSpaceDN w:val="0"/>
      <w:adjustRightInd w:val="0"/>
      <w:snapToGrid w:val="0"/>
      <w:spacing w:line="360" w:lineRule="auto"/>
      <w:ind w:firstLine="200" w:firstLineChars="200"/>
    </w:pPr>
    <w:rPr>
      <w:rFonts w:cs="宋体"/>
      <w:kern w:val="0"/>
      <w:szCs w:val="21"/>
    </w:rPr>
  </w:style>
  <w:style w:type="character" w:customStyle="1" w:styleId="117">
    <w:name w:val="0-1正文 Char"/>
    <w:basedOn w:val="34"/>
    <w:link w:val="116"/>
    <w:qFormat/>
    <w:uiPriority w:val="0"/>
    <w:rPr>
      <w:rFonts w:cs="宋体"/>
      <w:kern w:val="0"/>
      <w:szCs w:val="21"/>
    </w:rPr>
  </w:style>
  <w:style w:type="character" w:customStyle="1" w:styleId="118">
    <w:name w:val="X-0 Char"/>
    <w:basedOn w:val="117"/>
    <w:link w:val="115"/>
    <w:qFormat/>
    <w:uiPriority w:val="0"/>
    <w:rPr>
      <w:rFonts w:cs="宋体"/>
      <w:kern w:val="0"/>
      <w:sz w:val="24"/>
      <w:szCs w:val="21"/>
    </w:rPr>
  </w:style>
  <w:style w:type="paragraph" w:customStyle="1" w:styleId="119">
    <w:name w:val="样式 样式 样式 样式 小四 左 首行缩进:  2 字符 + 首行缩进:  2 字符 Char + 右  0 字符1 + 小四..."/>
    <w:basedOn w:val="120"/>
    <w:qFormat/>
    <w:uiPriority w:val="0"/>
    <w:pPr>
      <w:ind w:firstLine="480"/>
    </w:pPr>
  </w:style>
  <w:style w:type="paragraph" w:customStyle="1" w:styleId="120">
    <w:name w:val="样式 样式 样式 小四 左 首行缩进:  2 字符 + 首行缩进:  2 字符 Char + 右  0 字符1"/>
    <w:basedOn w:val="121"/>
    <w:qFormat/>
    <w:uiPriority w:val="0"/>
    <w:pPr>
      <w:ind w:right="0" w:rightChars="0" w:firstLine="200"/>
    </w:pPr>
    <w:rPr>
      <w:sz w:val="24"/>
    </w:rPr>
  </w:style>
  <w:style w:type="paragraph" w:customStyle="1" w:styleId="121">
    <w:name w:val="样式 样式 小四 左 首行缩进:  2 字符 + 首行缩进:  2 字符 Char"/>
    <w:basedOn w:val="122"/>
    <w:qFormat/>
    <w:uiPriority w:val="0"/>
    <w:pPr>
      <w:ind w:firstLine="560"/>
    </w:pPr>
    <w:rPr>
      <w:sz w:val="28"/>
    </w:rPr>
  </w:style>
  <w:style w:type="paragraph" w:customStyle="1" w:styleId="122">
    <w:name w:val="样式 小四 左 首行缩进:  2 字符"/>
    <w:basedOn w:val="1"/>
    <w:qFormat/>
    <w:uiPriority w:val="0"/>
    <w:pPr>
      <w:adjustRightInd w:val="0"/>
      <w:spacing w:line="360" w:lineRule="auto"/>
      <w:ind w:right="-56" w:rightChars="-20" w:firstLine="480" w:firstLineChars="200"/>
      <w:jc w:val="left"/>
      <w:textAlignment w:val="baseline"/>
    </w:pPr>
    <w:rPr>
      <w:rFonts w:cs="宋体"/>
      <w:sz w:val="24"/>
    </w:rPr>
  </w:style>
  <w:style w:type="paragraph" w:customStyle="1" w:styleId="123">
    <w:name w:val="X-N"/>
    <w:basedOn w:val="1"/>
    <w:link w:val="124"/>
    <w:qFormat/>
    <w:uiPriority w:val="0"/>
    <w:pPr>
      <w:adjustRightInd w:val="0"/>
      <w:jc w:val="center"/>
    </w:pPr>
    <w:rPr>
      <w:szCs w:val="21"/>
    </w:rPr>
  </w:style>
  <w:style w:type="character" w:customStyle="1" w:styleId="124">
    <w:name w:val="X-N Char"/>
    <w:link w:val="123"/>
    <w:qFormat/>
    <w:uiPriority w:val="0"/>
    <w:rPr>
      <w:szCs w:val="21"/>
    </w:rPr>
  </w:style>
  <w:style w:type="paragraph" w:customStyle="1" w:styleId="125">
    <w:name w:val="X-W"/>
    <w:basedOn w:val="126"/>
    <w:qFormat/>
    <w:uiPriority w:val="0"/>
    <w:pPr>
      <w:spacing w:before="120" w:beforeLines="0"/>
    </w:pPr>
    <w:rPr>
      <w:sz w:val="24"/>
    </w:rPr>
  </w:style>
  <w:style w:type="paragraph" w:customStyle="1" w:styleId="126">
    <w:name w:val="0-2表外"/>
    <w:basedOn w:val="127"/>
    <w:qFormat/>
    <w:uiPriority w:val="0"/>
    <w:rPr>
      <w:color w:val="000000"/>
      <w:sz w:val="21"/>
    </w:rPr>
  </w:style>
  <w:style w:type="paragraph" w:customStyle="1" w:styleId="127">
    <w:name w:val="03表格外"/>
    <w:basedOn w:val="1"/>
    <w:qFormat/>
    <w:uiPriority w:val="0"/>
    <w:pPr>
      <w:adjustRightInd w:val="0"/>
      <w:snapToGrid w:val="0"/>
      <w:spacing w:before="50" w:beforeLines="50"/>
      <w:jc w:val="center"/>
    </w:pPr>
    <w:rPr>
      <w:b/>
      <w:sz w:val="24"/>
      <w:szCs w:val="20"/>
    </w:rPr>
  </w:style>
  <w:style w:type="paragraph" w:customStyle="1" w:styleId="128">
    <w:name w:val="X-1"/>
    <w:basedOn w:val="129"/>
    <w:qFormat/>
    <w:uiPriority w:val="0"/>
    <w:rPr>
      <w:sz w:val="24"/>
    </w:rPr>
  </w:style>
  <w:style w:type="paragraph" w:customStyle="1" w:styleId="129">
    <w:name w:val="表-2"/>
    <w:basedOn w:val="116"/>
    <w:qFormat/>
    <w:uiPriority w:val="0"/>
    <w:pPr>
      <w:ind w:firstLine="0" w:firstLineChars="0"/>
    </w:pPr>
    <w:rPr>
      <w:b/>
      <w:bCs/>
    </w:rPr>
  </w:style>
  <w:style w:type="paragraph" w:customStyle="1" w:styleId="130">
    <w:name w:val="表格内"/>
    <w:basedOn w:val="131"/>
    <w:qFormat/>
    <w:uiPriority w:val="0"/>
    <w:pPr>
      <w:adjustRightInd w:val="0"/>
      <w:jc w:val="center"/>
    </w:pPr>
    <w:rPr>
      <w:szCs w:val="21"/>
    </w:rPr>
  </w:style>
  <w:style w:type="paragraph" w:customStyle="1" w:styleId="131">
    <w:name w:val="正"/>
    <w:basedOn w:val="1"/>
    <w:qFormat/>
    <w:uiPriority w:val="0"/>
  </w:style>
  <w:style w:type="paragraph" w:customStyle="1" w:styleId="132">
    <w:name w:val="样式 样式 样式 四号 左侧:  1.53 厘米 + 首行缩进:  2 字符 + 居中 左侧:  2 字符 首行缩进:  2..."/>
    <w:basedOn w:val="133"/>
    <w:qFormat/>
    <w:uiPriority w:val="0"/>
    <w:pPr>
      <w:jc w:val="center"/>
    </w:pPr>
  </w:style>
  <w:style w:type="paragraph" w:customStyle="1" w:styleId="133">
    <w:name w:val="样式 样式 四号 左侧:  1.53 厘米 + 首行缩进:  2 字符"/>
    <w:basedOn w:val="134"/>
    <w:qFormat/>
    <w:uiPriority w:val="0"/>
    <w:pPr>
      <w:ind w:left="200" w:leftChars="200"/>
    </w:pPr>
    <w:rPr>
      <w:szCs w:val="20"/>
    </w:rPr>
  </w:style>
  <w:style w:type="paragraph" w:customStyle="1" w:styleId="134">
    <w:name w:val="样式 四号 左侧:  1.53 厘米"/>
    <w:basedOn w:val="1"/>
    <w:qFormat/>
    <w:uiPriority w:val="0"/>
    <w:pPr>
      <w:adjustRightInd w:val="0"/>
    </w:pPr>
    <w:rPr>
      <w:w w:val="90"/>
      <w:sz w:val="28"/>
      <w:szCs w:val="28"/>
    </w:rPr>
  </w:style>
  <w:style w:type="paragraph" w:customStyle="1" w:styleId="135">
    <w:name w:val="表格正文"/>
    <w:basedOn w:val="1"/>
    <w:next w:val="1"/>
    <w:qFormat/>
    <w:uiPriority w:val="0"/>
    <w:pPr>
      <w:jc w:val="center"/>
    </w:pPr>
  </w:style>
  <w:style w:type="paragraph" w:customStyle="1" w:styleId="136">
    <w:name w:val="X-#"/>
    <w:basedOn w:val="116"/>
    <w:qFormat/>
    <w:uiPriority w:val="0"/>
    <w:pPr>
      <w:spacing w:line="160" w:lineRule="exact"/>
      <w:ind w:firstLine="0" w:firstLineChars="0"/>
    </w:pPr>
    <w:rPr>
      <w:sz w:val="11"/>
    </w:rPr>
  </w:style>
  <w:style w:type="paragraph" w:customStyle="1" w:styleId="137">
    <w:name w:val="Date1"/>
    <w:basedOn w:val="1"/>
    <w:next w:val="1"/>
    <w:qFormat/>
    <w:uiPriority w:val="0"/>
    <w:pPr>
      <w:adjustRightInd w:val="0"/>
      <w:textAlignment w:val="baseline"/>
    </w:pPr>
    <w:rPr>
      <w:u w:color="FFFFFF"/>
    </w:rPr>
  </w:style>
  <w:style w:type="paragraph" w:styleId="138">
    <w:name w:val="List Paragraph"/>
    <w:basedOn w:val="1"/>
    <w:qFormat/>
    <w:uiPriority w:val="0"/>
    <w:pPr>
      <w:ind w:firstLine="420" w:firstLineChars="200"/>
    </w:pPr>
    <w:rPr>
      <w:sz w:val="32"/>
    </w:rPr>
  </w:style>
  <w:style w:type="paragraph" w:customStyle="1" w:styleId="139">
    <w:name w:val="表格内容"/>
    <w:basedOn w:val="106"/>
    <w:next w:val="1"/>
    <w:qFormat/>
    <w:uiPriority w:val="0"/>
    <w:rPr>
      <w:bCs/>
    </w:rPr>
  </w:style>
  <w:style w:type="paragraph" w:customStyle="1" w:styleId="140">
    <w:name w:val="Table Text"/>
    <w:basedOn w:val="1"/>
    <w:semiHidden/>
    <w:qFormat/>
    <w:uiPriority w:val="0"/>
    <w:rPr>
      <w:rFonts w:ascii="宋体" w:hAnsi="宋体" w:cs="宋体"/>
      <w:sz w:val="20"/>
      <w:szCs w:val="20"/>
      <w:lang w:eastAsia="en-US"/>
    </w:rPr>
  </w:style>
  <w:style w:type="paragraph" w:customStyle="1" w:styleId="141">
    <w:name w:val="正文 首行缩进"/>
    <w:basedOn w:val="1"/>
    <w:qFormat/>
    <w:uiPriority w:val="0"/>
    <w:pPr>
      <w:spacing w:line="360" w:lineRule="auto"/>
      <w:ind w:firstLine="200" w:firstLineChars="200"/>
    </w:pPr>
    <w:rPr>
      <w:rFonts w:cs="宋体"/>
      <w:kern w:val="0"/>
      <w:szCs w:val="20"/>
    </w:rPr>
  </w:style>
  <w:style w:type="paragraph" w:customStyle="1" w:styleId="142">
    <w:name w:val="表格内文字"/>
    <w:basedOn w:val="1"/>
    <w:next w:val="1"/>
    <w:qFormat/>
    <w:uiPriority w:val="0"/>
    <w:pPr>
      <w:jc w:val="center"/>
    </w:pPr>
    <w:rPr>
      <w:spacing w:val="1"/>
      <w:kern w:val="0"/>
    </w:rPr>
  </w:style>
  <w:style w:type="paragraph" w:customStyle="1" w:styleId="143">
    <w:name w:val="aa正文"/>
    <w:basedOn w:val="1"/>
    <w:qFormat/>
    <w:uiPriority w:val="0"/>
    <w:pPr>
      <w:spacing w:line="360" w:lineRule="auto"/>
      <w:ind w:firstLine="200" w:firstLineChars="200"/>
    </w:pPr>
    <w:rPr>
      <w:rFonts w:ascii="Calibri" w:hAnsi="Calibri"/>
      <w:sz w:val="24"/>
    </w:rPr>
  </w:style>
  <w:style w:type="paragraph" w:customStyle="1" w:styleId="144">
    <w:name w:val="表头1"/>
    <w:basedOn w:val="1"/>
    <w:qFormat/>
    <w:uiPriority w:val="0"/>
    <w:pPr>
      <w:spacing w:line="360" w:lineRule="auto"/>
      <w:jc w:val="center"/>
      <w:outlineLvl w:val="0"/>
    </w:pPr>
    <w:rPr>
      <w:b/>
      <w:color w:val="000000"/>
    </w:rPr>
  </w:style>
  <w:style w:type="paragraph" w:customStyle="1" w:styleId="145">
    <w:name w:val="A0正文"/>
    <w:basedOn w:val="1"/>
    <w:qFormat/>
    <w:uiPriority w:val="0"/>
    <w:pPr>
      <w:spacing w:line="560" w:lineRule="exact"/>
      <w:ind w:firstLine="200" w:firstLineChars="200"/>
    </w:pPr>
    <w:rPr>
      <w:rFonts w:cs="宋体"/>
      <w:sz w:val="24"/>
      <w:szCs w:val="20"/>
      <w:lang w:val="zh-CN"/>
    </w:rPr>
  </w:style>
  <w:style w:type="paragraph" w:customStyle="1" w:styleId="146">
    <w:name w:val="报告表正文标注文字"/>
    <w:basedOn w:val="147"/>
    <w:qFormat/>
    <w:uiPriority w:val="0"/>
    <w:pPr>
      <w:ind w:firstLine="482"/>
    </w:pPr>
    <w:rPr>
      <w:b/>
      <w:color w:val="FF0000"/>
    </w:rPr>
  </w:style>
  <w:style w:type="paragraph" w:customStyle="1" w:styleId="147">
    <w:name w:val="报告表正文"/>
    <w:basedOn w:val="1"/>
    <w:qFormat/>
    <w:uiPriority w:val="0"/>
    <w:pPr>
      <w:spacing w:line="360" w:lineRule="auto"/>
      <w:ind w:firstLine="200" w:firstLineChars="200"/>
    </w:pPr>
    <w:rPr>
      <w:color w:val="000000"/>
      <w:sz w:val="24"/>
      <w:lang w:val="zh-CN"/>
    </w:rPr>
  </w:style>
  <w:style w:type="paragraph" w:customStyle="1" w:styleId="148">
    <w:name w:val="A正文"/>
    <w:basedOn w:val="1"/>
    <w:next w:val="12"/>
    <w:qFormat/>
    <w:uiPriority w:val="0"/>
    <w:pPr>
      <w:spacing w:line="360" w:lineRule="auto"/>
      <w:ind w:firstLine="200" w:firstLineChars="200"/>
    </w:pPr>
    <w:rPr>
      <w:sz w:val="24"/>
      <w:lang w:val="zh-CN"/>
    </w:rPr>
  </w:style>
  <w:style w:type="paragraph" w:customStyle="1" w:styleId="149">
    <w:name w:val="表文(G)"/>
    <w:basedOn w:val="1"/>
    <w:qFormat/>
    <w:uiPriority w:val="0"/>
    <w:pPr>
      <w:tabs>
        <w:tab w:val="left" w:pos="1021"/>
      </w:tabs>
      <w:jc w:val="center"/>
    </w:pPr>
    <w:rPr>
      <w:position w:val="-24"/>
      <w:szCs w:val="21"/>
    </w:rPr>
  </w:style>
  <w:style w:type="paragraph" w:customStyle="1" w:styleId="150">
    <w:name w:val="表内容"/>
    <w:basedOn w:val="1"/>
    <w:qFormat/>
    <w:uiPriority w:val="0"/>
    <w:pPr>
      <w:adjustRightInd w:val="0"/>
      <w:snapToGrid w:val="0"/>
      <w:spacing w:line="0" w:lineRule="atLeast"/>
      <w:jc w:val="center"/>
    </w:pPr>
    <w:rPr>
      <w:snapToGrid w:val="0"/>
      <w:sz w:val="20"/>
      <w:szCs w:val="21"/>
    </w:rPr>
  </w:style>
  <w:style w:type="paragraph" w:customStyle="1" w:styleId="151">
    <w:name w:val="Other|1"/>
    <w:basedOn w:val="1"/>
    <w:qFormat/>
    <w:uiPriority w:val="0"/>
    <w:pPr>
      <w:jc w:val="center"/>
    </w:pPr>
    <w:rPr>
      <w:sz w:val="20"/>
      <w:szCs w:val="20"/>
      <w:lang w:val="zh-TW" w:eastAsia="zh-TW" w:bidi="zh-TW"/>
    </w:rPr>
  </w:style>
  <w:style w:type="character" w:customStyle="1" w:styleId="152">
    <w:name w:val="font01"/>
    <w:basedOn w:val="34"/>
    <w:qFormat/>
    <w:uiPriority w:val="0"/>
    <w:rPr>
      <w:rFonts w:ascii="Segoe UI Symbol" w:hAnsi="Segoe UI Symbol" w:eastAsia="Segoe UI Symbol" w:cs="Segoe UI Symbol"/>
      <w:color w:val="000000"/>
      <w:sz w:val="21"/>
      <w:szCs w:val="21"/>
      <w:u w:val="none"/>
    </w:rPr>
  </w:style>
  <w:style w:type="paragraph" w:customStyle="1" w:styleId="153">
    <w:name w:val="正文（行首缩进2字）"/>
    <w:basedOn w:val="1"/>
    <w:qFormat/>
    <w:uiPriority w:val="0"/>
    <w:pPr>
      <w:spacing w:line="500" w:lineRule="exact"/>
      <w:ind w:firstLine="200" w:firstLineChars="200"/>
    </w:pPr>
    <w:rPr>
      <w:sz w:val="24"/>
    </w:rPr>
  </w:style>
  <w:style w:type="character" w:customStyle="1" w:styleId="154">
    <w:name w:val="font11"/>
    <w:basedOn w:val="34"/>
    <w:qFormat/>
    <w:uiPriority w:val="0"/>
    <w:rPr>
      <w:rFonts w:hint="eastAsia" w:ascii="宋体" w:hAnsi="宋体" w:eastAsia="宋体" w:cs="宋体"/>
      <w:b/>
      <w:bCs/>
      <w:color w:val="000000"/>
      <w:sz w:val="21"/>
      <w:szCs w:val="21"/>
      <w:u w:val="none"/>
    </w:rPr>
  </w:style>
  <w:style w:type="character" w:customStyle="1" w:styleId="155">
    <w:name w:val="font41"/>
    <w:basedOn w:val="34"/>
    <w:qFormat/>
    <w:uiPriority w:val="0"/>
    <w:rPr>
      <w:rFonts w:hint="default" w:ascii="Times New Roman" w:hAnsi="Times New Roman" w:cs="Times New Roman"/>
      <w:b/>
      <w:bCs/>
      <w:color w:val="000000"/>
      <w:sz w:val="21"/>
      <w:szCs w:val="21"/>
      <w:u w:val="none"/>
    </w:rPr>
  </w:style>
  <w:style w:type="character" w:customStyle="1" w:styleId="156">
    <w:name w:val="font31"/>
    <w:basedOn w:val="34"/>
    <w:qFormat/>
    <w:uiPriority w:val="0"/>
    <w:rPr>
      <w:rFonts w:hint="default" w:ascii="Times New Roman" w:hAnsi="Times New Roman" w:cs="Times New Roman"/>
      <w:color w:val="000000"/>
      <w:sz w:val="21"/>
      <w:szCs w:val="21"/>
      <w:u w:val="none"/>
    </w:rPr>
  </w:style>
  <w:style w:type="character" w:customStyle="1" w:styleId="157">
    <w:name w:val="font21"/>
    <w:basedOn w:val="34"/>
    <w:qFormat/>
    <w:uiPriority w:val="0"/>
    <w:rPr>
      <w:rFonts w:hint="eastAsia" w:ascii="宋体" w:hAnsi="宋体" w:eastAsia="宋体" w:cs="宋体"/>
      <w:color w:val="000000"/>
      <w:sz w:val="21"/>
      <w:szCs w:val="21"/>
      <w:u w:val="none"/>
    </w:rPr>
  </w:style>
  <w:style w:type="paragraph" w:customStyle="1" w:styleId="158">
    <w:name w:val="正文1"/>
    <w:basedOn w:val="1"/>
    <w:qFormat/>
    <w:uiPriority w:val="0"/>
    <w:pPr>
      <w:spacing w:line="560" w:lineRule="exact"/>
      <w:ind w:firstLine="200" w:firstLineChars="200"/>
    </w:pPr>
    <w:rPr>
      <w:rFonts w:cs="宋体"/>
      <w:color w:val="000000"/>
      <w:sz w:val="24"/>
      <w:szCs w:val="20"/>
    </w:rPr>
  </w:style>
  <w:style w:type="character" w:customStyle="1" w:styleId="159">
    <w:name w:val="font51"/>
    <w:basedOn w:val="34"/>
    <w:qFormat/>
    <w:uiPriority w:val="0"/>
    <w:rPr>
      <w:rFonts w:hint="default" w:ascii="Times New Roman" w:hAnsi="Times New Roman" w:cs="Times New Roman"/>
      <w:color w:val="000000"/>
      <w:sz w:val="21"/>
      <w:szCs w:val="21"/>
      <w:u w:val="none"/>
      <w:vertAlign w:val="subscript"/>
    </w:rPr>
  </w:style>
  <w:style w:type="character" w:customStyle="1" w:styleId="160">
    <w:name w:val="标题 1 字符"/>
    <w:link w:val="2"/>
    <w:qFormat/>
    <w:uiPriority w:val="99"/>
    <w:rPr>
      <w:rFonts w:eastAsia="黑体"/>
      <w:b/>
      <w:bCs/>
      <w:color w:val="000000"/>
      <w:kern w:val="44"/>
      <w:sz w:val="30"/>
      <w:szCs w:val="30"/>
    </w:rPr>
  </w:style>
  <w:style w:type="paragraph" w:customStyle="1" w:styleId="161">
    <w:name w:val="g表格标题"/>
    <w:qFormat/>
    <w:uiPriority w:val="0"/>
    <w:p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162">
    <w:name w:val="缩进"/>
    <w:basedOn w:val="1"/>
    <w:qFormat/>
    <w:uiPriority w:val="0"/>
    <w:pPr>
      <w:autoSpaceDE w:val="0"/>
      <w:autoSpaceDN w:val="0"/>
      <w:adjustRightInd w:val="0"/>
      <w:spacing w:line="400" w:lineRule="atLeast"/>
      <w:ind w:firstLine="425"/>
      <w:textAlignment w:val="baseline"/>
    </w:pPr>
    <w:rPr>
      <w:kern w:val="0"/>
    </w:rPr>
  </w:style>
  <w:style w:type="character" w:customStyle="1" w:styleId="163">
    <w:name w:val="font61"/>
    <w:basedOn w:val="34"/>
    <w:qFormat/>
    <w:uiPriority w:val="0"/>
    <w:rPr>
      <w:rFonts w:hint="default" w:ascii="Times New Roman" w:hAnsi="Times New Roman" w:cs="Times New Roman"/>
      <w:color w:val="000000"/>
      <w:sz w:val="21"/>
      <w:szCs w:val="21"/>
      <w:u w:val="none"/>
      <w:vertAlign w:val="subscript"/>
    </w:rPr>
  </w:style>
  <w:style w:type="paragraph" w:customStyle="1" w:styleId="164">
    <w:name w:val="环评正文"/>
    <w:basedOn w:val="1"/>
    <w:qFormat/>
    <w:uiPriority w:val="0"/>
    <w:pPr>
      <w:spacing w:line="360" w:lineRule="auto"/>
      <w:ind w:firstLine="480" w:firstLineChars="200"/>
    </w:pPr>
    <w:rPr>
      <w:sz w:val="24"/>
      <w:szCs w:val="21"/>
    </w:rPr>
  </w:style>
  <w:style w:type="character" w:customStyle="1" w:styleId="165">
    <w:name w:val="font81"/>
    <w:basedOn w:val="34"/>
    <w:qFormat/>
    <w:uiPriority w:val="0"/>
    <w:rPr>
      <w:rFonts w:hint="default" w:ascii="Times New Roman" w:hAnsi="Times New Roman" w:cs="Times New Roman"/>
      <w:b/>
      <w:bCs/>
      <w:color w:val="000000"/>
      <w:sz w:val="21"/>
      <w:szCs w:val="21"/>
      <w:u w:val="none"/>
    </w:rPr>
  </w:style>
  <w:style w:type="character" w:customStyle="1" w:styleId="166">
    <w:name w:val="NormalCharacter"/>
    <w:qFormat/>
    <w:uiPriority w:val="0"/>
  </w:style>
  <w:style w:type="paragraph" w:customStyle="1" w:styleId="167">
    <w:name w:val="1表头"/>
    <w:basedOn w:val="1"/>
    <w:qFormat/>
    <w:uiPriority w:val="0"/>
    <w:pPr>
      <w:adjustRightInd w:val="0"/>
      <w:snapToGrid w:val="0"/>
      <w:spacing w:before="62" w:beforeLines="20" w:after="62" w:afterLines="20"/>
      <w:jc w:val="center"/>
    </w:pPr>
    <w:rPr>
      <w:b/>
    </w:rPr>
  </w:style>
  <w:style w:type="paragraph" w:customStyle="1" w:styleId="168">
    <w:name w:val="表 图 表头"/>
    <w:qFormat/>
    <w:uiPriority w:val="0"/>
    <w:pPr>
      <w:jc w:val="center"/>
    </w:pPr>
    <w:rPr>
      <w:rFonts w:ascii="Times New Roman" w:hAnsi="Times New Roman" w:eastAsia="宋体" w:cs="Times New Roman"/>
      <w:b/>
      <w:kern w:val="2"/>
      <w:sz w:val="24"/>
      <w:lang w:val="en-US" w:eastAsia="zh-CN" w:bidi="ar-SA"/>
    </w:rPr>
  </w:style>
  <w:style w:type="paragraph" w:customStyle="1" w:styleId="169">
    <w:name w:val="B正文"/>
    <w:basedOn w:val="1"/>
    <w:qFormat/>
    <w:uiPriority w:val="0"/>
    <w:pPr>
      <w:spacing w:line="360" w:lineRule="auto"/>
      <w:ind w:firstLine="200" w:firstLineChars="200"/>
    </w:pPr>
    <w:rPr>
      <w:sz w:val="24"/>
    </w:rPr>
  </w:style>
  <w:style w:type="paragraph" w:customStyle="1" w:styleId="170">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oleObject" Target="embeddings/oleObject3.bin"/><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"/>
    </extobj>
    <extobj name="ECB019B1-382A-4266-B25C-5B523AA43C14-2">
      <extobjdata type="ECB019B1-382A-4266-B25C-5B523AA43C14" data="ewoJIkZpbGVJZCIgOiAiMzcyNTc5MTEwMDE3IiwKCSJHcm91cElkIiA6ICIzNDM5ODcwODIiLAoJIkltYWdlIiA6ICJpVkJPUncwS0dnb0FBQUFOU1VoRVVnQUFCTzhBQUFDY0NBWUFBQUFuSDQ5VUFBQUFBWE5TUjBJQXJzNGM2UUFBSUFCSlJFRlVlSnpzM1hkZ0ZOWGFCdkRuekc0cWFTaWRnRWdSaUFLN1FSUUlSVkFCUVVGYVFCUkZJcUJYbW9MMEprVkVMeUxkQXRJVXBDaEY0SklBUm93UXVVZ2FOUkF3ZEFJaEpLUm5kK1o4ZjRUc2w4MXVRb0JnbHR6bjk4OWxaMlpueitiNm5wMTU1NXozQ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TZQL2Fnd01CQUFBQUFFSCsxaHRNVUFFQUFBQUFBQUFBQUFBQUFBQUFBQUFBQUFBQUFBQUFBQUFBQUFBQUFBQUFBQUFBQUFBQUFBQUFBQUFBQUFBQUFBQUFBQUFBQUFBQUFBQUFBQUFBQUFBQUFBQUFBQUFqWk9ISXl3V2tlandBQUFBQVNVVk9SSzVDWUlJPSIsCgkiVGhlbWUiIDogIiIsCgkiVHlwZSIgOiAiZmxvdyIsCgkiVXNlcklkIiA6ICIzNTMzMzE4MDciLAoJIlZlcnNpb24iIDogIjciCn0K"/>
    </extobj>
    <extobj name="ECB019B1-382A-4266-B25C-5B523AA43C14-3">
      <extobjdata type="ECB019B1-382A-4266-B25C-5B523AA43C14" data="ewoJIkZpbGVJZCIgOiAiMzY1MTMxNTg1ODI0IiwKCSJHcm91cElkIiA6ICIzNDM5ODcwODI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MzUzMzMxODA3IiwKCSJWZXJzaW9uIiA6ICIxMTgiCn0K"/>
    </extobj>
    <extobj name="ECB019B1-382A-4266-B25C-5B523AA43C14-4">
      <extobjdata type="ECB019B1-382A-4266-B25C-5B523AA43C14" data="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"/>
    </extobj>
    <extobj name="ECB019B1-382A-4266-B25C-5B523AA43C14-5">
      <extobjdata type="ECB019B1-382A-4266-B25C-5B523AA43C14" data="ewoJIkZpbGVJZCIgOiAiNDM4NTA1MTY2MjUxIiwKCSJHcm91cElkIiA6ICIzNDM5ODcwODI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MzUzMzMxODA3IiwKCSJWZXJzaW9uIiA6ICIxM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162</Pages>
  <Words>21287</Words>
  <Characters>23389</Characters>
  <Lines>3840</Lines>
  <Paragraphs>3589</Paragraphs>
  <TotalTime>1</TotalTime>
  <ScaleCrop>false</ScaleCrop>
  <LinksUpToDate>false</LinksUpToDate>
  <CharactersWithSpaces>23661</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2021-03-30T05:26:00Z</dcterms:created>
  <dc:creator>lhj</dc:creator>
  <cp:lastModifiedBy>Administrator</cp:lastModifiedBy>
  <cp:lastPrinted>2021-04-21T02:38:00Z</cp:lastPrinted>
  <dcterms:modified xsi:type="dcterms:W3CDTF">2025-10-14T03:22:50Z</dcterms:modified>
  <dc:title>附件2</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0883505486434F26ACD2FB2354C64100</vt:lpwstr>
  </property>
  <property fmtid="{D5CDD505-2E9C-101B-9397-08002B2CF9AE}" pid="4" name="KSOTemplateDocerSaveRecord">
    <vt:lpwstr>eyJoZGlkIjoiZDhkMWQ3Yjg0OGM3N2U0ZjNlNDE4YTRkMzA1Njc0YWYiLCJ1c2VySWQiOiIzNTMzMzE4MDcifQ==</vt:lpwstr>
  </property>
</Properties>
</file>