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岳湘阴环评〔2025〕28号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关于合雅木业木门建设及生产配套设施项目（年产8万条门）环境影响报告表的批复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湖南合雅木业有限公司：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你公司（地址：湘阴县湘阴高新技术产业开发区洋沙湖片区芙蓉北路西侧、顺天大道南侧，法定代表人：</w:t>
      </w:r>
      <w:r>
        <w:rPr>
          <w:rFonts w:hint="default" w:ascii="Times New Roman" w:hAnsi="Times New Roman" w:eastAsia="仿宋_GB2312" w:cs="Times New Roman"/>
          <w:bCs/>
          <w:sz w:val="32"/>
          <w:szCs w:val="32"/>
          <w:lang w:val="en-US" w:eastAsia="zh-CN"/>
        </w:rPr>
        <w:t>张国安</w:t>
      </w:r>
      <w:r>
        <w:rPr>
          <w:rFonts w:hint="eastAsia" w:ascii="Times New Roman" w:hAnsi="Times New Roman" w:eastAsia="仿宋_GB2312" w:cs="Times New Roman"/>
          <w:bCs/>
          <w:sz w:val="32"/>
          <w:szCs w:val="32"/>
          <w:lang w:val="en-US" w:eastAsia="zh-CN"/>
        </w:rPr>
        <w:t>，统一社会信用代码：91430624MAEQDYKP1E）于2025年08月28日提出建设项目环境影响评价审批报告表（普通类）行政许可申请，我局已依法进行受理，并完成了受理公示和拟审批公示。经审查，你公司委托湖南星瑾怡环保科技有限公司编制《关于合雅木业木门建设及生产配套设施项目（年产8万条门）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一、湖南合雅木业有限公司拟投资30400万元（其中环保投资515万元），于湘阴县湘阴高新技术产业开发区洋沙湖片区芙蓉北路西侧、顺天大道南侧</w:t>
      </w:r>
      <w:r>
        <w:rPr>
          <w:rFonts w:hint="eastAsia" w:eastAsia="仿宋_GB2312" w:cs="Times New Roman"/>
          <w:bCs/>
          <w:sz w:val="32"/>
          <w:szCs w:val="32"/>
          <w:lang w:val="en-US" w:eastAsia="zh-CN"/>
        </w:rPr>
        <w:t>建设木门及生产配套设施项目</w:t>
      </w:r>
      <w:r>
        <w:rPr>
          <w:rFonts w:hint="eastAsia" w:ascii="Times New Roman" w:hAnsi="Times New Roman" w:eastAsia="仿宋_GB2312" w:cs="Times New Roman"/>
          <w:bCs/>
          <w:sz w:val="32"/>
          <w:szCs w:val="32"/>
          <w:lang w:val="en-US" w:eastAsia="zh-CN"/>
        </w:rPr>
        <w:t>。项目总用地面积为91748.71m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。主要建设内容包括：建设3栋生产厂房、1栋原料仓库房、1栋办公楼、1栋员工生活楼、1栋试验楼以及其他辅助用房，并配套建设环保、排水、供电、消防等辅助生产设施。</w:t>
      </w:r>
      <w:r>
        <w:rPr>
          <w:rFonts w:hint="eastAsia" w:eastAsia="仿宋_GB2312" w:cs="Times New Roman"/>
          <w:bCs/>
          <w:sz w:val="32"/>
          <w:szCs w:val="32"/>
          <w:lang w:val="en-US" w:eastAsia="zh-CN"/>
        </w:rPr>
        <w:t>项目通过填充料、下料、涂料、热压、机加工、喷漆等工序生产木门及生产配套设施。项目建成后，可实现年产8万条门。</w:t>
      </w:r>
      <w:r>
        <w:rPr>
          <w:rFonts w:hint="eastAsia"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w:t>
      </w:r>
      <w:r>
        <w:rPr>
          <w:rFonts w:hint="default" w:ascii="Times New Roman" w:hAnsi="Times New Roman" w:eastAsia="仿宋_GB2312" w:cs="Times New Roman"/>
          <w:bCs/>
          <w:sz w:val="32"/>
          <w:szCs w:val="32"/>
          <w:lang w:val="en-US" w:eastAsia="zh-CN"/>
        </w:rPr>
        <w:t>《报告表》及专家评审意见，结合岳阳市湘阴生态环境事务中心《关于&lt;合雅木业木门建设及生产配套设施项目（年产8万条门）环境影响报告表&gt;技术评估意见的报告》</w:t>
      </w:r>
      <w:r>
        <w:rPr>
          <w:rFonts w:hint="default" w:ascii="Times New Roman" w:hAnsi="Times New Roman" w:eastAsia="仿宋_GB2312" w:cs="Times New Roman"/>
          <w:bCs/>
          <w:color w:val="auto"/>
          <w:sz w:val="32"/>
          <w:szCs w:val="32"/>
          <w:lang w:val="en-US" w:eastAsia="zh-CN"/>
        </w:rPr>
        <w:t>(岳湘环事评估〔2025</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22</w:t>
      </w:r>
      <w:r>
        <w:rPr>
          <w:rFonts w:hint="default"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sz w:val="32"/>
          <w:szCs w:val="32"/>
          <w:lang w:val="en-US" w:eastAsia="zh-CN"/>
        </w:rPr>
        <w:t>该项目符合国家相关产业政策，建设单位严格落实《报告表》及本批复提出的各项污染治理措施和风险防范要求，污染物稳定达标排放的前提下，从环境保护的角度，我局原则同意项目实施建设</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（二）落实废水污染防治措施。厂区排水实施“雨污分流、污污分流”，确保污水处理系统正常运行。生产废水主要为水帘柜用水，经沉淀后循环使用，不外排。食堂废水经隔油池处理</w:t>
      </w:r>
      <w:r>
        <w:rPr>
          <w:rFonts w:hint="eastAsia" w:eastAsia="仿宋_GB2312" w:cs="Times New Roman"/>
          <w:bCs/>
          <w:sz w:val="32"/>
          <w:szCs w:val="32"/>
          <w:lang w:val="en-US" w:eastAsia="zh-CN"/>
        </w:rPr>
        <w:t>后和</w:t>
      </w:r>
      <w:r>
        <w:rPr>
          <w:rFonts w:hint="eastAsia" w:ascii="Times New Roman" w:hAnsi="Times New Roman" w:eastAsia="仿宋_GB2312" w:cs="Times New Roman"/>
          <w:bCs/>
          <w:sz w:val="32"/>
          <w:szCs w:val="32"/>
          <w:lang w:val="en-US" w:eastAsia="zh-CN"/>
        </w:rPr>
        <w:t>生活污水</w:t>
      </w:r>
      <w:r>
        <w:rPr>
          <w:rFonts w:hint="eastAsia" w:eastAsia="仿宋_GB2312" w:cs="Times New Roman"/>
          <w:bCs/>
          <w:sz w:val="32"/>
          <w:szCs w:val="32"/>
          <w:lang w:val="en-US" w:eastAsia="zh-CN"/>
        </w:rPr>
        <w:t>一并</w:t>
      </w:r>
      <w:r>
        <w:rPr>
          <w:rFonts w:hint="eastAsia" w:ascii="Times New Roman" w:hAnsi="Times New Roman" w:eastAsia="仿宋_GB2312" w:cs="Times New Roman"/>
          <w:bCs/>
          <w:sz w:val="32"/>
          <w:szCs w:val="32"/>
          <w:lang w:val="en-US" w:eastAsia="zh-CN"/>
        </w:rPr>
        <w:t>经化粪池处理</w:t>
      </w:r>
      <w:r>
        <w:rPr>
          <w:rFonts w:hint="eastAsia" w:eastAsia="仿宋_GB2312" w:cs="Times New Roman"/>
          <w:bCs/>
          <w:sz w:val="32"/>
          <w:szCs w:val="32"/>
          <w:lang w:val="en-US" w:eastAsia="zh-CN"/>
        </w:rPr>
        <w:t>满足</w:t>
      </w:r>
      <w:r>
        <w:rPr>
          <w:rFonts w:hint="eastAsia" w:ascii="Times New Roman" w:hAnsi="Times New Roman" w:eastAsia="仿宋_GB2312" w:cs="Times New Roman"/>
          <w:bCs/>
          <w:sz w:val="32"/>
          <w:szCs w:val="32"/>
          <w:lang w:val="en-US" w:eastAsia="zh-CN"/>
        </w:rPr>
        <w:t>《污水综合排放标准》（GB8978-1996）三级排放标准及湘阴县第二污水处理厂进水水质标准后，通过污水管网排入湘阴县第二污水处理厂深度</w:t>
      </w:r>
      <w:r>
        <w:rPr>
          <w:rFonts w:hint="default" w:ascii="Times New Roman" w:hAnsi="Times New Roman" w:eastAsia="仿宋_GB2312" w:cs="Times New Roman"/>
          <w:bCs/>
          <w:sz w:val="32"/>
          <w:szCs w:val="32"/>
          <w:lang w:val="en-US" w:eastAsia="zh-CN"/>
        </w:rPr>
        <w:t>处理满足《城镇污水处理厂污染物排放标准》（GB18918-2002）一级A标准后，最终排入湘江。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w:t>
      </w:r>
      <w:r>
        <w:rPr>
          <w:rFonts w:hint="eastAsia" w:eastAsia="仿宋_GB2312" w:cs="Times New Roman"/>
          <w:bCs/>
          <w:sz w:val="32"/>
          <w:szCs w:val="32"/>
          <w:lang w:val="en-US" w:eastAsia="zh-CN"/>
        </w:rPr>
        <w:t>落实废气污染防治措施。按《报告表》要求做好有组织工艺废气处理，排气筒高度应符合《报告表》要求，确保大气污染物排放满足国家和地方有关标准要求。下料工序产生的废气经处理后满足《大气污染物综合排放标准》（GB16297-1996）表2中二级排放标准后通过1根15m高排气筒（1#）高空排放；砂光工序产生的废气经处理后满足《大气污染物综合排放标准》（GB16297-1996）表2中二级排放标准后通过1根15m高排气筒（2#）高空排放；机加工工序产生的废气经处理后满足《大气污染物综合排放标准》（GB16297-1996）表2中二级排放标准后通过1根15m高排气筒（3#）高空排放；腻子粉打磨工序产生的废气经处理后满足《大气污染物综合排放标准》（GB16297-1996）表2中二级排放标准后通过1根15m高排气筒（4#）高空排放；喷漆、晾干工序产生的有机废气经处理后，其中颗粒物满足《大气污染物综合排放标准》（GB16297-1996）表2中二级排放标准，非甲烷总烃、苯系物满足《家具制造行业挥发性有机物排放标准》（DB43/13</w:t>
      </w:r>
      <w:r>
        <w:rPr>
          <w:rFonts w:hint="default" w:eastAsia="仿宋_GB2312" w:cs="Times New Roman"/>
          <w:bCs/>
          <w:sz w:val="32"/>
          <w:szCs w:val="32"/>
          <w:lang w:val="en-US" w:eastAsia="zh-CN"/>
        </w:rPr>
        <w:t>5</w:t>
      </w:r>
      <w:r>
        <w:rPr>
          <w:rFonts w:hint="eastAsia" w:eastAsia="仿宋_GB2312" w:cs="Times New Roman"/>
          <w:bCs/>
          <w:sz w:val="32"/>
          <w:szCs w:val="32"/>
          <w:lang w:val="en-US" w:eastAsia="zh-CN"/>
        </w:rPr>
        <w:t>5-2017）表1排放标准后通过1根15m高排气筒（5#）高空排放；</w:t>
      </w:r>
      <w:r>
        <w:rPr>
          <w:rFonts w:hint="default" w:eastAsia="仿宋_GB2312" w:cs="Times New Roman"/>
          <w:bCs/>
          <w:sz w:val="32"/>
          <w:szCs w:val="32"/>
          <w:lang w:val="en-US" w:eastAsia="zh-CN"/>
        </w:rPr>
        <w:t>食堂油烟经油烟净化器处理</w:t>
      </w:r>
      <w:r>
        <w:rPr>
          <w:rFonts w:hint="eastAsia" w:eastAsia="仿宋_GB2312" w:cs="Times New Roman"/>
          <w:bCs/>
          <w:sz w:val="32"/>
          <w:szCs w:val="32"/>
          <w:lang w:val="en-US" w:eastAsia="zh-CN"/>
        </w:rPr>
        <w:t>满足《饮食业油烟排放标准（试行）》（GB18483-2001）表2中标准限值要求</w:t>
      </w:r>
      <w:r>
        <w:rPr>
          <w:rFonts w:hint="default" w:eastAsia="仿宋_GB2312" w:cs="Times New Roman"/>
          <w:bCs/>
          <w:sz w:val="32"/>
          <w:szCs w:val="32"/>
          <w:lang w:val="en-US" w:eastAsia="zh-CN"/>
        </w:rPr>
        <w:t>后通过排气管道屋顶排放</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加</w:t>
      </w:r>
      <w:r>
        <w:rPr>
          <w:rFonts w:hint="eastAsia" w:ascii="Times New Roman" w:hAnsi="Times New Roman" w:eastAsia="仿宋_GB2312" w:cs="Times New Roman"/>
          <w:bCs/>
          <w:sz w:val="32"/>
          <w:szCs w:val="32"/>
          <w:lang w:val="en-US" w:eastAsia="zh-CN"/>
        </w:rPr>
        <w:t>强无组织废气污染防治，厂界无组织颗粒物满足《大气污染物综合排放标准》（GB16297-1996）排放标准；厂界挥发性有机物、苯系物满足《家具制造行业挥发性有机物排放标准》（DB43/1355-2017）；厂区内非甲烷总烃满足《挥发性有机物无组织排放控制标准》(GB37822-2019)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润滑油、废含有抹布手套、废润滑油桶、废油漆渣、废油漆桶、废水帘柜废液、废过滤棉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（八）该项目污染物排放总量控制指标为：VOCs</w:t>
      </w:r>
      <w:r>
        <w:rPr>
          <w:rFonts w:hint="default" w:ascii="仿宋_GB2312" w:hAnsi="新宋体"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0.881t/a。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星瑾怡环保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bookmarkStart w:id="1" w:name="_GoBack"/>
      <w:bookmarkEnd w:id="1"/>
      <w:r>
        <w:rPr>
          <w:rFonts w:hint="eastAsia" w:ascii="Times New Roman" w:hAnsi="Times New Roman"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2025年</w:t>
      </w:r>
      <w:r>
        <w:rPr>
          <w:rFonts w:hint="eastAsia" w:eastAsia="仿宋_GB2312" w:cs="Times New Roman"/>
          <w:bCs/>
          <w:sz w:val="32"/>
          <w:szCs w:val="32"/>
          <w:lang w:val="en-US" w:eastAsia="zh-CN"/>
        </w:rPr>
        <w:t>10</w:t>
      </w:r>
      <w:r>
        <w:rPr>
          <w:rFonts w:hint="eastAsia"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14</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DD6186"/>
    <w:rsid w:val="05BD2E07"/>
    <w:rsid w:val="063D115E"/>
    <w:rsid w:val="065B567D"/>
    <w:rsid w:val="06957FBA"/>
    <w:rsid w:val="06DF1684"/>
    <w:rsid w:val="08B815D4"/>
    <w:rsid w:val="096535C8"/>
    <w:rsid w:val="09BD2F54"/>
    <w:rsid w:val="0C46547E"/>
    <w:rsid w:val="0C962284"/>
    <w:rsid w:val="0DB91576"/>
    <w:rsid w:val="0E9D21B1"/>
    <w:rsid w:val="0F657030"/>
    <w:rsid w:val="1075552C"/>
    <w:rsid w:val="107820F3"/>
    <w:rsid w:val="107A6B0B"/>
    <w:rsid w:val="110F1C95"/>
    <w:rsid w:val="112D117D"/>
    <w:rsid w:val="13372CB9"/>
    <w:rsid w:val="15197D03"/>
    <w:rsid w:val="16282019"/>
    <w:rsid w:val="18D23815"/>
    <w:rsid w:val="1ABC39E3"/>
    <w:rsid w:val="1B130D94"/>
    <w:rsid w:val="1B1D2FEC"/>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83C1B4B"/>
    <w:rsid w:val="28DA2B24"/>
    <w:rsid w:val="291C0CD0"/>
    <w:rsid w:val="2B8A1635"/>
    <w:rsid w:val="2C1F5A42"/>
    <w:rsid w:val="2C445FA9"/>
    <w:rsid w:val="2C4677AE"/>
    <w:rsid w:val="2CD91970"/>
    <w:rsid w:val="2D126EBD"/>
    <w:rsid w:val="2DB15E0A"/>
    <w:rsid w:val="2DE03FF9"/>
    <w:rsid w:val="2EBC4A66"/>
    <w:rsid w:val="2F000E10"/>
    <w:rsid w:val="2F1B5129"/>
    <w:rsid w:val="2F3C5BA7"/>
    <w:rsid w:val="30F46B5D"/>
    <w:rsid w:val="30FE535F"/>
    <w:rsid w:val="31537991"/>
    <w:rsid w:val="31E542D4"/>
    <w:rsid w:val="31FD161E"/>
    <w:rsid w:val="32783F0E"/>
    <w:rsid w:val="32BF026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4E80FC4"/>
    <w:rsid w:val="452877C8"/>
    <w:rsid w:val="45A01AB9"/>
    <w:rsid w:val="46EE27C2"/>
    <w:rsid w:val="47B45127"/>
    <w:rsid w:val="47F5796A"/>
    <w:rsid w:val="48840E70"/>
    <w:rsid w:val="488F069E"/>
    <w:rsid w:val="49BB5BEF"/>
    <w:rsid w:val="4A4027D8"/>
    <w:rsid w:val="4AB31197"/>
    <w:rsid w:val="4B46598C"/>
    <w:rsid w:val="4B476C6D"/>
    <w:rsid w:val="4C4A14AC"/>
    <w:rsid w:val="4CFD2D35"/>
    <w:rsid w:val="4D21045F"/>
    <w:rsid w:val="4DBA5B35"/>
    <w:rsid w:val="4EA073F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84E7DFC"/>
    <w:rsid w:val="588914CD"/>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5F82DDB"/>
    <w:rsid w:val="67396EFC"/>
    <w:rsid w:val="677D408C"/>
    <w:rsid w:val="69EA2B06"/>
    <w:rsid w:val="6AAE5B2F"/>
    <w:rsid w:val="6BFF7612"/>
    <w:rsid w:val="6C423AF6"/>
    <w:rsid w:val="6CA05A67"/>
    <w:rsid w:val="6FB92D61"/>
    <w:rsid w:val="70622071"/>
    <w:rsid w:val="70D74514"/>
    <w:rsid w:val="711B64C4"/>
    <w:rsid w:val="721F290F"/>
    <w:rsid w:val="724802B8"/>
    <w:rsid w:val="747550E2"/>
    <w:rsid w:val="7564748C"/>
    <w:rsid w:val="76544B51"/>
    <w:rsid w:val="779D09FF"/>
    <w:rsid w:val="78083900"/>
    <w:rsid w:val="78EC2FE0"/>
    <w:rsid w:val="794602E4"/>
    <w:rsid w:val="7A2C215F"/>
    <w:rsid w:val="7C91122A"/>
    <w:rsid w:val="7CE1357B"/>
    <w:rsid w:val="7DB26EA6"/>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2273</Words>
  <Characters>2431</Characters>
  <Lines>0</Lines>
  <Paragraphs>0</Paragraphs>
  <TotalTime>12</TotalTime>
  <ScaleCrop>false</ScaleCrop>
  <LinksUpToDate>false</LinksUpToDate>
  <CharactersWithSpaces>2522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2024-10-09T08:30:00Z</cp:lastPrinted>
  <dcterms:modified xsi:type="dcterms:W3CDTF">2025-10-14T01:13:18Z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93659D7CB79F4DFB8665AE4069E6BB6B_13</vt:lpwstr>
  </property>
  <property fmtid="{D5CDD505-2E9C-101B-9397-08002B2CF9AE}" pid="4" name="KSOTemplateDocerSaveRecord">
    <vt:lpwstr>eyJoZGlkIjoiZDhkMWQ3Yjg0OGM3N2U0ZjNlNDE4YTRkMzA1Njc0YWYiLCJ1c2VySWQiOiIzNTMzMzE4MDcifQ==</vt:lpwstr>
  </property>
</Properties>
</file>