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w:t>
      </w:r>
      <w:r>
        <w:rPr>
          <w:rFonts w:hint="eastAsia" w:eastAsia="仿宋_GB2312" w:cs="Times New Roman"/>
          <w:bCs/>
          <w:kern w:val="2"/>
          <w:sz w:val="32"/>
          <w:szCs w:val="32"/>
          <w:lang w:val="en-US" w:eastAsia="zh-CN" w:bidi="ar-SA"/>
        </w:rPr>
        <w:t>29</w:t>
      </w:r>
      <w:r>
        <w:rPr>
          <w:rFonts w:hint="eastAsia"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关于岳阳超越节能科技有限公司年产60台套铝熔炼保温炉组生产项目环境影响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岳阳超越节能科技有限公司：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湘阴县高新区金龙片安康路以东、众钧科技以北、金锥动力以西、金龙消防站旁，法定代表人：陈立，统一社会信用代码：91430624MADLRBWB05）于2025年10月20日提出建设项目环境影响评价审批报告表（普通类）行政许可申请，我局已依法进行受理，并完成了受理公示和拟审批公示。经审查，你公司委托湖南星瑾怡环保科技有限公司编制《关于年产60台套铝熔炼保温炉组生产项目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一、岳阳超越节能科技有限公司拟投资6000万元（其中环保投资77万元），于湘阴县高新区金龙片安康路以东、众钧科技以北、金锥动力以西、金龙消防站旁建设铝熔炼保温炉组生产项目。项目总用地面积为10527.33m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。主要建设内容包括：建设1栋生产厂房、1栋办公楼以及其他辅助用房</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并配套建设环保、排水、供电、消防等辅助生产设施。</w:t>
      </w:r>
      <w:r>
        <w:rPr>
          <w:rFonts w:hint="eastAsia" w:eastAsia="仿宋_GB2312" w:cs="Times New Roman"/>
          <w:bCs/>
          <w:sz w:val="32"/>
          <w:szCs w:val="32"/>
          <w:lang w:val="en-US" w:eastAsia="zh-CN"/>
        </w:rPr>
        <w:t>项目通过机加工、焊接、喷漆、烘干、组装等工序铝熔炼保温炉组。项目建成后，可实现年产60台套铝熔炼保温炉组。</w:t>
      </w:r>
      <w:r>
        <w:rPr>
          <w:rFonts w:hint="eastAsia"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w:t>
      </w:r>
      <w:r>
        <w:rPr>
          <w:rFonts w:hint="default" w:ascii="Times New Roman" w:hAnsi="Times New Roman" w:eastAsia="仿宋_GB2312" w:cs="Times New Roman"/>
          <w:bCs/>
          <w:sz w:val="32"/>
          <w:szCs w:val="32"/>
          <w:lang w:val="en-US" w:eastAsia="zh-CN"/>
        </w:rPr>
        <w:t>《报告表》及专家评审意见，结合岳阳市湘阴生态环境事务中心《关于&lt;</w:t>
      </w:r>
      <w:r>
        <w:rPr>
          <w:rFonts w:hint="eastAsia" w:ascii="Times New Roman" w:hAnsi="Times New Roman" w:eastAsia="仿宋_GB2312" w:cs="Times New Roman"/>
          <w:bCs/>
          <w:sz w:val="32"/>
          <w:szCs w:val="32"/>
          <w:lang w:val="en-US" w:eastAsia="zh-CN"/>
        </w:rPr>
        <w:t>岳阳超越节能科技有限公司年产60台套铝熔炼保温炉组生产项目</w:t>
      </w:r>
      <w:r>
        <w:rPr>
          <w:rFonts w:hint="default" w:ascii="Times New Roman" w:hAnsi="Times New Roman" w:eastAsia="仿宋_GB2312" w:cs="Times New Roman"/>
          <w:bCs/>
          <w:sz w:val="32"/>
          <w:szCs w:val="32"/>
          <w:lang w:val="en-US" w:eastAsia="zh-CN"/>
        </w:rPr>
        <w:t>环境影响报告表&gt;技术评估意见的报告》(岳湘环事评估〔2025〕</w:t>
      </w:r>
      <w:r>
        <w:rPr>
          <w:rFonts w:hint="eastAsia"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lang w:val="en-US" w:eastAsia="zh-CN"/>
        </w:rPr>
        <w:t>号)，该项目符合国家相关产业政策，建设单位严格落实《报告表》及本批复提出的各项污染治理措施和风险防范要求，污染物稳定达标排放的前提下，从环境保护的角度，我局原则同意项目实施建设</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厂区排水实施“雨污分流、污污分流”，确保污水处理系统正常运行。生活污水经化粪池处理（食堂废水先经隔油池处理）达到《污水综合排放标准》（GB8978-1996）三级排放标准与湘阴县第三污水处理厂进水水质标准后通过污水管网排入湘阴县第三污水处理厂深度处理；生产废水主要为水帘柜用水，经沉淀后循环使用，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（三）落实废气污染防治措施。</w:t>
      </w:r>
      <w:r>
        <w:rPr>
          <w:rFonts w:hint="eastAsia" w:eastAsia="仿宋_GB2312" w:cs="Times New Roman"/>
          <w:bCs/>
          <w:sz w:val="32"/>
          <w:szCs w:val="32"/>
          <w:lang w:val="en-US" w:eastAsia="zh-CN"/>
        </w:rPr>
        <w:t>按《报告表》要求做好有组织工艺废气处理，排气筒高度应符合《报告表》要求，确保大气污染物排放满足国家和地方有关标准要求。</w:t>
      </w:r>
      <w:r>
        <w:rPr>
          <w:rFonts w:hint="eastAsia" w:ascii="Times New Roman" w:hAnsi="Times New Roman" w:eastAsia="仿宋_GB2312" w:cs="Times New Roman"/>
          <w:bCs/>
          <w:sz w:val="32"/>
          <w:szCs w:val="32"/>
          <w:lang w:val="en-US" w:eastAsia="zh-CN"/>
        </w:rPr>
        <w:t>喷漆、晾干工序产生的有机废气经处理后，其中颗粒物满足《大气污染物综合排放标准》（GB16297-1996）表2中二级排放标准；非甲烷总烃、二甲苯满足《表面涂装（汽车制造及维修）挥发性有机物、镍排放标准》（DB43/1356-2017）表1排放标准要求后通过1根20m高排气筒高空排放。</w:t>
      </w:r>
    </w:p>
    <w:p>
      <w:pPr>
        <w:pStyle w:val="2"/>
        <w:ind w:firstLine="640" w:firstLineChars="200"/>
        <w:rPr>
          <w:rFonts w:hint="default"/>
          <w:lang w:val="en-US" w:eastAsia="zh-CN"/>
        </w:rPr>
      </w:pPr>
      <w:r>
        <w:rPr>
          <w:rFonts w:hint="eastAsia" w:ascii="Times New Roman" w:hAnsi="Times New Roman" w:eastAsia="仿宋_GB2312" w:cs="Times New Roman"/>
          <w:bCs/>
          <w:kern w:val="2"/>
          <w:sz w:val="32"/>
          <w:szCs w:val="32"/>
          <w:lang w:val="en-US" w:eastAsia="zh-CN" w:bidi="ar-SA"/>
        </w:rPr>
        <w:t>加强无组织废气污染防治，</w:t>
      </w:r>
      <w:r>
        <w:rPr>
          <w:rFonts w:hint="eastAsia" w:ascii="Times New Roman" w:hAnsi="Times New Roman" w:eastAsia="仿宋_GB2312" w:cs="Times New Roman"/>
          <w:bCs/>
          <w:sz w:val="32"/>
          <w:szCs w:val="32"/>
          <w:lang w:val="en-US" w:eastAsia="zh-CN"/>
        </w:rPr>
        <w:t>厂界无组织颗粒物执行《大气污染物综合排放标准》（GB16297-1996）排放标准、挥发性有机物（非甲烷总烃）执行《《表面涂装（汽车制造及维修）挥发性有机物、镍排放标准》（DB43/1356-2017）、厂区内非甲烷总烃执行《挥发性有机物无组织排放控制标准》(GB37822-2019)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润滑油、废切削液、废含油抹布手套、废润滑油桶、废油漆渣、废油漆桶、废活性炭、废水帘柜废液、废过滤棉等危险废物应严格执行《危险废物贮存污染控制标准》（GB18597-2023）要求，收集暂存在危险废物贮存库，定期交由具有危险废物处理资质单位进行处理；废含油铁屑收集至专用的废铁屑暂存间，无滴滤状态后压缩打包交由金属冶炼厂回收利用；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（八）该项目污染物排放总量控制指标为：VOCs</w:t>
      </w:r>
      <w:r>
        <w:rPr>
          <w:rFonts w:hint="default" w:ascii="仿宋_GB2312" w:hAnsi="新宋体"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0.173t/a。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星瑾怡环保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bookmarkStart w:id="1" w:name="_GoBack"/>
      <w:bookmarkEnd w:id="1"/>
      <w:r>
        <w:rPr>
          <w:rFonts w:hint="eastAsia" w:ascii="Times New Roman" w:hAnsi="Times New Roman" w:eastAsia="仿宋_GB2312" w:cs="Times New Roman"/>
          <w:bCs/>
          <w:sz w:val="32"/>
          <w:szCs w:val="32"/>
          <w:lang w:val="en-US" w:eastAsia="zh-CN"/>
        </w:rPr>
        <w:t>2025年11月</w:t>
      </w:r>
      <w:r>
        <w:rPr>
          <w:rFonts w:hint="eastAsia" w:eastAsia="仿宋_GB2312" w:cs="Times New Roman"/>
          <w:bCs/>
          <w:sz w:val="32"/>
          <w:szCs w:val="32"/>
          <w:lang w:val="en-US" w:eastAsia="zh-CN"/>
        </w:rPr>
        <w:t>27</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DD6186"/>
    <w:rsid w:val="04FA4B16"/>
    <w:rsid w:val="05BD2E07"/>
    <w:rsid w:val="063D115E"/>
    <w:rsid w:val="065625D0"/>
    <w:rsid w:val="065B567D"/>
    <w:rsid w:val="06957FBA"/>
    <w:rsid w:val="06DF1684"/>
    <w:rsid w:val="07B6746C"/>
    <w:rsid w:val="08B815D4"/>
    <w:rsid w:val="096535C8"/>
    <w:rsid w:val="09BD2F54"/>
    <w:rsid w:val="0C46547E"/>
    <w:rsid w:val="0C962284"/>
    <w:rsid w:val="0CBE74FA"/>
    <w:rsid w:val="0D760AEA"/>
    <w:rsid w:val="0DB91576"/>
    <w:rsid w:val="0E9D21B1"/>
    <w:rsid w:val="0F657030"/>
    <w:rsid w:val="1075552C"/>
    <w:rsid w:val="107820F3"/>
    <w:rsid w:val="107A6B0B"/>
    <w:rsid w:val="110F1C95"/>
    <w:rsid w:val="112D117D"/>
    <w:rsid w:val="11B80C55"/>
    <w:rsid w:val="13372CB9"/>
    <w:rsid w:val="15197D03"/>
    <w:rsid w:val="16282019"/>
    <w:rsid w:val="18D23815"/>
    <w:rsid w:val="1ABC39E3"/>
    <w:rsid w:val="1B130D94"/>
    <w:rsid w:val="1B1D2FEC"/>
    <w:rsid w:val="1C593BC9"/>
    <w:rsid w:val="1C5F759C"/>
    <w:rsid w:val="1D3D44B8"/>
    <w:rsid w:val="1D623E20"/>
    <w:rsid w:val="1DBE7053"/>
    <w:rsid w:val="1E6A10F9"/>
    <w:rsid w:val="1F8D2690"/>
    <w:rsid w:val="21154D5A"/>
    <w:rsid w:val="21CA5B44"/>
    <w:rsid w:val="21EC1E61"/>
    <w:rsid w:val="2277734E"/>
    <w:rsid w:val="22FB1D2D"/>
    <w:rsid w:val="23284C0D"/>
    <w:rsid w:val="23863CED"/>
    <w:rsid w:val="23D34A58"/>
    <w:rsid w:val="244403F2"/>
    <w:rsid w:val="24741985"/>
    <w:rsid w:val="250834F2"/>
    <w:rsid w:val="2547757B"/>
    <w:rsid w:val="27CF7181"/>
    <w:rsid w:val="27FF3EDF"/>
    <w:rsid w:val="283C1B4B"/>
    <w:rsid w:val="28DA2B24"/>
    <w:rsid w:val="291C0CD0"/>
    <w:rsid w:val="2B35467E"/>
    <w:rsid w:val="2B8A1635"/>
    <w:rsid w:val="2C1F5A42"/>
    <w:rsid w:val="2C445FA9"/>
    <w:rsid w:val="2C4677AE"/>
    <w:rsid w:val="2CD91970"/>
    <w:rsid w:val="2D126EBD"/>
    <w:rsid w:val="2DB15E0A"/>
    <w:rsid w:val="2DE03FF9"/>
    <w:rsid w:val="2EBC4A66"/>
    <w:rsid w:val="2F1B5129"/>
    <w:rsid w:val="2F3C5BA7"/>
    <w:rsid w:val="30F46B5D"/>
    <w:rsid w:val="30FE535F"/>
    <w:rsid w:val="31537991"/>
    <w:rsid w:val="31E542D4"/>
    <w:rsid w:val="31FD161E"/>
    <w:rsid w:val="32783F0E"/>
    <w:rsid w:val="32BF026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1E2438C"/>
    <w:rsid w:val="42552DB0"/>
    <w:rsid w:val="42BF46CD"/>
    <w:rsid w:val="42CF5442"/>
    <w:rsid w:val="43376BEF"/>
    <w:rsid w:val="44096111"/>
    <w:rsid w:val="4433501C"/>
    <w:rsid w:val="4499112D"/>
    <w:rsid w:val="452877C8"/>
    <w:rsid w:val="45A01AB9"/>
    <w:rsid w:val="46EE27C2"/>
    <w:rsid w:val="47B45127"/>
    <w:rsid w:val="47F5796A"/>
    <w:rsid w:val="488F069E"/>
    <w:rsid w:val="49BB5BEF"/>
    <w:rsid w:val="4A4027D8"/>
    <w:rsid w:val="4AB31197"/>
    <w:rsid w:val="4B46598C"/>
    <w:rsid w:val="4B476C6D"/>
    <w:rsid w:val="4C4A14AC"/>
    <w:rsid w:val="4CFD2D35"/>
    <w:rsid w:val="4D21045F"/>
    <w:rsid w:val="4DBA5B35"/>
    <w:rsid w:val="4F372B72"/>
    <w:rsid w:val="4F9A5ACE"/>
    <w:rsid w:val="50190775"/>
    <w:rsid w:val="50C22148"/>
    <w:rsid w:val="51F2362E"/>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84E7DFC"/>
    <w:rsid w:val="588914CD"/>
    <w:rsid w:val="5B8D0D0C"/>
    <w:rsid w:val="5C5907FE"/>
    <w:rsid w:val="5C8F2D85"/>
    <w:rsid w:val="5CB26A7D"/>
    <w:rsid w:val="5D034B5B"/>
    <w:rsid w:val="5D5E7965"/>
    <w:rsid w:val="5DAA7FFC"/>
    <w:rsid w:val="5E8D26AE"/>
    <w:rsid w:val="5EF8626D"/>
    <w:rsid w:val="5F6366B5"/>
    <w:rsid w:val="5F6661A5"/>
    <w:rsid w:val="607448F1"/>
    <w:rsid w:val="61E8637C"/>
    <w:rsid w:val="620A0A24"/>
    <w:rsid w:val="629D1DAB"/>
    <w:rsid w:val="62A3326C"/>
    <w:rsid w:val="62FF5A4C"/>
    <w:rsid w:val="631C4748"/>
    <w:rsid w:val="63AD4A3F"/>
    <w:rsid w:val="64C6740E"/>
    <w:rsid w:val="6560471E"/>
    <w:rsid w:val="65AE1FF2"/>
    <w:rsid w:val="67396EFC"/>
    <w:rsid w:val="677D408C"/>
    <w:rsid w:val="69EA2B06"/>
    <w:rsid w:val="6AAE5B2F"/>
    <w:rsid w:val="6B497A37"/>
    <w:rsid w:val="6BFF7612"/>
    <w:rsid w:val="6C423AF6"/>
    <w:rsid w:val="6C922DB7"/>
    <w:rsid w:val="6CA05A67"/>
    <w:rsid w:val="6FB92D61"/>
    <w:rsid w:val="70585696"/>
    <w:rsid w:val="70622071"/>
    <w:rsid w:val="70D74514"/>
    <w:rsid w:val="711B64C4"/>
    <w:rsid w:val="721F290F"/>
    <w:rsid w:val="724802B8"/>
    <w:rsid w:val="74406B6D"/>
    <w:rsid w:val="747550E2"/>
    <w:rsid w:val="7564748C"/>
    <w:rsid w:val="76544B51"/>
    <w:rsid w:val="779D09FF"/>
    <w:rsid w:val="78083900"/>
    <w:rsid w:val="78EC2FE0"/>
    <w:rsid w:val="794602E4"/>
    <w:rsid w:val="7A2C215F"/>
    <w:rsid w:val="7B7122A7"/>
    <w:rsid w:val="7C91122A"/>
    <w:rsid w:val="7CE1357B"/>
    <w:rsid w:val="7DB26EA6"/>
    <w:rsid w:val="7DB61E94"/>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2635</Words>
  <Characters>2866</Characters>
  <Lines>0</Lines>
  <Paragraphs>0</Paragraphs>
  <TotalTime>2</TotalTime>
  <ScaleCrop>false</ScaleCrop>
  <LinksUpToDate>false</LinksUpToDate>
  <CharactersWithSpaces>2956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2025-11-27T02:12:09Z</cp:lastPrinted>
  <dcterms:modified xsi:type="dcterms:W3CDTF">2025-11-27T02:12:11Z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72E2231024EF4F55A4AD981CB0E97D0E</vt:lpwstr>
  </property>
  <property fmtid="{D5CDD505-2E9C-101B-9397-08002B2CF9AE}" pid="4" name="KSOTemplateDocerSaveRecord">
    <vt:lpwstr>eyJoZGlkIjoiZDhkMWQ3Yjg0OGM3N2U0ZjNlNDE4YTRkMzA1Njc0YWYiLCJ1c2VySWQiOiIzNTMzMzE4MDcifQ==</vt:lpwstr>
  </property>
</Properties>
</file>