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E0DC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b w:val="0"/>
          <w:color w:val="auto"/>
          <w:w w:val="100"/>
          <w:sz w:val="32"/>
          <w:szCs w:val="32"/>
        </w:rPr>
      </w:pPr>
    </w:p>
    <w:p w14:paraId="2760E72C">
      <w:pPr>
        <w:jc w:val="left"/>
        <w:rPr>
          <w:rFonts w:hint="eastAsia" w:ascii="仿宋" w:hAnsi="仿宋" w:eastAsia="仿宋"/>
          <w:bCs/>
          <w:sz w:val="32"/>
          <w:szCs w:val="32"/>
        </w:rPr>
      </w:pPr>
      <w:r>
        <w:rPr>
          <w:rFonts w:hint="eastAsia" w:ascii="仿宋" w:hAnsi="仿宋" w:eastAsia="仿宋"/>
          <w:bCs/>
          <w:sz w:val="32"/>
          <w:szCs w:val="32"/>
        </w:rPr>
        <w:t>附件</w:t>
      </w:r>
      <w:r>
        <w:rPr>
          <w:rFonts w:hint="eastAsia" w:ascii="仿宋" w:hAnsi="仿宋" w:eastAsia="仿宋"/>
          <w:bCs/>
          <w:sz w:val="32"/>
          <w:szCs w:val="32"/>
          <w:lang w:val="en-US" w:eastAsia="zh-CN"/>
        </w:rPr>
        <w:t>1</w:t>
      </w:r>
      <w:r>
        <w:rPr>
          <w:rFonts w:hint="eastAsia" w:ascii="仿宋" w:hAnsi="仿宋" w:eastAsia="仿宋"/>
          <w:bCs/>
          <w:sz w:val="32"/>
          <w:szCs w:val="32"/>
        </w:rPr>
        <w:t>：</w:t>
      </w:r>
    </w:p>
    <w:p w14:paraId="04120BAC">
      <w:pPr>
        <w:spacing w:line="360" w:lineRule="auto"/>
        <w:jc w:val="both"/>
        <w:rPr>
          <w:rFonts w:hint="eastAsia" w:ascii="黑体" w:hAnsi="黑体" w:eastAsia="黑体"/>
          <w:bCs/>
          <w:sz w:val="44"/>
          <w:szCs w:val="44"/>
        </w:rPr>
      </w:pPr>
    </w:p>
    <w:p w14:paraId="5145D112">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岳阳市湘阴县包市泵站、樟树泵站更新改造工程初步设计报告审查意见</w:t>
      </w:r>
    </w:p>
    <w:p w14:paraId="16272C51">
      <w:pPr>
        <w:spacing w:line="360" w:lineRule="auto"/>
        <w:ind w:left="2020" w:leftChars="200" w:hanging="1600" w:hangingChars="500"/>
        <w:jc w:val="center"/>
        <w:rPr>
          <w:rFonts w:hint="eastAsia" w:ascii="仿宋" w:hAnsi="仿宋" w:eastAsia="仿宋"/>
          <w:bCs/>
          <w:sz w:val="32"/>
          <w:szCs w:val="32"/>
        </w:rPr>
      </w:pPr>
    </w:p>
    <w:p w14:paraId="2E8AF63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sz w:val="32"/>
          <w:szCs w:val="32"/>
          <w:highlight w:val="none"/>
        </w:rPr>
      </w:pPr>
      <w:r>
        <w:rPr>
          <w:rFonts w:hint="eastAsia" w:ascii="仿宋" w:hAnsi="仿宋" w:eastAsia="仿宋"/>
          <w:bCs/>
          <w:sz w:val="32"/>
          <w:szCs w:val="32"/>
          <w:highlight w:val="none"/>
          <w:lang w:eastAsia="zh-CN"/>
        </w:rPr>
        <w:t>2025年12月7日</w:t>
      </w:r>
      <w:r>
        <w:rPr>
          <w:rFonts w:hint="eastAsia" w:ascii="仿宋" w:hAnsi="仿宋" w:eastAsia="仿宋"/>
          <w:bCs/>
          <w:sz w:val="32"/>
          <w:szCs w:val="32"/>
          <w:highlight w:val="none"/>
        </w:rPr>
        <w:t>，湘阴县水利局主持召开了岳阳市湘阴县包市泵站、樟树泵站更新改造工程初步设计报告技术审查会（以下简称初设报告）。参加会议的有湘阴县水利局、湖南省水务规划设计研究院有限公司（初设报告编制单位）等单位的代表和特邀专家（名单附后）。会议听取了建设单位关于项目基本情况的介绍和编制单位关于《初设报告》的主要内容的汇报，经认真审查和充分质询，报告基本符合规程规范的规定和要求，主要审查意见如下</w:t>
      </w:r>
      <w:r>
        <w:rPr>
          <w:rFonts w:ascii="仿宋" w:hAnsi="仿宋" w:eastAsia="仿宋"/>
          <w:sz w:val="32"/>
          <w:szCs w:val="32"/>
          <w:highlight w:val="none"/>
        </w:rPr>
        <w:t>：</w:t>
      </w:r>
    </w:p>
    <w:p w14:paraId="7E771E44">
      <w:pPr>
        <w:pStyle w:val="16"/>
        <w:keepNext w:val="0"/>
        <w:keepLines w:val="0"/>
        <w:pageBreakBefore w:val="0"/>
        <w:widowControl w:val="0"/>
        <w:kinsoku/>
        <w:wordWrap/>
        <w:overflowPunct/>
        <w:topLinePunct w:val="0"/>
        <w:autoSpaceDE/>
        <w:autoSpaceDN/>
        <w:bidi w:val="0"/>
        <w:adjustRightInd/>
        <w:snapToGrid/>
        <w:spacing w:line="620" w:lineRule="exact"/>
        <w:ind w:left="840" w:firstLine="0" w:firstLineChars="0"/>
        <w:textAlignment w:val="auto"/>
        <w:rPr>
          <w:rFonts w:hint="eastAsia" w:ascii="仿宋" w:hAnsi="仿宋" w:eastAsia="仿宋"/>
          <w:b/>
          <w:sz w:val="32"/>
          <w:szCs w:val="32"/>
        </w:rPr>
      </w:pPr>
      <w:r>
        <w:rPr>
          <w:rFonts w:hint="eastAsia" w:ascii="仿宋" w:hAnsi="仿宋" w:eastAsia="仿宋"/>
          <w:b/>
          <w:sz w:val="32"/>
          <w:szCs w:val="32"/>
        </w:rPr>
        <w:t>一、</w:t>
      </w:r>
      <w:r>
        <w:rPr>
          <w:rFonts w:hint="eastAsia" w:ascii="仿宋" w:hAnsi="仿宋" w:eastAsia="仿宋"/>
          <w:b/>
          <w:sz w:val="32"/>
          <w:szCs w:val="32"/>
          <w:lang w:val="en-US" w:eastAsia="zh-CN"/>
        </w:rPr>
        <w:t>项目基本情况</w:t>
      </w:r>
    </w:p>
    <w:p w14:paraId="4B6FE46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湘阴县为湖南省粮食生产大县，全县共有早晚稻118万亩需通过垸区29处底闸引水灌溉，受三峡工程建成影响，洞庭湖流域枯水期提前且持续时间长，干旱年8~9月份晚稻灌溉用水高峰期，就无法从外河向垸内自流引水灌溉。特别是2022年该县遭遇了有历史记录以来的最严重水文干旱，8月份外河水位就已降至23.0米以下，而湘阴县堤垸底闸普遍高程在23.0至24.0米之间，根本无法自流引水灌溉，导致灌溉用水供需矛盾突出，需采取在外河架设多级临时泵站补水。包市临时补水泵站在包市电排出水闸口处架设两台临时提水泵站从湘江往垸内补水。樟树泵站已运行十多年，近年来长时间在设计最低运行水位上下运行，进水含沙量变高，加速了水泵与电气设备损坏。</w:t>
      </w:r>
    </w:p>
    <w:p w14:paraId="2BFC3C2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本工程建设有利于优化区域水资源配置，提高水资源调配能力，保障了鹤龙湖镇长大湖片区3.24万亩以及静河镇、樟树镇、金龙镇3.01万亩的灌溉水源。改善了农业生产条件，保证粮食安全，同时可改善区域生态环境。为扛牢粮食安全政治责任，保证农业灌溉用水需求，该项目势在必行且十分必要</w:t>
      </w:r>
      <w:r>
        <w:rPr>
          <w:rFonts w:hint="eastAsia" w:ascii="仿宋" w:hAnsi="仿宋" w:eastAsia="仿宋" w:cs="仿宋"/>
          <w:bCs/>
          <w:sz w:val="32"/>
          <w:szCs w:val="32"/>
        </w:rPr>
        <w:t>。</w:t>
      </w:r>
    </w:p>
    <w:p w14:paraId="7C469E5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b/>
          <w:sz w:val="32"/>
          <w:szCs w:val="32"/>
        </w:rPr>
      </w:pPr>
      <w:r>
        <w:rPr>
          <w:rFonts w:hint="eastAsia" w:ascii="仿宋" w:hAnsi="仿宋" w:eastAsia="仿宋"/>
          <w:b/>
          <w:sz w:val="32"/>
          <w:szCs w:val="32"/>
        </w:rPr>
        <w:t>二、水文</w:t>
      </w:r>
    </w:p>
    <w:p w14:paraId="4D3385D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1</w:t>
      </w:r>
      <w:r>
        <w:rPr>
          <w:rFonts w:hint="eastAsia" w:ascii="仿宋" w:hAnsi="仿宋" w:eastAsia="仿宋"/>
          <w:sz w:val="32"/>
          <w:szCs w:val="32"/>
        </w:rPr>
        <w:t>）完善各水文站、水位站、气象站基本情况。</w:t>
      </w:r>
    </w:p>
    <w:p w14:paraId="42DFAC3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2</w:t>
      </w:r>
      <w:r>
        <w:rPr>
          <w:rFonts w:hint="eastAsia" w:ascii="仿宋" w:hAnsi="仿宋" w:eastAsia="仿宋"/>
          <w:sz w:val="32"/>
          <w:szCs w:val="32"/>
        </w:rPr>
        <w:t>）复核包市泵站特征水位。</w:t>
      </w:r>
    </w:p>
    <w:p w14:paraId="11688B2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3</w:t>
      </w:r>
      <w:r>
        <w:rPr>
          <w:rFonts w:hint="eastAsia" w:ascii="仿宋" w:hAnsi="仿宋" w:eastAsia="仿宋"/>
          <w:sz w:val="32"/>
          <w:szCs w:val="32"/>
        </w:rPr>
        <w:t>）基本同意施工期水位。</w:t>
      </w:r>
    </w:p>
    <w:p w14:paraId="0700508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b/>
          <w:sz w:val="32"/>
          <w:szCs w:val="32"/>
        </w:rPr>
      </w:pPr>
      <w:r>
        <w:rPr>
          <w:rFonts w:ascii="仿宋" w:hAnsi="仿宋" w:eastAsia="仿宋"/>
          <w:b/>
          <w:sz w:val="32"/>
          <w:szCs w:val="32"/>
        </w:rPr>
        <w:t>三、工程地质</w:t>
      </w:r>
    </w:p>
    <w:p w14:paraId="1ED73E7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1</w:t>
      </w:r>
      <w:r>
        <w:rPr>
          <w:rFonts w:hint="eastAsia" w:ascii="仿宋" w:hAnsi="仿宋" w:eastAsia="仿宋"/>
          <w:sz w:val="32"/>
          <w:szCs w:val="32"/>
        </w:rPr>
        <w:t>）根据《中国地震动参数区划图》（GB18306-2015），工程区地震动峰值加速度为0.05g，地震动反应谱特征周期为0.35s，相对应的地震烈度为Ⅵ度。</w:t>
      </w:r>
    </w:p>
    <w:p w14:paraId="56A7A80D">
      <w:pPr>
        <w:keepNext w:val="0"/>
        <w:keepLines w:val="0"/>
        <w:pageBreakBefore w:val="0"/>
        <w:widowControl w:val="0"/>
        <w:kinsoku/>
        <w:wordWrap/>
        <w:overflowPunct/>
        <w:topLinePunct w:val="0"/>
        <w:autoSpaceDE/>
        <w:autoSpaceDN/>
        <w:bidi w:val="0"/>
        <w:adjustRightInd/>
        <w:snapToGrid/>
        <w:spacing w:line="620" w:lineRule="exact"/>
        <w:ind w:firstLine="632" w:firstLineChars="200"/>
        <w:textAlignment w:val="auto"/>
        <w:rPr>
          <w:rFonts w:hint="eastAsia" w:ascii="仿宋" w:hAnsi="仿宋" w:eastAsia="仿宋"/>
          <w:sz w:val="32"/>
          <w:szCs w:val="32"/>
        </w:rPr>
      </w:pPr>
      <w:r>
        <w:rPr>
          <w:rFonts w:hint="eastAsia" w:ascii="仿宋" w:hAnsi="仿宋" w:eastAsia="仿宋"/>
          <w:snapToGrid w:val="0"/>
          <w:spacing w:val="-2"/>
          <w:sz w:val="32"/>
          <w:szCs w:val="32"/>
        </w:rPr>
        <w:t>（</w:t>
      </w:r>
      <w:r>
        <w:rPr>
          <w:rFonts w:hint="eastAsia" w:ascii="仿宋" w:hAnsi="仿宋" w:eastAsia="仿宋"/>
          <w:snapToGrid w:val="0"/>
          <w:spacing w:val="-2"/>
          <w:sz w:val="32"/>
          <w:szCs w:val="32"/>
          <w:lang w:val="en-US" w:eastAsia="zh-CN"/>
        </w:rPr>
        <w:t>2</w:t>
      </w:r>
      <w:r>
        <w:rPr>
          <w:rFonts w:hint="eastAsia" w:ascii="仿宋" w:hAnsi="仿宋" w:eastAsia="仿宋"/>
          <w:snapToGrid w:val="0"/>
          <w:spacing w:val="-2"/>
          <w:sz w:val="32"/>
          <w:szCs w:val="32"/>
        </w:rPr>
        <w:t>）基本同意工程地质问题评价。</w:t>
      </w:r>
    </w:p>
    <w:p w14:paraId="6DC7929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lang w:val="en-US" w:eastAsia="zh-CN"/>
        </w:rPr>
        <w:t>3</w:t>
      </w:r>
      <w:r>
        <w:rPr>
          <w:rFonts w:ascii="仿宋" w:hAnsi="仿宋" w:eastAsia="仿宋"/>
          <w:sz w:val="32"/>
          <w:szCs w:val="32"/>
        </w:rPr>
        <w:t>）</w:t>
      </w:r>
      <w:r>
        <w:rPr>
          <w:rFonts w:hint="eastAsia" w:ascii="仿宋" w:hAnsi="仿宋" w:eastAsia="仿宋"/>
          <w:sz w:val="32"/>
          <w:szCs w:val="32"/>
        </w:rPr>
        <w:t>复核岩土物理力学指标推荐值</w:t>
      </w:r>
      <w:r>
        <w:rPr>
          <w:rFonts w:ascii="仿宋" w:hAnsi="仿宋" w:eastAsia="仿宋"/>
          <w:sz w:val="32"/>
          <w:szCs w:val="32"/>
        </w:rPr>
        <w:t>。</w:t>
      </w:r>
    </w:p>
    <w:p w14:paraId="38DE32E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4</w:t>
      </w:r>
      <w:r>
        <w:rPr>
          <w:rFonts w:hint="eastAsia" w:ascii="仿宋" w:hAnsi="仿宋" w:eastAsia="仿宋"/>
          <w:sz w:val="32"/>
          <w:szCs w:val="32"/>
        </w:rPr>
        <w:t>）复核建筑材料位置及运距。</w:t>
      </w:r>
    </w:p>
    <w:p w14:paraId="0365E93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b/>
          <w:sz w:val="32"/>
          <w:szCs w:val="32"/>
        </w:rPr>
      </w:pPr>
      <w:r>
        <w:rPr>
          <w:rFonts w:hint="eastAsia" w:ascii="仿宋" w:hAnsi="仿宋" w:eastAsia="仿宋"/>
          <w:b/>
          <w:sz w:val="32"/>
          <w:szCs w:val="32"/>
        </w:rPr>
        <w:t>四、工程任务和规模</w:t>
      </w:r>
    </w:p>
    <w:p w14:paraId="3455E3B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1</w:t>
      </w:r>
      <w:r>
        <w:rPr>
          <w:rFonts w:hint="eastAsia" w:ascii="仿宋" w:hAnsi="仿宋" w:eastAsia="仿宋"/>
          <w:sz w:val="32"/>
          <w:szCs w:val="32"/>
        </w:rPr>
        <w:t>）基本同意新建包市泵站设计流量为1.72m³/s，总装机功率为320</w:t>
      </w:r>
      <w:r>
        <w:rPr>
          <w:rFonts w:hint="eastAsia" w:ascii="仿宋" w:hAnsi="仿宋" w:eastAsia="仿宋"/>
          <w:sz w:val="32"/>
          <w:szCs w:val="32"/>
          <w:lang w:eastAsia="zh-CN"/>
        </w:rPr>
        <w:t>kW</w:t>
      </w:r>
      <w:r>
        <w:rPr>
          <w:rFonts w:hint="eastAsia" w:ascii="仿宋" w:hAnsi="仿宋" w:eastAsia="仿宋"/>
          <w:sz w:val="32"/>
          <w:szCs w:val="32"/>
        </w:rPr>
        <w:t>。</w:t>
      </w:r>
    </w:p>
    <w:p w14:paraId="7F82226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2</w:t>
      </w:r>
      <w:r>
        <w:rPr>
          <w:rFonts w:hint="eastAsia" w:ascii="仿宋" w:hAnsi="仿宋" w:eastAsia="仿宋"/>
          <w:sz w:val="32"/>
          <w:szCs w:val="32"/>
        </w:rPr>
        <w:t>）同意樟树泵站更新改造设计流量为0.83m³/s，总装机功率为630</w:t>
      </w:r>
      <w:r>
        <w:rPr>
          <w:rFonts w:hint="eastAsia" w:ascii="仿宋" w:hAnsi="仿宋" w:eastAsia="仿宋"/>
          <w:sz w:val="32"/>
          <w:szCs w:val="32"/>
          <w:lang w:eastAsia="zh-CN"/>
        </w:rPr>
        <w:t>kW</w:t>
      </w:r>
      <w:r>
        <w:rPr>
          <w:rFonts w:hint="eastAsia" w:ascii="仿宋" w:hAnsi="仿宋" w:eastAsia="仿宋"/>
          <w:sz w:val="32"/>
          <w:szCs w:val="32"/>
        </w:rPr>
        <w:t>。</w:t>
      </w:r>
    </w:p>
    <w:p w14:paraId="2ADD6EB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b/>
          <w:snapToGrid w:val="0"/>
          <w:sz w:val="32"/>
          <w:szCs w:val="32"/>
        </w:rPr>
      </w:pPr>
      <w:r>
        <w:rPr>
          <w:rFonts w:hint="eastAsia" w:ascii="仿宋" w:hAnsi="仿宋" w:eastAsia="仿宋"/>
          <w:b/>
          <w:snapToGrid w:val="0"/>
          <w:sz w:val="32"/>
          <w:szCs w:val="32"/>
        </w:rPr>
        <w:t>五、工程布置及建筑物</w:t>
      </w:r>
    </w:p>
    <w:p w14:paraId="6B80866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
          <w:snapToGrid w:val="0"/>
          <w:sz w:val="32"/>
          <w:szCs w:val="32"/>
        </w:rPr>
      </w:pPr>
      <w:r>
        <w:rPr>
          <w:rFonts w:hint="eastAsia" w:ascii="仿宋" w:hAnsi="仿宋" w:eastAsia="仿宋"/>
          <w:snapToGrid w:val="0"/>
          <w:sz w:val="32"/>
          <w:szCs w:val="32"/>
        </w:rPr>
        <w:t>（</w:t>
      </w:r>
      <w:r>
        <w:rPr>
          <w:rFonts w:hint="eastAsia" w:ascii="仿宋" w:hAnsi="仿宋" w:eastAsia="仿宋"/>
          <w:snapToGrid w:val="0"/>
          <w:sz w:val="32"/>
          <w:szCs w:val="32"/>
          <w:lang w:val="en-US" w:eastAsia="zh-CN"/>
        </w:rPr>
        <w:t>1</w:t>
      </w:r>
      <w:r>
        <w:rPr>
          <w:rFonts w:hint="eastAsia" w:ascii="仿宋" w:hAnsi="仿宋" w:eastAsia="仿宋"/>
          <w:snapToGrid w:val="0"/>
          <w:sz w:val="32"/>
          <w:szCs w:val="32"/>
        </w:rPr>
        <w:t>）同意包市泵站等别为Ⅳ等，主要建筑物水工建筑物级别3级，次要建筑物级别4级；樟树泵站等别为Ⅳ等，主要建筑物水工建筑物级别4级，次要建筑物级别5级。</w:t>
      </w:r>
    </w:p>
    <w:p w14:paraId="7908F27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
          <w:snapToGrid w:val="0"/>
          <w:sz w:val="32"/>
          <w:szCs w:val="32"/>
        </w:rPr>
      </w:pPr>
      <w:r>
        <w:rPr>
          <w:rFonts w:ascii="仿宋" w:hAnsi="仿宋" w:eastAsia="仿宋"/>
          <w:snapToGrid w:val="0"/>
          <w:sz w:val="32"/>
          <w:szCs w:val="32"/>
        </w:rPr>
        <w:t>（</w:t>
      </w:r>
      <w:r>
        <w:rPr>
          <w:rFonts w:hint="eastAsia" w:ascii="仿宋" w:hAnsi="仿宋" w:eastAsia="仿宋"/>
          <w:snapToGrid w:val="0"/>
          <w:sz w:val="32"/>
          <w:szCs w:val="32"/>
          <w:lang w:val="en-US" w:eastAsia="zh-CN"/>
        </w:rPr>
        <w:t>2</w:t>
      </w:r>
      <w:r>
        <w:rPr>
          <w:rFonts w:ascii="仿宋" w:hAnsi="仿宋" w:eastAsia="仿宋"/>
          <w:snapToGrid w:val="0"/>
          <w:sz w:val="32"/>
          <w:szCs w:val="32"/>
        </w:rPr>
        <w:t>）</w:t>
      </w:r>
      <w:r>
        <w:rPr>
          <w:rFonts w:hint="eastAsia" w:ascii="仿宋" w:hAnsi="仿宋" w:eastAsia="仿宋"/>
          <w:snapToGrid w:val="0"/>
          <w:sz w:val="32"/>
          <w:szCs w:val="32"/>
        </w:rPr>
        <w:t>优化包市泵站布置方案，复核结构尺寸设计</w:t>
      </w:r>
      <w:r>
        <w:rPr>
          <w:rFonts w:ascii="仿宋" w:hAnsi="仿宋" w:eastAsia="仿宋"/>
          <w:snapToGrid w:val="0"/>
          <w:sz w:val="32"/>
          <w:szCs w:val="32"/>
        </w:rPr>
        <w:t>。</w:t>
      </w:r>
    </w:p>
    <w:p w14:paraId="72005BE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3</w:t>
      </w:r>
      <w:r>
        <w:rPr>
          <w:rFonts w:hint="eastAsia" w:ascii="仿宋" w:hAnsi="仿宋" w:eastAsia="仿宋"/>
          <w:sz w:val="32"/>
          <w:szCs w:val="32"/>
        </w:rPr>
        <w:t>）同意樟树泵站更新改造建设内容。</w:t>
      </w:r>
    </w:p>
    <w:p w14:paraId="3B77D18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4</w:t>
      </w:r>
      <w:r>
        <w:rPr>
          <w:rFonts w:hint="eastAsia" w:ascii="仿宋" w:hAnsi="仿宋" w:eastAsia="仿宋"/>
          <w:sz w:val="32"/>
          <w:szCs w:val="32"/>
        </w:rPr>
        <w:t>）完善相关图件。</w:t>
      </w:r>
    </w:p>
    <w:p w14:paraId="446B18C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b/>
          <w:snapToGrid w:val="0"/>
          <w:sz w:val="32"/>
          <w:szCs w:val="32"/>
        </w:rPr>
      </w:pPr>
      <w:r>
        <w:rPr>
          <w:rFonts w:ascii="仿宋" w:hAnsi="仿宋" w:eastAsia="仿宋"/>
          <w:b/>
          <w:snapToGrid w:val="0"/>
          <w:sz w:val="32"/>
          <w:szCs w:val="32"/>
        </w:rPr>
        <w:t>六、机电及金属结构</w:t>
      </w:r>
    </w:p>
    <w:p w14:paraId="0AB98BC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snapToGrid w:val="0"/>
          <w:sz w:val="32"/>
          <w:szCs w:val="32"/>
        </w:rPr>
      </w:pPr>
      <w:r>
        <w:rPr>
          <w:rFonts w:hint="eastAsia" w:ascii="仿宋" w:hAnsi="仿宋" w:eastAsia="仿宋"/>
          <w:snapToGrid w:val="0"/>
          <w:sz w:val="32"/>
          <w:szCs w:val="32"/>
        </w:rPr>
        <w:t>（</w:t>
      </w:r>
      <w:r>
        <w:rPr>
          <w:rFonts w:hint="eastAsia" w:ascii="仿宋" w:hAnsi="仿宋" w:eastAsia="仿宋"/>
          <w:snapToGrid w:val="0"/>
          <w:sz w:val="32"/>
          <w:szCs w:val="32"/>
          <w:lang w:val="en-US" w:eastAsia="zh-CN"/>
        </w:rPr>
        <w:t>1</w:t>
      </w:r>
      <w:r>
        <w:rPr>
          <w:rFonts w:hint="eastAsia" w:ascii="仿宋" w:hAnsi="仿宋" w:eastAsia="仿宋"/>
          <w:snapToGrid w:val="0"/>
          <w:sz w:val="32"/>
          <w:szCs w:val="32"/>
        </w:rPr>
        <w:t>）基本同意水力机械设计方案，核对设计依据，复核水头损失计算成果。</w:t>
      </w:r>
    </w:p>
    <w:p w14:paraId="3282E44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snapToGrid w:val="0"/>
          <w:sz w:val="32"/>
          <w:szCs w:val="32"/>
        </w:rPr>
      </w:pPr>
      <w:r>
        <w:rPr>
          <w:rFonts w:hint="eastAsia" w:ascii="仿宋" w:hAnsi="仿宋" w:eastAsia="仿宋"/>
          <w:snapToGrid w:val="0"/>
          <w:sz w:val="32"/>
          <w:szCs w:val="32"/>
        </w:rPr>
        <w:t>（</w:t>
      </w:r>
      <w:r>
        <w:rPr>
          <w:rFonts w:hint="eastAsia" w:ascii="仿宋" w:hAnsi="仿宋" w:eastAsia="仿宋"/>
          <w:snapToGrid w:val="0"/>
          <w:sz w:val="32"/>
          <w:szCs w:val="32"/>
          <w:lang w:val="en-US" w:eastAsia="zh-CN"/>
        </w:rPr>
        <w:t>2</w:t>
      </w:r>
      <w:r>
        <w:rPr>
          <w:rFonts w:hint="eastAsia" w:ascii="仿宋" w:hAnsi="仿宋" w:eastAsia="仿宋"/>
          <w:snapToGrid w:val="0"/>
          <w:sz w:val="32"/>
          <w:szCs w:val="32"/>
        </w:rPr>
        <w:t>）优化电气设计方案，复核设备表及设计图中数据。</w:t>
      </w:r>
    </w:p>
    <w:p w14:paraId="28F31F2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snapToGrid w:val="0"/>
          <w:sz w:val="32"/>
          <w:szCs w:val="32"/>
        </w:rPr>
      </w:pPr>
      <w:r>
        <w:rPr>
          <w:rFonts w:hint="eastAsia" w:ascii="仿宋" w:hAnsi="仿宋" w:eastAsia="仿宋"/>
          <w:snapToGrid w:val="0"/>
          <w:sz w:val="32"/>
          <w:szCs w:val="32"/>
        </w:rPr>
        <w:t>（</w:t>
      </w:r>
      <w:r>
        <w:rPr>
          <w:rFonts w:hint="eastAsia" w:ascii="仿宋" w:hAnsi="仿宋" w:eastAsia="仿宋"/>
          <w:snapToGrid w:val="0"/>
          <w:sz w:val="32"/>
          <w:szCs w:val="32"/>
          <w:lang w:val="en-US" w:eastAsia="zh-CN"/>
        </w:rPr>
        <w:t>3</w:t>
      </w:r>
      <w:r>
        <w:rPr>
          <w:rFonts w:hint="eastAsia" w:ascii="仿宋" w:hAnsi="仿宋" w:eastAsia="仿宋"/>
          <w:snapToGrid w:val="0"/>
          <w:sz w:val="32"/>
          <w:szCs w:val="32"/>
        </w:rPr>
        <w:t>）基本同意拦污栅、闸门等钢结构设计。</w:t>
      </w:r>
    </w:p>
    <w:p w14:paraId="2BBDC35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b/>
          <w:snapToGrid w:val="0"/>
          <w:sz w:val="32"/>
          <w:szCs w:val="32"/>
        </w:rPr>
      </w:pPr>
      <w:r>
        <w:rPr>
          <w:rFonts w:hint="eastAsia" w:ascii="仿宋" w:hAnsi="仿宋" w:eastAsia="仿宋"/>
          <w:b/>
          <w:snapToGrid w:val="0"/>
          <w:sz w:val="32"/>
          <w:szCs w:val="32"/>
        </w:rPr>
        <w:t>七、</w:t>
      </w:r>
      <w:r>
        <w:rPr>
          <w:rFonts w:hint="eastAsia" w:ascii="仿宋" w:hAnsi="仿宋" w:eastAsia="仿宋"/>
          <w:b/>
          <w:snapToGrid w:val="0"/>
          <w:sz w:val="32"/>
          <w:szCs w:val="32"/>
          <w:lang w:val="en-US" w:eastAsia="zh-CN"/>
        </w:rPr>
        <w:t>消防</w:t>
      </w:r>
      <w:r>
        <w:rPr>
          <w:rFonts w:hint="eastAsia" w:ascii="仿宋" w:hAnsi="仿宋" w:eastAsia="仿宋"/>
          <w:b/>
          <w:snapToGrid w:val="0"/>
          <w:sz w:val="32"/>
          <w:szCs w:val="32"/>
        </w:rPr>
        <w:t>设计</w:t>
      </w:r>
    </w:p>
    <w:p w14:paraId="67F9C9C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
          <w:snapToGrid w:val="0"/>
          <w:sz w:val="32"/>
          <w:szCs w:val="32"/>
        </w:rPr>
      </w:pPr>
      <w:r>
        <w:rPr>
          <w:rFonts w:hint="eastAsia" w:ascii="仿宋" w:hAnsi="仿宋" w:eastAsia="仿宋"/>
          <w:snapToGrid w:val="0"/>
          <w:sz w:val="32"/>
          <w:szCs w:val="32"/>
        </w:rPr>
        <w:t>基本同意消防设计。</w:t>
      </w:r>
    </w:p>
    <w:p w14:paraId="401B332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b/>
          <w:snapToGrid w:val="0"/>
          <w:sz w:val="32"/>
          <w:szCs w:val="32"/>
        </w:rPr>
      </w:pPr>
      <w:r>
        <w:rPr>
          <w:rFonts w:hint="eastAsia" w:ascii="仿宋" w:hAnsi="仿宋" w:eastAsia="仿宋"/>
          <w:b/>
          <w:snapToGrid w:val="0"/>
          <w:sz w:val="32"/>
          <w:szCs w:val="32"/>
          <w:lang w:val="en-US" w:eastAsia="zh-CN"/>
        </w:rPr>
        <w:t>八</w:t>
      </w:r>
      <w:r>
        <w:rPr>
          <w:rFonts w:hint="eastAsia" w:ascii="仿宋" w:hAnsi="仿宋" w:eastAsia="仿宋"/>
          <w:b/>
          <w:snapToGrid w:val="0"/>
          <w:sz w:val="32"/>
          <w:szCs w:val="32"/>
        </w:rPr>
        <w:t>、施工组织设计</w:t>
      </w:r>
    </w:p>
    <w:p w14:paraId="021D1C4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
          <w:snapToGrid w:val="0"/>
          <w:sz w:val="32"/>
          <w:szCs w:val="32"/>
        </w:rPr>
      </w:pPr>
      <w:r>
        <w:rPr>
          <w:rFonts w:hint="eastAsia" w:ascii="仿宋" w:hAnsi="仿宋" w:eastAsia="仿宋"/>
          <w:snapToGrid w:val="0"/>
          <w:sz w:val="32"/>
          <w:szCs w:val="32"/>
        </w:rPr>
        <w:t>（</w:t>
      </w:r>
      <w:r>
        <w:rPr>
          <w:rFonts w:hint="eastAsia" w:ascii="仿宋" w:hAnsi="仿宋" w:eastAsia="仿宋"/>
          <w:snapToGrid w:val="0"/>
          <w:sz w:val="32"/>
          <w:szCs w:val="32"/>
          <w:lang w:val="en-US" w:eastAsia="zh-CN"/>
        </w:rPr>
        <w:t>1</w:t>
      </w:r>
      <w:r>
        <w:rPr>
          <w:rFonts w:hint="eastAsia" w:ascii="仿宋" w:hAnsi="仿宋" w:eastAsia="仿宋"/>
          <w:snapToGrid w:val="0"/>
          <w:sz w:val="32"/>
          <w:szCs w:val="32"/>
        </w:rPr>
        <w:t>）基本同意施工导流标准及导流方式，优化导流方案。</w:t>
      </w:r>
    </w:p>
    <w:p w14:paraId="7E3E8F0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
          <w:snapToGrid w:val="0"/>
          <w:sz w:val="32"/>
          <w:szCs w:val="32"/>
        </w:rPr>
      </w:pPr>
      <w:r>
        <w:rPr>
          <w:rFonts w:hint="eastAsia" w:ascii="仿宋" w:hAnsi="仿宋" w:eastAsia="仿宋"/>
          <w:snapToGrid w:val="0"/>
          <w:sz w:val="32"/>
          <w:szCs w:val="32"/>
        </w:rPr>
        <w:t>（</w:t>
      </w:r>
      <w:r>
        <w:rPr>
          <w:rFonts w:hint="eastAsia" w:ascii="仿宋" w:hAnsi="仿宋" w:eastAsia="仿宋"/>
          <w:snapToGrid w:val="0"/>
          <w:sz w:val="32"/>
          <w:szCs w:val="32"/>
          <w:lang w:val="en-US" w:eastAsia="zh-CN"/>
        </w:rPr>
        <w:t>2</w:t>
      </w:r>
      <w:r>
        <w:rPr>
          <w:rFonts w:hint="eastAsia" w:ascii="仿宋" w:hAnsi="仿宋" w:eastAsia="仿宋"/>
          <w:snapToGrid w:val="0"/>
          <w:sz w:val="32"/>
          <w:szCs w:val="32"/>
        </w:rPr>
        <w:t>）优化施工总体布置，施工总工期8个月。</w:t>
      </w:r>
    </w:p>
    <w:p w14:paraId="15B6656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仿宋" w:hAnsi="仿宋" w:eastAsia="仿宋"/>
          <w:snapToGrid w:val="0"/>
          <w:sz w:val="32"/>
          <w:szCs w:val="32"/>
        </w:rPr>
      </w:pPr>
      <w:r>
        <w:rPr>
          <w:rFonts w:hint="eastAsia" w:ascii="仿宋" w:hAnsi="仿宋" w:eastAsia="仿宋"/>
          <w:snapToGrid w:val="0"/>
          <w:sz w:val="32"/>
          <w:szCs w:val="32"/>
        </w:rPr>
        <w:t>（</w:t>
      </w:r>
      <w:r>
        <w:rPr>
          <w:rFonts w:hint="eastAsia" w:ascii="仿宋" w:hAnsi="仿宋" w:eastAsia="仿宋"/>
          <w:snapToGrid w:val="0"/>
          <w:sz w:val="32"/>
          <w:szCs w:val="32"/>
          <w:lang w:val="en-US" w:eastAsia="zh-CN"/>
        </w:rPr>
        <w:t>3</w:t>
      </w:r>
      <w:r>
        <w:rPr>
          <w:rFonts w:hint="eastAsia" w:ascii="仿宋" w:hAnsi="仿宋" w:eastAsia="仿宋"/>
          <w:snapToGrid w:val="0"/>
          <w:sz w:val="32"/>
          <w:szCs w:val="32"/>
        </w:rPr>
        <w:t>）复核料场选择。</w:t>
      </w:r>
    </w:p>
    <w:p w14:paraId="5422745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 w:hAnsi="仿宋" w:eastAsia="仿宋" w:cs="Times New Roman"/>
          <w:b/>
          <w:snapToGrid w:val="0"/>
          <w:sz w:val="32"/>
          <w:szCs w:val="32"/>
          <w:lang w:val="en-US" w:eastAsia="zh-CN"/>
        </w:rPr>
      </w:pPr>
      <w:r>
        <w:rPr>
          <w:rFonts w:hint="eastAsia" w:ascii="仿宋" w:hAnsi="仿宋" w:eastAsia="仿宋" w:cs="Times New Roman"/>
          <w:b/>
          <w:snapToGrid w:val="0"/>
          <w:sz w:val="32"/>
          <w:szCs w:val="32"/>
          <w:lang w:val="en-US" w:eastAsia="zh-CN"/>
        </w:rPr>
        <w:t>九、</w:t>
      </w:r>
      <w:r>
        <w:rPr>
          <w:rFonts w:hint="default" w:ascii="仿宋" w:hAnsi="仿宋" w:eastAsia="仿宋" w:cs="Times New Roman"/>
          <w:b/>
          <w:snapToGrid w:val="0"/>
          <w:sz w:val="32"/>
          <w:szCs w:val="32"/>
          <w:lang w:val="en-US" w:eastAsia="zh-CN"/>
        </w:rPr>
        <w:t>建设征地与移民安置</w:t>
      </w:r>
    </w:p>
    <w:p w14:paraId="23C503E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 w:hAnsi="仿宋" w:eastAsia="仿宋" w:cs="Times New Roman"/>
          <w:snapToGrid w:val="0"/>
          <w:sz w:val="32"/>
          <w:szCs w:val="32"/>
          <w:lang w:val="en-US" w:eastAsia="zh-CN"/>
        </w:rPr>
      </w:pPr>
      <w:r>
        <w:rPr>
          <w:rFonts w:hint="default" w:ascii="仿宋" w:hAnsi="仿宋" w:eastAsia="仿宋" w:cs="Times New Roman"/>
          <w:snapToGrid w:val="0"/>
          <w:sz w:val="32"/>
          <w:szCs w:val="32"/>
          <w:lang w:val="en-US" w:eastAsia="zh-CN"/>
        </w:rPr>
        <w:t>基本同意工程临时占地</w:t>
      </w:r>
      <w:r>
        <w:rPr>
          <w:rFonts w:hint="eastAsia" w:ascii="仿宋" w:hAnsi="仿宋" w:eastAsia="仿宋" w:cs="Times New Roman"/>
          <w:snapToGrid w:val="0"/>
          <w:sz w:val="32"/>
          <w:szCs w:val="32"/>
          <w:lang w:val="en-US" w:eastAsia="zh-CN"/>
        </w:rPr>
        <w:t>方案</w:t>
      </w:r>
      <w:r>
        <w:rPr>
          <w:rFonts w:hint="default" w:ascii="仿宋" w:hAnsi="仿宋" w:eastAsia="仿宋" w:cs="Times New Roman"/>
          <w:snapToGrid w:val="0"/>
          <w:sz w:val="32"/>
          <w:szCs w:val="32"/>
          <w:lang w:val="en-US" w:eastAsia="zh-CN"/>
        </w:rPr>
        <w:t>。</w:t>
      </w:r>
    </w:p>
    <w:p w14:paraId="7012BB8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 w:hAnsi="仿宋" w:eastAsia="仿宋" w:cs="Times New Roman"/>
          <w:b/>
          <w:snapToGrid w:val="0"/>
          <w:sz w:val="32"/>
          <w:szCs w:val="32"/>
          <w:lang w:val="en-US" w:eastAsia="zh-CN"/>
        </w:rPr>
      </w:pPr>
      <w:r>
        <w:rPr>
          <w:rFonts w:hint="eastAsia" w:ascii="仿宋" w:hAnsi="仿宋" w:eastAsia="仿宋" w:cs="Times New Roman"/>
          <w:b/>
          <w:snapToGrid w:val="0"/>
          <w:sz w:val="32"/>
          <w:szCs w:val="32"/>
          <w:lang w:val="en-US" w:eastAsia="zh-CN"/>
        </w:rPr>
        <w:t>十、</w:t>
      </w:r>
      <w:r>
        <w:rPr>
          <w:rFonts w:hint="default" w:ascii="仿宋" w:hAnsi="仿宋" w:eastAsia="仿宋" w:cs="Times New Roman"/>
          <w:b/>
          <w:snapToGrid w:val="0"/>
          <w:sz w:val="32"/>
          <w:szCs w:val="32"/>
          <w:lang w:val="en-US" w:eastAsia="zh-CN"/>
        </w:rPr>
        <w:t>环境保护设计</w:t>
      </w:r>
    </w:p>
    <w:p w14:paraId="2300007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 w:hAnsi="仿宋" w:eastAsia="仿宋" w:cs="Times New Roman"/>
          <w:snapToGrid w:val="0"/>
          <w:sz w:val="32"/>
          <w:szCs w:val="32"/>
          <w:lang w:val="en-US" w:eastAsia="zh-CN"/>
        </w:rPr>
      </w:pPr>
      <w:r>
        <w:rPr>
          <w:rFonts w:hint="eastAsia" w:ascii="仿宋" w:hAnsi="仿宋" w:eastAsia="仿宋" w:cs="Times New Roman"/>
          <w:snapToGrid w:val="0"/>
          <w:sz w:val="32"/>
          <w:szCs w:val="32"/>
          <w:lang w:val="en-US" w:eastAsia="zh-CN"/>
        </w:rPr>
        <w:t>（1）</w:t>
      </w:r>
      <w:r>
        <w:rPr>
          <w:rFonts w:hint="default" w:ascii="仿宋" w:hAnsi="仿宋" w:eastAsia="仿宋" w:cs="Times New Roman"/>
          <w:snapToGrid w:val="0"/>
          <w:sz w:val="32"/>
          <w:szCs w:val="32"/>
          <w:lang w:val="en-US" w:eastAsia="zh-CN"/>
        </w:rPr>
        <w:t>基本同意环境保护设计。</w:t>
      </w:r>
    </w:p>
    <w:p w14:paraId="42C74ED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 w:hAnsi="仿宋" w:eastAsia="仿宋" w:cs="Times New Roman"/>
          <w:snapToGrid w:val="0"/>
          <w:sz w:val="32"/>
          <w:szCs w:val="32"/>
          <w:lang w:val="en-US" w:eastAsia="zh-CN"/>
        </w:rPr>
      </w:pPr>
      <w:r>
        <w:rPr>
          <w:rFonts w:hint="eastAsia" w:ascii="仿宋" w:hAnsi="仿宋" w:eastAsia="仿宋" w:cs="Times New Roman"/>
          <w:snapToGrid w:val="0"/>
          <w:sz w:val="32"/>
          <w:szCs w:val="32"/>
          <w:lang w:val="en-US" w:eastAsia="zh-CN"/>
        </w:rPr>
        <w:t>（2）</w:t>
      </w:r>
      <w:r>
        <w:rPr>
          <w:rFonts w:hint="default" w:ascii="仿宋" w:hAnsi="仿宋" w:eastAsia="仿宋" w:cs="Times New Roman"/>
          <w:snapToGrid w:val="0"/>
          <w:sz w:val="32"/>
          <w:szCs w:val="32"/>
          <w:lang w:val="en-US" w:eastAsia="zh-CN"/>
        </w:rPr>
        <w:t>复核环境保护投资概算。</w:t>
      </w:r>
    </w:p>
    <w:p w14:paraId="62D2335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 w:hAnsi="仿宋" w:eastAsia="仿宋" w:cs="Times New Roman"/>
          <w:b/>
          <w:snapToGrid w:val="0"/>
          <w:sz w:val="32"/>
          <w:szCs w:val="32"/>
          <w:lang w:val="en-US" w:eastAsia="zh-CN"/>
        </w:rPr>
      </w:pPr>
      <w:r>
        <w:rPr>
          <w:rFonts w:hint="eastAsia" w:ascii="仿宋" w:hAnsi="仿宋" w:eastAsia="仿宋" w:cs="Times New Roman"/>
          <w:b/>
          <w:snapToGrid w:val="0"/>
          <w:sz w:val="32"/>
          <w:szCs w:val="32"/>
          <w:lang w:val="en-US" w:eastAsia="zh-CN"/>
        </w:rPr>
        <w:t>十一、</w:t>
      </w:r>
      <w:r>
        <w:rPr>
          <w:rFonts w:hint="default" w:ascii="仿宋" w:hAnsi="仿宋" w:eastAsia="仿宋" w:cs="Times New Roman"/>
          <w:b/>
          <w:snapToGrid w:val="0"/>
          <w:sz w:val="32"/>
          <w:szCs w:val="32"/>
          <w:lang w:val="en-US" w:eastAsia="zh-CN"/>
        </w:rPr>
        <w:t>水土保持设计</w:t>
      </w:r>
    </w:p>
    <w:p w14:paraId="4AAE69F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 w:hAnsi="仿宋" w:eastAsia="仿宋" w:cs="Times New Roman"/>
          <w:snapToGrid w:val="0"/>
          <w:sz w:val="32"/>
          <w:szCs w:val="32"/>
          <w:lang w:val="en-US" w:eastAsia="zh-CN"/>
        </w:rPr>
      </w:pPr>
      <w:r>
        <w:rPr>
          <w:rFonts w:hint="eastAsia" w:ascii="仿宋" w:hAnsi="仿宋" w:eastAsia="仿宋" w:cs="Times New Roman"/>
          <w:snapToGrid w:val="0"/>
          <w:sz w:val="32"/>
          <w:szCs w:val="32"/>
          <w:lang w:val="en-US" w:eastAsia="zh-CN"/>
        </w:rPr>
        <w:t>（1）</w:t>
      </w:r>
      <w:r>
        <w:rPr>
          <w:rFonts w:hint="default" w:ascii="仿宋" w:hAnsi="仿宋" w:eastAsia="仿宋" w:cs="Times New Roman"/>
          <w:snapToGrid w:val="0"/>
          <w:sz w:val="32"/>
          <w:szCs w:val="32"/>
          <w:lang w:val="en-US" w:eastAsia="zh-CN"/>
        </w:rPr>
        <w:t>基本同意水土保持设计。</w:t>
      </w:r>
    </w:p>
    <w:p w14:paraId="4143648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 w:hAnsi="仿宋" w:eastAsia="仿宋" w:cs="Times New Roman"/>
          <w:snapToGrid w:val="0"/>
          <w:sz w:val="32"/>
          <w:szCs w:val="32"/>
          <w:lang w:val="en-US" w:eastAsia="zh-CN"/>
        </w:rPr>
      </w:pPr>
      <w:r>
        <w:rPr>
          <w:rFonts w:hint="eastAsia" w:ascii="仿宋" w:hAnsi="仿宋" w:eastAsia="仿宋" w:cs="Times New Roman"/>
          <w:snapToGrid w:val="0"/>
          <w:sz w:val="32"/>
          <w:szCs w:val="32"/>
          <w:lang w:val="en-US" w:eastAsia="zh-CN"/>
        </w:rPr>
        <w:t>（2）</w:t>
      </w:r>
      <w:r>
        <w:rPr>
          <w:rFonts w:hint="default" w:ascii="仿宋" w:hAnsi="仿宋" w:eastAsia="仿宋" w:cs="Times New Roman"/>
          <w:snapToGrid w:val="0"/>
          <w:sz w:val="32"/>
          <w:szCs w:val="32"/>
          <w:lang w:val="en-US" w:eastAsia="zh-CN"/>
        </w:rPr>
        <w:t>复核水土保持投资概算。</w:t>
      </w:r>
    </w:p>
    <w:p w14:paraId="3AFE569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 w:hAnsi="仿宋" w:eastAsia="仿宋" w:cs="Times New Roman"/>
          <w:b/>
          <w:snapToGrid w:val="0"/>
          <w:sz w:val="32"/>
          <w:szCs w:val="32"/>
          <w:lang w:val="en-US" w:eastAsia="zh-CN"/>
        </w:rPr>
      </w:pPr>
      <w:r>
        <w:rPr>
          <w:rFonts w:hint="eastAsia" w:ascii="仿宋" w:hAnsi="仿宋" w:eastAsia="仿宋" w:cs="Times New Roman"/>
          <w:b/>
          <w:snapToGrid w:val="0"/>
          <w:sz w:val="32"/>
          <w:szCs w:val="32"/>
          <w:lang w:val="en-US" w:eastAsia="zh-CN"/>
        </w:rPr>
        <w:t>十二、</w:t>
      </w:r>
      <w:r>
        <w:rPr>
          <w:rFonts w:hint="default" w:ascii="仿宋" w:hAnsi="仿宋" w:eastAsia="仿宋" w:cs="Times New Roman"/>
          <w:b/>
          <w:snapToGrid w:val="0"/>
          <w:sz w:val="32"/>
          <w:szCs w:val="32"/>
          <w:lang w:val="en-US" w:eastAsia="zh-CN"/>
        </w:rPr>
        <w:t>劳动安全与工业卫生</w:t>
      </w:r>
    </w:p>
    <w:p w14:paraId="26006B6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 w:hAnsi="仿宋" w:eastAsia="仿宋" w:cs="Times New Roman"/>
          <w:snapToGrid w:val="0"/>
          <w:sz w:val="32"/>
          <w:szCs w:val="32"/>
          <w:lang w:val="en-US" w:eastAsia="zh-CN"/>
        </w:rPr>
      </w:pPr>
      <w:r>
        <w:rPr>
          <w:rFonts w:hint="default" w:ascii="仿宋" w:hAnsi="仿宋" w:eastAsia="仿宋" w:cs="Times New Roman"/>
          <w:snapToGrid w:val="0"/>
          <w:sz w:val="32"/>
          <w:szCs w:val="32"/>
          <w:lang w:val="en-US" w:eastAsia="zh-CN"/>
        </w:rPr>
        <w:t>基本同意劳动安全与工业卫生设计。</w:t>
      </w:r>
    </w:p>
    <w:p w14:paraId="60A5EDE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 w:hAnsi="仿宋" w:eastAsia="仿宋" w:cs="Times New Roman"/>
          <w:b/>
          <w:snapToGrid w:val="0"/>
          <w:sz w:val="32"/>
          <w:szCs w:val="32"/>
          <w:lang w:val="en-US" w:eastAsia="zh-CN"/>
        </w:rPr>
      </w:pPr>
      <w:r>
        <w:rPr>
          <w:rFonts w:hint="eastAsia" w:ascii="仿宋" w:hAnsi="仿宋" w:eastAsia="仿宋" w:cs="Times New Roman"/>
          <w:b/>
          <w:snapToGrid w:val="0"/>
          <w:sz w:val="32"/>
          <w:szCs w:val="32"/>
          <w:lang w:val="en-US" w:eastAsia="zh-CN"/>
        </w:rPr>
        <w:t>十三、</w:t>
      </w:r>
      <w:r>
        <w:rPr>
          <w:rFonts w:hint="default" w:ascii="仿宋" w:hAnsi="仿宋" w:eastAsia="仿宋" w:cs="Times New Roman"/>
          <w:b/>
          <w:snapToGrid w:val="0"/>
          <w:sz w:val="32"/>
          <w:szCs w:val="32"/>
          <w:lang w:val="en-US" w:eastAsia="zh-CN"/>
        </w:rPr>
        <w:t>节能设计</w:t>
      </w:r>
    </w:p>
    <w:p w14:paraId="3EE651C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 w:hAnsi="仿宋" w:eastAsia="仿宋" w:cs="Times New Roman"/>
          <w:snapToGrid w:val="0"/>
          <w:sz w:val="32"/>
          <w:szCs w:val="32"/>
          <w:lang w:val="en-US" w:eastAsia="zh-CN"/>
        </w:rPr>
      </w:pPr>
      <w:r>
        <w:rPr>
          <w:rFonts w:hint="default" w:ascii="仿宋" w:hAnsi="仿宋" w:eastAsia="仿宋" w:cs="Times New Roman"/>
          <w:snapToGrid w:val="0"/>
          <w:sz w:val="32"/>
          <w:szCs w:val="32"/>
          <w:lang w:val="en-US" w:eastAsia="zh-CN"/>
        </w:rPr>
        <w:t>基本同意节能设计。</w:t>
      </w:r>
    </w:p>
    <w:p w14:paraId="30F22E0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 w:hAnsi="仿宋" w:eastAsia="仿宋" w:cs="Times New Roman"/>
          <w:b/>
          <w:snapToGrid w:val="0"/>
          <w:sz w:val="32"/>
          <w:szCs w:val="32"/>
          <w:lang w:val="en-US" w:eastAsia="zh-CN"/>
        </w:rPr>
      </w:pPr>
      <w:r>
        <w:rPr>
          <w:rFonts w:hint="eastAsia" w:ascii="仿宋" w:hAnsi="仿宋" w:eastAsia="仿宋" w:cs="Times New Roman"/>
          <w:b/>
          <w:snapToGrid w:val="0"/>
          <w:sz w:val="32"/>
          <w:szCs w:val="32"/>
          <w:lang w:val="en-US" w:eastAsia="zh-CN"/>
        </w:rPr>
        <w:t>十四、</w:t>
      </w:r>
      <w:r>
        <w:rPr>
          <w:rFonts w:hint="default" w:ascii="仿宋" w:hAnsi="仿宋" w:eastAsia="仿宋" w:cs="Times New Roman"/>
          <w:b/>
          <w:snapToGrid w:val="0"/>
          <w:sz w:val="32"/>
          <w:szCs w:val="32"/>
          <w:lang w:val="en-US" w:eastAsia="zh-CN"/>
        </w:rPr>
        <w:t>工程管理</w:t>
      </w:r>
    </w:p>
    <w:p w14:paraId="7B096AC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 w:hAnsi="仿宋" w:eastAsia="仿宋" w:cs="Times New Roman"/>
          <w:snapToGrid w:val="0"/>
          <w:sz w:val="32"/>
          <w:szCs w:val="32"/>
          <w:lang w:val="en-US" w:eastAsia="zh-CN"/>
        </w:rPr>
      </w:pPr>
      <w:r>
        <w:rPr>
          <w:rFonts w:hint="eastAsia" w:ascii="仿宋" w:hAnsi="仿宋" w:eastAsia="仿宋" w:cs="Times New Roman"/>
          <w:snapToGrid w:val="0"/>
          <w:sz w:val="32"/>
          <w:szCs w:val="32"/>
          <w:lang w:val="en-US" w:eastAsia="zh-CN"/>
        </w:rPr>
        <w:t>（1）</w:t>
      </w:r>
      <w:r>
        <w:rPr>
          <w:rFonts w:hint="default" w:ascii="仿宋" w:hAnsi="仿宋" w:eastAsia="仿宋" w:cs="Times New Roman"/>
          <w:snapToGrid w:val="0"/>
          <w:sz w:val="32"/>
          <w:szCs w:val="32"/>
          <w:lang w:val="en-US" w:eastAsia="zh-CN"/>
        </w:rPr>
        <w:t>基本同意确定的管理范围和保护范围。</w:t>
      </w:r>
    </w:p>
    <w:p w14:paraId="02F1B00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 w:hAnsi="仿宋" w:eastAsia="仿宋" w:cs="Times New Roman"/>
          <w:snapToGrid w:val="0"/>
          <w:sz w:val="32"/>
          <w:szCs w:val="32"/>
          <w:lang w:val="en-US" w:eastAsia="zh-CN"/>
        </w:rPr>
      </w:pPr>
      <w:r>
        <w:rPr>
          <w:rFonts w:hint="eastAsia" w:ascii="仿宋" w:hAnsi="仿宋" w:eastAsia="仿宋" w:cs="Times New Roman"/>
          <w:snapToGrid w:val="0"/>
          <w:sz w:val="32"/>
          <w:szCs w:val="32"/>
          <w:lang w:val="en-US" w:eastAsia="zh-CN"/>
        </w:rPr>
        <w:t>（2）</w:t>
      </w:r>
      <w:r>
        <w:rPr>
          <w:rFonts w:hint="default" w:ascii="仿宋" w:hAnsi="仿宋" w:eastAsia="仿宋" w:cs="Times New Roman"/>
          <w:snapToGrid w:val="0"/>
          <w:sz w:val="32"/>
          <w:szCs w:val="32"/>
          <w:lang w:val="en-US" w:eastAsia="zh-CN"/>
        </w:rPr>
        <w:t>基本同意工程管理岗位和人员设置方案。</w:t>
      </w:r>
    </w:p>
    <w:p w14:paraId="4EA1C1F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 w:hAnsi="仿宋" w:eastAsia="仿宋" w:cs="Times New Roman"/>
          <w:b/>
          <w:snapToGrid w:val="0"/>
          <w:sz w:val="32"/>
          <w:szCs w:val="32"/>
          <w:lang w:val="en-US" w:eastAsia="zh-CN"/>
        </w:rPr>
      </w:pPr>
      <w:r>
        <w:rPr>
          <w:rFonts w:hint="eastAsia" w:ascii="仿宋" w:hAnsi="仿宋" w:eastAsia="仿宋" w:cs="Times New Roman"/>
          <w:b/>
          <w:snapToGrid w:val="0"/>
          <w:sz w:val="32"/>
          <w:szCs w:val="32"/>
          <w:lang w:val="en-US" w:eastAsia="zh-CN"/>
        </w:rPr>
        <w:t>十五、</w:t>
      </w:r>
      <w:r>
        <w:rPr>
          <w:rFonts w:hint="default" w:ascii="仿宋" w:hAnsi="仿宋" w:eastAsia="仿宋" w:cs="Times New Roman"/>
          <w:b/>
          <w:snapToGrid w:val="0"/>
          <w:sz w:val="32"/>
          <w:szCs w:val="32"/>
          <w:lang w:val="en-US" w:eastAsia="zh-CN"/>
        </w:rPr>
        <w:t>设计概算</w:t>
      </w:r>
    </w:p>
    <w:p w14:paraId="15E2644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Times New Roman"/>
          <w:snapToGrid w:val="0"/>
          <w:sz w:val="32"/>
          <w:szCs w:val="32"/>
          <w:lang w:val="en-US" w:eastAsia="zh-CN"/>
        </w:rPr>
      </w:pPr>
      <w:r>
        <w:rPr>
          <w:rFonts w:hint="eastAsia" w:ascii="仿宋" w:hAnsi="仿宋" w:eastAsia="仿宋" w:cs="Times New Roman"/>
          <w:snapToGrid w:val="0"/>
          <w:sz w:val="32"/>
          <w:szCs w:val="32"/>
          <w:lang w:val="en-US" w:eastAsia="zh-CN"/>
        </w:rPr>
        <w:t>（1）基本同意概算编制原则、依据和编制方法。</w:t>
      </w:r>
    </w:p>
    <w:p w14:paraId="6764F41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Times New Roman"/>
          <w:snapToGrid w:val="0"/>
          <w:sz w:val="32"/>
          <w:szCs w:val="32"/>
          <w:lang w:val="en-US" w:eastAsia="zh-CN"/>
        </w:rPr>
      </w:pPr>
      <w:r>
        <w:rPr>
          <w:rFonts w:hint="eastAsia" w:ascii="仿宋" w:hAnsi="仿宋" w:eastAsia="仿宋" w:cs="Times New Roman"/>
          <w:snapToGrid w:val="0"/>
          <w:sz w:val="32"/>
          <w:szCs w:val="32"/>
          <w:lang w:val="en-US" w:eastAsia="zh-CN"/>
        </w:rPr>
        <w:t>（2）复核工程量。</w:t>
      </w:r>
    </w:p>
    <w:p w14:paraId="2D92984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Times New Roman"/>
          <w:snapToGrid w:val="0"/>
          <w:sz w:val="32"/>
          <w:szCs w:val="32"/>
          <w:lang w:val="en-US" w:eastAsia="zh-CN"/>
        </w:rPr>
      </w:pPr>
      <w:r>
        <w:rPr>
          <w:rFonts w:hint="eastAsia" w:ascii="仿宋" w:hAnsi="仿宋" w:eastAsia="仿宋" w:cs="Times New Roman"/>
          <w:snapToGrid w:val="0"/>
          <w:sz w:val="32"/>
          <w:szCs w:val="32"/>
          <w:lang w:val="en-US" w:eastAsia="zh-CN"/>
        </w:rPr>
        <w:t>（3）复核设备单价、材料运杂费等。</w:t>
      </w:r>
    </w:p>
    <w:p w14:paraId="77F834EE">
      <w:pPr>
        <w:pStyle w:val="2"/>
        <w:rPr>
          <w:rFonts w:hint="eastAsia" w:ascii="仿宋" w:hAnsi="仿宋" w:eastAsia="仿宋" w:cs="Times New Roman"/>
          <w:snapToGrid w:val="0"/>
          <w:sz w:val="32"/>
          <w:szCs w:val="32"/>
          <w:lang w:val="en-US" w:eastAsia="zh-CN"/>
        </w:rPr>
      </w:pPr>
    </w:p>
    <w:p w14:paraId="0D0375D4">
      <w:pPr>
        <w:rPr>
          <w:rFonts w:hint="eastAsia" w:ascii="仿宋" w:hAnsi="仿宋" w:eastAsia="仿宋" w:cs="Times New Roman"/>
          <w:snapToGrid w:val="0"/>
          <w:sz w:val="32"/>
          <w:szCs w:val="32"/>
          <w:lang w:val="en-US" w:eastAsia="zh-CN"/>
        </w:rPr>
      </w:pPr>
      <w:r>
        <w:drawing>
          <wp:inline distT="0" distB="0" distL="114300" distR="114300">
            <wp:extent cx="5274310" cy="7923530"/>
            <wp:effectExtent l="0" t="0" r="1397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74310" cy="7923530"/>
                    </a:xfrm>
                    <a:prstGeom prst="rect">
                      <a:avLst/>
                    </a:prstGeom>
                    <a:noFill/>
                    <a:ln>
                      <a:noFill/>
                    </a:ln>
                  </pic:spPr>
                </pic:pic>
              </a:graphicData>
            </a:graphic>
          </wp:inline>
        </w:drawing>
      </w:r>
    </w:p>
    <w:p w14:paraId="37F24E10">
      <w:pPr>
        <w:pStyle w:val="2"/>
        <w:rPr>
          <w:rFonts w:hint="default" w:ascii="仿宋" w:hAnsi="仿宋" w:eastAsia="仿宋" w:cs="Times New Roman"/>
          <w:snapToGrid w:val="0"/>
          <w:sz w:val="32"/>
          <w:szCs w:val="32"/>
          <w:lang w:val="en-US" w:eastAsia="zh-CN"/>
        </w:rPr>
      </w:pPr>
      <w:bookmarkStart w:id="0" w:name="_GoBack"/>
      <w:bookmarkEnd w:id="0"/>
    </w:p>
    <w:sectPr>
      <w:headerReference r:id="rId3" w:type="default"/>
      <w:footerReference r:id="rId4" w:type="default"/>
      <w:pgSz w:w="11906" w:h="16838"/>
      <w:pgMar w:top="1440" w:right="1800" w:bottom="1440" w:left="1800" w:header="851" w:footer="1304" w:gutter="0"/>
      <w:pgNumType w:fmt="numberInDash"/>
      <w:cols w:space="0" w:num="1"/>
      <w:rtlGutter w:val="0"/>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97D32FB-B01B-49E3-AC50-5F4E31FE6160}"/>
  </w:font>
  <w:font w:name="黑体">
    <w:panose1 w:val="02010609060101010101"/>
    <w:charset w:val="86"/>
    <w:family w:val="auto"/>
    <w:pitch w:val="default"/>
    <w:sig w:usb0="800002BF" w:usb1="38CF7CFA" w:usb2="00000016" w:usb3="00000000" w:csb0="00040001" w:csb1="00000000"/>
    <w:embedRegular r:id="rId2" w:fontKey="{D140EB1F-AEF9-4E92-8EFD-A273F1A4111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3" w:fontKey="{60E5889A-6DB2-4337-B62E-3BC60483F9AA}"/>
  </w:font>
  <w:font w:name="仿宋">
    <w:panose1 w:val="02010609060101010101"/>
    <w:charset w:val="86"/>
    <w:family w:val="modern"/>
    <w:pitch w:val="default"/>
    <w:sig w:usb0="800002BF" w:usb1="38CF7CFA" w:usb2="00000016" w:usb3="00000000" w:csb0="00040001" w:csb1="00000000"/>
    <w:embedRegular r:id="rId4" w:fontKey="{ACB8FC9E-FF18-4545-B552-7734051F1C31}"/>
  </w:font>
  <w:font w:name="方正小标宋简体">
    <w:panose1 w:val="03000509000000000000"/>
    <w:charset w:val="86"/>
    <w:family w:val="auto"/>
    <w:pitch w:val="default"/>
    <w:sig w:usb0="00000001" w:usb1="080E0000" w:usb2="00000000" w:usb3="00000000" w:csb0="00040000" w:csb1="00000000"/>
    <w:embedRegular r:id="rId5" w:fontKey="{1D9ACD35-3FDF-4AD6-BF87-E0DB4B558876}"/>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B6882">
    <w:pPr>
      <w:pStyle w:val="2"/>
      <w:tabs>
        <w:tab w:val="left" w:pos="2052"/>
        <w:tab w:val="right" w:pos="8965"/>
      </w:tabs>
      <w:jc w:val="left"/>
      <w:rPr>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6B5D6">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21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wMjkyZTc4Y2FlYzA5ZmYzZWZmZGViY2ZlYjdhNmUifQ=="/>
  </w:docVars>
  <w:rsids>
    <w:rsidRoot w:val="399D077B"/>
    <w:rsid w:val="00050065"/>
    <w:rsid w:val="000F1926"/>
    <w:rsid w:val="00110481"/>
    <w:rsid w:val="00123B68"/>
    <w:rsid w:val="00135C79"/>
    <w:rsid w:val="00173E79"/>
    <w:rsid w:val="002A2499"/>
    <w:rsid w:val="00305B0F"/>
    <w:rsid w:val="004522DA"/>
    <w:rsid w:val="004A2358"/>
    <w:rsid w:val="00587E83"/>
    <w:rsid w:val="005E025B"/>
    <w:rsid w:val="00666779"/>
    <w:rsid w:val="00885D6D"/>
    <w:rsid w:val="0089734C"/>
    <w:rsid w:val="00904CC8"/>
    <w:rsid w:val="00911396"/>
    <w:rsid w:val="009855DC"/>
    <w:rsid w:val="00B61B5D"/>
    <w:rsid w:val="00BB3B70"/>
    <w:rsid w:val="00C150A5"/>
    <w:rsid w:val="00D332FF"/>
    <w:rsid w:val="00D33CF6"/>
    <w:rsid w:val="00D835AD"/>
    <w:rsid w:val="00DC53A6"/>
    <w:rsid w:val="00ED000B"/>
    <w:rsid w:val="00F967F7"/>
    <w:rsid w:val="01D40429"/>
    <w:rsid w:val="029F3382"/>
    <w:rsid w:val="02AD227F"/>
    <w:rsid w:val="02BA3A2F"/>
    <w:rsid w:val="02C273B1"/>
    <w:rsid w:val="03547EE0"/>
    <w:rsid w:val="03AB2112"/>
    <w:rsid w:val="04295D8B"/>
    <w:rsid w:val="049E6760"/>
    <w:rsid w:val="049F139B"/>
    <w:rsid w:val="05A2716A"/>
    <w:rsid w:val="05B01562"/>
    <w:rsid w:val="05C028B0"/>
    <w:rsid w:val="05E155B5"/>
    <w:rsid w:val="08A74300"/>
    <w:rsid w:val="095B74D8"/>
    <w:rsid w:val="09E41A66"/>
    <w:rsid w:val="0A007DDC"/>
    <w:rsid w:val="0A975C3F"/>
    <w:rsid w:val="0AA8688D"/>
    <w:rsid w:val="0ACA357F"/>
    <w:rsid w:val="0C4A4501"/>
    <w:rsid w:val="0CEA6C31"/>
    <w:rsid w:val="0EE904F0"/>
    <w:rsid w:val="102B260C"/>
    <w:rsid w:val="10756BE7"/>
    <w:rsid w:val="10E621C7"/>
    <w:rsid w:val="110610B0"/>
    <w:rsid w:val="11AE0C9B"/>
    <w:rsid w:val="149E0A9A"/>
    <w:rsid w:val="14E36AD2"/>
    <w:rsid w:val="167C3EDB"/>
    <w:rsid w:val="18166530"/>
    <w:rsid w:val="185508FC"/>
    <w:rsid w:val="19E030B4"/>
    <w:rsid w:val="1A0E41CD"/>
    <w:rsid w:val="1B8431FE"/>
    <w:rsid w:val="1BD0062D"/>
    <w:rsid w:val="1D862114"/>
    <w:rsid w:val="1D9D253C"/>
    <w:rsid w:val="1DBB50D9"/>
    <w:rsid w:val="1E1E7434"/>
    <w:rsid w:val="1E3324F4"/>
    <w:rsid w:val="1ED54CDF"/>
    <w:rsid w:val="1ED618C3"/>
    <w:rsid w:val="20115EC7"/>
    <w:rsid w:val="20435D66"/>
    <w:rsid w:val="20881525"/>
    <w:rsid w:val="208D267A"/>
    <w:rsid w:val="216D03F9"/>
    <w:rsid w:val="21947142"/>
    <w:rsid w:val="22765C1A"/>
    <w:rsid w:val="22862631"/>
    <w:rsid w:val="238B6F39"/>
    <w:rsid w:val="23F068A6"/>
    <w:rsid w:val="23FE1802"/>
    <w:rsid w:val="260B06CD"/>
    <w:rsid w:val="2648712B"/>
    <w:rsid w:val="2674370C"/>
    <w:rsid w:val="26CC4A6D"/>
    <w:rsid w:val="26F234F5"/>
    <w:rsid w:val="28757E8C"/>
    <w:rsid w:val="28E16FEB"/>
    <w:rsid w:val="29C64E26"/>
    <w:rsid w:val="29F77C1E"/>
    <w:rsid w:val="2B544FF0"/>
    <w:rsid w:val="2BC767C3"/>
    <w:rsid w:val="2BEA5204"/>
    <w:rsid w:val="2CB804D2"/>
    <w:rsid w:val="2E343604"/>
    <w:rsid w:val="2EAB1C96"/>
    <w:rsid w:val="30E20154"/>
    <w:rsid w:val="30E3485D"/>
    <w:rsid w:val="318A31D0"/>
    <w:rsid w:val="31A66C0B"/>
    <w:rsid w:val="324618C5"/>
    <w:rsid w:val="32BB773B"/>
    <w:rsid w:val="3301201F"/>
    <w:rsid w:val="3447105E"/>
    <w:rsid w:val="34A90431"/>
    <w:rsid w:val="352C2EC1"/>
    <w:rsid w:val="35962E5F"/>
    <w:rsid w:val="35BB16BD"/>
    <w:rsid w:val="36426286"/>
    <w:rsid w:val="37600FC5"/>
    <w:rsid w:val="37DD15AA"/>
    <w:rsid w:val="38387C5D"/>
    <w:rsid w:val="38D91DED"/>
    <w:rsid w:val="39472B23"/>
    <w:rsid w:val="399D077B"/>
    <w:rsid w:val="3A844AFD"/>
    <w:rsid w:val="3AE92FC2"/>
    <w:rsid w:val="3C461893"/>
    <w:rsid w:val="3CBF66BA"/>
    <w:rsid w:val="3CF3200B"/>
    <w:rsid w:val="3CF950D8"/>
    <w:rsid w:val="3E2C5396"/>
    <w:rsid w:val="406E0C59"/>
    <w:rsid w:val="406E2B8E"/>
    <w:rsid w:val="41623C57"/>
    <w:rsid w:val="41C815FA"/>
    <w:rsid w:val="438F3163"/>
    <w:rsid w:val="4448555E"/>
    <w:rsid w:val="44A1390C"/>
    <w:rsid w:val="4587683C"/>
    <w:rsid w:val="459E681C"/>
    <w:rsid w:val="4698695F"/>
    <w:rsid w:val="46CE61BC"/>
    <w:rsid w:val="474779FD"/>
    <w:rsid w:val="478665E8"/>
    <w:rsid w:val="48536C35"/>
    <w:rsid w:val="4A7B2369"/>
    <w:rsid w:val="4AD5362E"/>
    <w:rsid w:val="4AF339B0"/>
    <w:rsid w:val="4C580E76"/>
    <w:rsid w:val="4DA42AAD"/>
    <w:rsid w:val="4DCD4521"/>
    <w:rsid w:val="4E0F0BF7"/>
    <w:rsid w:val="4EA07B22"/>
    <w:rsid w:val="4F3A16E7"/>
    <w:rsid w:val="4F707005"/>
    <w:rsid w:val="51874608"/>
    <w:rsid w:val="51A859E8"/>
    <w:rsid w:val="51E4236A"/>
    <w:rsid w:val="5321384B"/>
    <w:rsid w:val="55F130BA"/>
    <w:rsid w:val="566D36D8"/>
    <w:rsid w:val="56AE4E11"/>
    <w:rsid w:val="588A274D"/>
    <w:rsid w:val="5988716F"/>
    <w:rsid w:val="5A871955"/>
    <w:rsid w:val="5B03365B"/>
    <w:rsid w:val="5C854A2C"/>
    <w:rsid w:val="5C855626"/>
    <w:rsid w:val="5D07484F"/>
    <w:rsid w:val="5D0822A8"/>
    <w:rsid w:val="5D0C08AE"/>
    <w:rsid w:val="5D500BA1"/>
    <w:rsid w:val="5EE972C4"/>
    <w:rsid w:val="5F077630"/>
    <w:rsid w:val="5F5611F2"/>
    <w:rsid w:val="5F74364D"/>
    <w:rsid w:val="61E16D01"/>
    <w:rsid w:val="62C52A98"/>
    <w:rsid w:val="647414DA"/>
    <w:rsid w:val="64B66ACB"/>
    <w:rsid w:val="64E8144C"/>
    <w:rsid w:val="660B4F93"/>
    <w:rsid w:val="666F1478"/>
    <w:rsid w:val="66D85D11"/>
    <w:rsid w:val="66E21627"/>
    <w:rsid w:val="67173BB5"/>
    <w:rsid w:val="672E668C"/>
    <w:rsid w:val="67EC2B21"/>
    <w:rsid w:val="692D742C"/>
    <w:rsid w:val="6940512B"/>
    <w:rsid w:val="69475031"/>
    <w:rsid w:val="695B6341"/>
    <w:rsid w:val="6C397AD4"/>
    <w:rsid w:val="6C676941"/>
    <w:rsid w:val="6C8E6327"/>
    <w:rsid w:val="6CAF071B"/>
    <w:rsid w:val="6CB16ED8"/>
    <w:rsid w:val="6F1523BC"/>
    <w:rsid w:val="6FE532F1"/>
    <w:rsid w:val="6FEA03D7"/>
    <w:rsid w:val="741941FC"/>
    <w:rsid w:val="75212B6F"/>
    <w:rsid w:val="76D0464C"/>
    <w:rsid w:val="77105F1D"/>
    <w:rsid w:val="793806DA"/>
    <w:rsid w:val="794654EF"/>
    <w:rsid w:val="79F57AA2"/>
    <w:rsid w:val="7A3C4748"/>
    <w:rsid w:val="7A6821BF"/>
    <w:rsid w:val="7ABA6B89"/>
    <w:rsid w:val="7B373932"/>
    <w:rsid w:val="7B3B77BB"/>
    <w:rsid w:val="7B542EFE"/>
    <w:rsid w:val="7C534D9C"/>
    <w:rsid w:val="7D364B6C"/>
    <w:rsid w:val="7E57126D"/>
    <w:rsid w:val="7F2652AA"/>
    <w:rsid w:val="7F6C04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keepNext/>
      <w:keepLines/>
      <w:spacing w:before="120" w:after="240" w:line="360" w:lineRule="auto"/>
      <w:outlineLvl w:val="1"/>
    </w:pPr>
    <w:rPr>
      <w:rFonts w:ascii="黑体" w:eastAsia="黑体"/>
      <w:snapToGrid w:val="0"/>
      <w:sz w:val="28"/>
      <w:szCs w:val="28"/>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footer"/>
    <w:basedOn w:val="1"/>
    <w:next w:val="1"/>
    <w:link w:val="13"/>
    <w:unhideWhenUsed/>
    <w:qFormat/>
    <w:uiPriority w:val="99"/>
    <w:pPr>
      <w:tabs>
        <w:tab w:val="center" w:pos="4153"/>
        <w:tab w:val="right" w:pos="8306"/>
      </w:tabs>
      <w:snapToGrid w:val="0"/>
      <w:jc w:val="left"/>
    </w:pPr>
    <w:rPr>
      <w:sz w:val="18"/>
      <w:szCs w:val="18"/>
    </w:rPr>
  </w:style>
  <w:style w:type="paragraph" w:styleId="5">
    <w:name w:val="Body Text"/>
    <w:basedOn w:val="1"/>
    <w:qFormat/>
    <w:uiPriority w:val="1"/>
    <w:rPr>
      <w:rFonts w:ascii="宋体" w:hAnsi="宋体" w:eastAsia="宋体" w:cs="宋体"/>
      <w:sz w:val="24"/>
      <w:szCs w:val="24"/>
      <w:lang w:val="zh-CN" w:eastAsia="zh-CN" w:bidi="zh-CN"/>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able of figures"/>
    <w:basedOn w:val="1"/>
    <w:next w:val="1"/>
    <w:qFormat/>
    <w:uiPriority w:val="0"/>
    <w:pPr>
      <w:ind w:left="200" w:leftChars="200" w:hanging="200" w:hangingChars="200"/>
    </w:pPr>
  </w:style>
  <w:style w:type="paragraph" w:styleId="8">
    <w:name w:val="Normal (Web)"/>
    <w:basedOn w:val="1"/>
    <w:unhideWhenUsed/>
    <w:qFormat/>
    <w:uiPriority w:val="99"/>
    <w:pPr>
      <w:widowControl/>
      <w:jc w:val="left"/>
    </w:pPr>
    <w:rPr>
      <w:rFonts w:ascii="宋体" w:hAnsi="宋体" w:eastAsia="宋体" w:cs="宋体"/>
      <w:kern w:val="0"/>
      <w:sz w:val="24"/>
      <w:szCs w:val="24"/>
    </w:rPr>
  </w:style>
  <w:style w:type="paragraph" w:styleId="9">
    <w:name w:val="Body Text First Indent"/>
    <w:basedOn w:val="5"/>
    <w:qFormat/>
    <w:uiPriority w:val="0"/>
    <w:pPr>
      <w:ind w:firstLine="420" w:firstLineChars="100"/>
    </w:pPr>
  </w:style>
  <w:style w:type="character" w:styleId="12">
    <w:name w:val="Strong"/>
    <w:qFormat/>
    <w:uiPriority w:val="0"/>
    <w:rPr>
      <w:b/>
    </w:rPr>
  </w:style>
  <w:style w:type="character" w:customStyle="1" w:styleId="13">
    <w:name w:val="页脚 Char"/>
    <w:basedOn w:val="11"/>
    <w:link w:val="2"/>
    <w:qFormat/>
    <w:uiPriority w:val="99"/>
    <w:rPr>
      <w:kern w:val="2"/>
      <w:sz w:val="18"/>
      <w:szCs w:val="18"/>
    </w:rPr>
  </w:style>
  <w:style w:type="character" w:customStyle="1" w:styleId="14">
    <w:name w:val="页眉 Char"/>
    <w:basedOn w:val="11"/>
    <w:link w:val="6"/>
    <w:semiHidden/>
    <w:qFormat/>
    <w:uiPriority w:val="99"/>
    <w:rPr>
      <w:kern w:val="2"/>
      <w:sz w:val="18"/>
      <w:szCs w:val="18"/>
    </w:rPr>
  </w:style>
  <w:style w:type="character" w:customStyle="1" w:styleId="15">
    <w:name w:val="NormalCharacter"/>
    <w:qFormat/>
    <w:uiPriority w:val="0"/>
    <w:rPr>
      <w:rFonts w:ascii="Calibri" w:hAnsi="Calibri" w:eastAsia="宋体" w:cs="Times New Roman"/>
      <w:kern w:val="2"/>
      <w:sz w:val="21"/>
      <w:szCs w:val="24"/>
      <w:lang w:val="en-US" w:eastAsia="zh-CN" w:bidi="ar-SA"/>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21150;&#20844;&#23460;&#21457;&#25991;\2025&#24180;\08-&#28248;&#38452;&#27700;&#21033;&#35768;\44-&#20851;&#20110;&#23545;&#23731;&#38451;&#28248;&#20339;&#29287;&#19994;&#26377;&#38480;&#20844;&#21496;&#21462;&#27700;&#35768;&#21487;&#24310;&#32493;&#30340;&#25209;&#22797;.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44-关于对岳阳湘佳牧业有限公司取水许可延续的批复.docx</Template>
  <Pages>5</Pages>
  <Words>1929</Words>
  <Characters>2414</Characters>
  <Lines>1</Lines>
  <Paragraphs>1</Paragraphs>
  <TotalTime>11</TotalTime>
  <ScaleCrop>false</ScaleCrop>
  <LinksUpToDate>false</LinksUpToDate>
  <CharactersWithSpaces>2617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2025-12-05T02:13:00Z</dcterms:created>
  <dc:creator>郑柳</dc:creator>
  <cp:lastModifiedBy>蒋殷</cp:lastModifiedBy>
  <cp:lastPrinted>2025-12-19T00:53:00Z</cp:lastPrinted>
  <dcterms:modified xsi:type="dcterms:W3CDTF">2025-12-19T08:41:57Z</dcterms:modified>
  <dc:title>关于湘阴县泰昆农牧发展有限公司办理取水许可申请准予行政许可决定书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3A6385446A1348819A53A0D8AA8D6728_11</vt:lpwstr>
  </property>
  <property fmtid="{D5CDD505-2E9C-101B-9397-08002B2CF9AE}" pid="4" name="KSOTemplateDocerSaveRecord">
    <vt:lpwstr>eyJoZGlkIjoiYzkzNjA0ODBiOWZmN2RhMmMyMDQ0ZGJkYjA3YzM1NzkiLCJ1c2VySWQiOiIxNDY3MDgwMTkxIn0=</vt:lpwstr>
  </property>
</Properties>
</file>